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44B1" w14:textId="77777777" w:rsidR="000948A4" w:rsidRDefault="000948A4"/>
    <w:p w14:paraId="41321FAE" w14:textId="77777777" w:rsidR="00FC58CE" w:rsidRDefault="00FC58CE"/>
    <w:p w14:paraId="3AF626D6" w14:textId="77777777" w:rsidR="00FC58CE" w:rsidRDefault="00FC58CE" w:rsidP="00FC58CE">
      <w:pPr>
        <w:jc w:val="center"/>
      </w:pPr>
      <w:r>
        <w:rPr>
          <w:noProof/>
          <w:lang w:val="en-CA" w:eastAsia="en-CA"/>
        </w:rPr>
        <w:drawing>
          <wp:inline distT="0" distB="0" distL="0" distR="0" wp14:anchorId="0324AEEB" wp14:editId="315719CE">
            <wp:extent cx="2644140" cy="11277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127760"/>
                    </a:xfrm>
                    <a:prstGeom prst="rect">
                      <a:avLst/>
                    </a:prstGeom>
                    <a:noFill/>
                  </pic:spPr>
                </pic:pic>
              </a:graphicData>
            </a:graphic>
          </wp:inline>
        </w:drawing>
      </w:r>
    </w:p>
    <w:p w14:paraId="103CA44E" w14:textId="77777777" w:rsidR="00FC58CE" w:rsidRDefault="00FC58CE" w:rsidP="00FC58CE">
      <w:pPr>
        <w:jc w:val="center"/>
      </w:pPr>
    </w:p>
    <w:p w14:paraId="0177FF89" w14:textId="77777777" w:rsidR="00FC58CE" w:rsidRDefault="00FC58CE" w:rsidP="00FC58CE">
      <w:pPr>
        <w:jc w:val="center"/>
      </w:pPr>
    </w:p>
    <w:p w14:paraId="7392CAE9" w14:textId="77777777" w:rsidR="00FC58CE" w:rsidRDefault="00FC58CE" w:rsidP="00FC58CE">
      <w:pPr>
        <w:jc w:val="center"/>
      </w:pPr>
    </w:p>
    <w:p w14:paraId="617F49ED" w14:textId="77777777" w:rsidR="00FC58CE" w:rsidRPr="00FC58CE" w:rsidRDefault="00FC58CE" w:rsidP="00FC58CE">
      <w:pPr>
        <w:jc w:val="center"/>
        <w:rPr>
          <w:b/>
          <w:sz w:val="56"/>
          <w:szCs w:val="56"/>
        </w:rPr>
      </w:pPr>
      <w:r w:rsidRPr="00FC58CE">
        <w:rPr>
          <w:b/>
          <w:sz w:val="56"/>
          <w:szCs w:val="56"/>
        </w:rPr>
        <w:t>InnPower Corporation</w:t>
      </w:r>
    </w:p>
    <w:p w14:paraId="6B43E316" w14:textId="77777777" w:rsidR="00FC58CE" w:rsidRPr="00FC58CE" w:rsidRDefault="00FC58CE" w:rsidP="00FC58CE">
      <w:pPr>
        <w:jc w:val="center"/>
        <w:rPr>
          <w:b/>
          <w:sz w:val="56"/>
          <w:szCs w:val="56"/>
        </w:rPr>
      </w:pPr>
      <w:r w:rsidRPr="00FC58CE">
        <w:rPr>
          <w:b/>
          <w:sz w:val="56"/>
          <w:szCs w:val="56"/>
        </w:rPr>
        <w:t>ED-2002-0520</w:t>
      </w:r>
    </w:p>
    <w:p w14:paraId="266BA29A" w14:textId="77777777" w:rsidR="00FC58CE" w:rsidRDefault="00FC58CE" w:rsidP="00FC58CE">
      <w:pPr>
        <w:jc w:val="center"/>
        <w:rPr>
          <w:sz w:val="56"/>
          <w:szCs w:val="56"/>
        </w:rPr>
      </w:pPr>
    </w:p>
    <w:p w14:paraId="0A49BF19" w14:textId="4500D574" w:rsidR="00FC58CE" w:rsidRDefault="00505D83" w:rsidP="00FC58CE">
      <w:pPr>
        <w:jc w:val="center"/>
        <w:rPr>
          <w:sz w:val="48"/>
          <w:szCs w:val="48"/>
        </w:rPr>
      </w:pPr>
      <w:r>
        <w:rPr>
          <w:sz w:val="48"/>
          <w:szCs w:val="48"/>
        </w:rPr>
        <w:t>202</w:t>
      </w:r>
      <w:r w:rsidR="00EA5DF3">
        <w:rPr>
          <w:sz w:val="48"/>
          <w:szCs w:val="48"/>
        </w:rPr>
        <w:t>3</w:t>
      </w:r>
      <w:r>
        <w:rPr>
          <w:sz w:val="48"/>
          <w:szCs w:val="48"/>
        </w:rPr>
        <w:t xml:space="preserve"> </w:t>
      </w:r>
      <w:r w:rsidR="00FC58CE">
        <w:rPr>
          <w:sz w:val="48"/>
          <w:szCs w:val="48"/>
        </w:rPr>
        <w:t>Incentive Regulation Mechanism</w:t>
      </w:r>
    </w:p>
    <w:p w14:paraId="4A34CAB1" w14:textId="77777777" w:rsidR="00FC58CE" w:rsidRDefault="00FC58CE" w:rsidP="00FC58CE">
      <w:pPr>
        <w:jc w:val="center"/>
        <w:rPr>
          <w:sz w:val="48"/>
          <w:szCs w:val="48"/>
        </w:rPr>
      </w:pPr>
      <w:r>
        <w:rPr>
          <w:sz w:val="48"/>
          <w:szCs w:val="48"/>
        </w:rPr>
        <w:t>Electricity Distribution Rate Application</w:t>
      </w:r>
    </w:p>
    <w:p w14:paraId="6650D35F" w14:textId="77777777" w:rsidR="00FC58CE" w:rsidRDefault="00FC58CE" w:rsidP="00FC58CE">
      <w:pPr>
        <w:jc w:val="center"/>
        <w:rPr>
          <w:sz w:val="48"/>
          <w:szCs w:val="48"/>
        </w:rPr>
      </w:pPr>
    </w:p>
    <w:p w14:paraId="45C9D301" w14:textId="7410CAEF" w:rsidR="00FC58CE" w:rsidRPr="00FC58CE" w:rsidRDefault="00FC58CE" w:rsidP="00FC58CE">
      <w:pPr>
        <w:jc w:val="center"/>
        <w:rPr>
          <w:b/>
          <w:sz w:val="48"/>
          <w:szCs w:val="48"/>
        </w:rPr>
      </w:pPr>
      <w:r w:rsidRPr="00FC58CE">
        <w:rPr>
          <w:b/>
          <w:sz w:val="48"/>
          <w:szCs w:val="48"/>
        </w:rPr>
        <w:t>Board File EB-</w:t>
      </w:r>
      <w:r w:rsidR="00505D83">
        <w:rPr>
          <w:b/>
          <w:sz w:val="48"/>
          <w:szCs w:val="48"/>
        </w:rPr>
        <w:t>202</w:t>
      </w:r>
      <w:r w:rsidR="00EA5DF3">
        <w:rPr>
          <w:b/>
          <w:sz w:val="48"/>
          <w:szCs w:val="48"/>
        </w:rPr>
        <w:t>2</w:t>
      </w:r>
      <w:r w:rsidR="007473F9">
        <w:rPr>
          <w:b/>
          <w:sz w:val="48"/>
          <w:szCs w:val="48"/>
        </w:rPr>
        <w:t>-00</w:t>
      </w:r>
      <w:r w:rsidR="00EA5DF3">
        <w:rPr>
          <w:b/>
          <w:sz w:val="48"/>
          <w:szCs w:val="48"/>
        </w:rPr>
        <w:t>43</w:t>
      </w:r>
    </w:p>
    <w:p w14:paraId="6AB0B1FD" w14:textId="760C71B4" w:rsidR="00FC58CE" w:rsidRPr="00FC58CE" w:rsidRDefault="00FC58CE" w:rsidP="00FC58CE">
      <w:pPr>
        <w:jc w:val="center"/>
        <w:rPr>
          <w:b/>
          <w:sz w:val="48"/>
          <w:szCs w:val="48"/>
        </w:rPr>
      </w:pPr>
      <w:r w:rsidRPr="00FC58CE">
        <w:rPr>
          <w:b/>
          <w:sz w:val="48"/>
          <w:szCs w:val="48"/>
        </w:rPr>
        <w:t>For Rates Effective January 1, 20</w:t>
      </w:r>
      <w:r w:rsidR="0034369F">
        <w:rPr>
          <w:b/>
          <w:sz w:val="48"/>
          <w:szCs w:val="48"/>
        </w:rPr>
        <w:t>2</w:t>
      </w:r>
      <w:r w:rsidR="00EA5DF3">
        <w:rPr>
          <w:b/>
          <w:sz w:val="48"/>
          <w:szCs w:val="48"/>
        </w:rPr>
        <w:t>3</w:t>
      </w:r>
    </w:p>
    <w:p w14:paraId="17A934F1" w14:textId="77777777" w:rsidR="004401F3" w:rsidRDefault="004401F3">
      <w:pPr>
        <w:rPr>
          <w:sz w:val="72"/>
          <w:szCs w:val="72"/>
        </w:rPr>
      </w:pPr>
      <w:r>
        <w:rPr>
          <w:sz w:val="72"/>
          <w:szCs w:val="72"/>
        </w:rPr>
        <w:br w:type="page"/>
      </w:r>
    </w:p>
    <w:p w14:paraId="5160C8F5" w14:textId="77777777" w:rsidR="00FC58CE" w:rsidRDefault="00FC58CE" w:rsidP="00FC58CE">
      <w:pPr>
        <w:jc w:val="center"/>
        <w:rPr>
          <w:sz w:val="72"/>
          <w:szCs w:val="72"/>
        </w:rPr>
      </w:pPr>
    </w:p>
    <w:p w14:paraId="090A3CD1" w14:textId="77777777" w:rsidR="004401F3" w:rsidRDefault="004401F3" w:rsidP="00FC58CE">
      <w:pPr>
        <w:jc w:val="center"/>
        <w:rPr>
          <w:sz w:val="72"/>
          <w:szCs w:val="72"/>
        </w:rPr>
      </w:pPr>
    </w:p>
    <w:p w14:paraId="68CBE149" w14:textId="77777777" w:rsidR="002A02AB" w:rsidRDefault="002A02AB" w:rsidP="00FC58CE">
      <w:pPr>
        <w:jc w:val="center"/>
        <w:rPr>
          <w:sz w:val="44"/>
          <w:szCs w:val="44"/>
        </w:rPr>
      </w:pPr>
    </w:p>
    <w:p w14:paraId="708E92AC" w14:textId="77777777" w:rsidR="004401F3" w:rsidRDefault="002A02AB" w:rsidP="00FC58CE">
      <w:pPr>
        <w:jc w:val="center"/>
        <w:rPr>
          <w:sz w:val="44"/>
          <w:szCs w:val="44"/>
        </w:rPr>
      </w:pPr>
      <w:r>
        <w:rPr>
          <w:sz w:val="44"/>
          <w:szCs w:val="44"/>
        </w:rPr>
        <w:t>InnPower Corporation</w:t>
      </w:r>
    </w:p>
    <w:p w14:paraId="289DB291" w14:textId="77777777" w:rsidR="002A02AB" w:rsidRDefault="002A02AB" w:rsidP="00FC58CE">
      <w:pPr>
        <w:jc w:val="center"/>
        <w:rPr>
          <w:sz w:val="44"/>
          <w:szCs w:val="44"/>
        </w:rPr>
      </w:pPr>
      <w:r>
        <w:rPr>
          <w:sz w:val="44"/>
          <w:szCs w:val="44"/>
        </w:rPr>
        <w:t>ED-2002-0520</w:t>
      </w:r>
    </w:p>
    <w:p w14:paraId="44D835AC" w14:textId="77777777" w:rsidR="002A02AB" w:rsidRDefault="002A02AB" w:rsidP="00FC58CE">
      <w:pPr>
        <w:jc w:val="center"/>
        <w:rPr>
          <w:sz w:val="44"/>
          <w:szCs w:val="44"/>
        </w:rPr>
      </w:pPr>
    </w:p>
    <w:p w14:paraId="358FEEE3" w14:textId="12D70951" w:rsidR="002A02AB" w:rsidRDefault="002A02AB" w:rsidP="00FC58CE">
      <w:pPr>
        <w:jc w:val="center"/>
        <w:rPr>
          <w:sz w:val="44"/>
          <w:szCs w:val="44"/>
        </w:rPr>
      </w:pPr>
      <w:r>
        <w:rPr>
          <w:sz w:val="44"/>
          <w:szCs w:val="44"/>
        </w:rPr>
        <w:t>20</w:t>
      </w:r>
      <w:r w:rsidR="00895228">
        <w:rPr>
          <w:sz w:val="44"/>
          <w:szCs w:val="44"/>
        </w:rPr>
        <w:t>2</w:t>
      </w:r>
      <w:r w:rsidR="00EA5DF3">
        <w:rPr>
          <w:sz w:val="44"/>
          <w:szCs w:val="44"/>
        </w:rPr>
        <w:t>3</w:t>
      </w:r>
      <w:r>
        <w:rPr>
          <w:sz w:val="44"/>
          <w:szCs w:val="44"/>
        </w:rPr>
        <w:t xml:space="preserve"> Incentive Regulation Mechanism Electricity</w:t>
      </w:r>
    </w:p>
    <w:p w14:paraId="6DCC476A" w14:textId="77777777" w:rsidR="002A02AB" w:rsidRDefault="002A02AB" w:rsidP="00FC58CE">
      <w:pPr>
        <w:jc w:val="center"/>
        <w:rPr>
          <w:sz w:val="44"/>
          <w:szCs w:val="44"/>
        </w:rPr>
      </w:pPr>
      <w:r>
        <w:rPr>
          <w:sz w:val="44"/>
          <w:szCs w:val="44"/>
        </w:rPr>
        <w:t>Distribution Rate Application</w:t>
      </w:r>
    </w:p>
    <w:p w14:paraId="50DC9C40" w14:textId="77777777" w:rsidR="002A02AB" w:rsidRDefault="002A02AB" w:rsidP="00FC58CE">
      <w:pPr>
        <w:jc w:val="center"/>
        <w:rPr>
          <w:sz w:val="44"/>
          <w:szCs w:val="44"/>
        </w:rPr>
      </w:pPr>
      <w:r>
        <w:rPr>
          <w:sz w:val="44"/>
          <w:szCs w:val="44"/>
        </w:rPr>
        <w:t>For</w:t>
      </w:r>
    </w:p>
    <w:p w14:paraId="3A632F13" w14:textId="63C71CE6" w:rsidR="002A02AB" w:rsidRDefault="002A02AB" w:rsidP="00FC58CE">
      <w:pPr>
        <w:jc w:val="center"/>
        <w:rPr>
          <w:sz w:val="44"/>
          <w:szCs w:val="44"/>
        </w:rPr>
      </w:pPr>
      <w:r>
        <w:rPr>
          <w:sz w:val="44"/>
          <w:szCs w:val="44"/>
        </w:rPr>
        <w:t xml:space="preserve">January 1, </w:t>
      </w:r>
      <w:proofErr w:type="gramStart"/>
      <w:r>
        <w:rPr>
          <w:sz w:val="44"/>
          <w:szCs w:val="44"/>
        </w:rPr>
        <w:t>20</w:t>
      </w:r>
      <w:r w:rsidR="0034369F">
        <w:rPr>
          <w:sz w:val="44"/>
          <w:szCs w:val="44"/>
        </w:rPr>
        <w:t>2</w:t>
      </w:r>
      <w:r w:rsidR="00EA5DF3">
        <w:rPr>
          <w:sz w:val="44"/>
          <w:szCs w:val="44"/>
        </w:rPr>
        <w:t>3</w:t>
      </w:r>
      <w:proofErr w:type="gramEnd"/>
      <w:r>
        <w:rPr>
          <w:sz w:val="44"/>
          <w:szCs w:val="44"/>
        </w:rPr>
        <w:t xml:space="preserve"> Rates</w:t>
      </w:r>
    </w:p>
    <w:p w14:paraId="0A11ADFE" w14:textId="7AF91964" w:rsidR="002A02AB" w:rsidRDefault="002A02AB" w:rsidP="00FC58CE">
      <w:pPr>
        <w:jc w:val="center"/>
        <w:rPr>
          <w:sz w:val="44"/>
          <w:szCs w:val="44"/>
        </w:rPr>
      </w:pPr>
      <w:r>
        <w:rPr>
          <w:sz w:val="44"/>
          <w:szCs w:val="44"/>
        </w:rPr>
        <w:t>EB-</w:t>
      </w:r>
      <w:r w:rsidR="007473F9">
        <w:rPr>
          <w:sz w:val="44"/>
          <w:szCs w:val="44"/>
        </w:rPr>
        <w:t>202</w:t>
      </w:r>
      <w:r w:rsidR="00EA5DF3">
        <w:rPr>
          <w:sz w:val="44"/>
          <w:szCs w:val="44"/>
        </w:rPr>
        <w:t>2</w:t>
      </w:r>
      <w:r w:rsidR="007473F9">
        <w:rPr>
          <w:sz w:val="44"/>
          <w:szCs w:val="44"/>
        </w:rPr>
        <w:t>-00</w:t>
      </w:r>
      <w:r w:rsidR="00EA5DF3">
        <w:rPr>
          <w:sz w:val="44"/>
          <w:szCs w:val="44"/>
        </w:rPr>
        <w:t>43</w:t>
      </w:r>
    </w:p>
    <w:p w14:paraId="634CA4B1" w14:textId="77777777" w:rsidR="002A02AB" w:rsidRDefault="002A02AB" w:rsidP="00FC58CE">
      <w:pPr>
        <w:jc w:val="center"/>
        <w:rPr>
          <w:sz w:val="44"/>
          <w:szCs w:val="44"/>
        </w:rPr>
      </w:pPr>
    </w:p>
    <w:p w14:paraId="0E56F5B7" w14:textId="77777777" w:rsidR="002A02AB" w:rsidRPr="002A02AB" w:rsidRDefault="002A02AB" w:rsidP="00FC58CE">
      <w:pPr>
        <w:jc w:val="center"/>
        <w:rPr>
          <w:sz w:val="48"/>
          <w:szCs w:val="48"/>
        </w:rPr>
      </w:pPr>
      <w:r w:rsidRPr="002A02AB">
        <w:rPr>
          <w:sz w:val="48"/>
          <w:szCs w:val="48"/>
        </w:rPr>
        <w:t>InnPower Corporation Manager’s Summary</w:t>
      </w:r>
    </w:p>
    <w:p w14:paraId="391D3809" w14:textId="77777777" w:rsidR="002A02AB" w:rsidRDefault="002A02AB" w:rsidP="00FC58CE">
      <w:pPr>
        <w:jc w:val="center"/>
        <w:rPr>
          <w:sz w:val="44"/>
          <w:szCs w:val="44"/>
        </w:rPr>
      </w:pPr>
    </w:p>
    <w:p w14:paraId="30FB80D8" w14:textId="77777777" w:rsidR="0042407E" w:rsidRDefault="0042407E" w:rsidP="00FC58CE">
      <w:pPr>
        <w:jc w:val="center"/>
        <w:rPr>
          <w:sz w:val="44"/>
          <w:szCs w:val="44"/>
        </w:rPr>
      </w:pPr>
    </w:p>
    <w:p w14:paraId="3B8AB490" w14:textId="77777777" w:rsidR="0042407E" w:rsidRDefault="0042407E" w:rsidP="00FC58CE">
      <w:pPr>
        <w:jc w:val="center"/>
        <w:rPr>
          <w:sz w:val="44"/>
          <w:szCs w:val="44"/>
        </w:rPr>
        <w:sectPr w:rsidR="0042407E">
          <w:headerReference w:type="default" r:id="rId9"/>
          <w:pgSz w:w="12240" w:h="15840"/>
          <w:pgMar w:top="1440" w:right="1440" w:bottom="1440" w:left="1440" w:header="720" w:footer="720" w:gutter="0"/>
          <w:cols w:space="720"/>
          <w:docGrid w:linePitch="360"/>
        </w:sectPr>
      </w:pPr>
    </w:p>
    <w:p w14:paraId="533DC6D6" w14:textId="77777777" w:rsidR="00B70D51" w:rsidRDefault="00B70D51" w:rsidP="00FC58CE">
      <w:pPr>
        <w:jc w:val="center"/>
        <w:rPr>
          <w:sz w:val="44"/>
          <w:szCs w:val="44"/>
        </w:rPr>
        <w:sectPr w:rsidR="00B70D51" w:rsidSect="0042407E">
          <w:type w:val="continuous"/>
          <w:pgSz w:w="12240" w:h="15840"/>
          <w:pgMar w:top="1440" w:right="1440" w:bottom="1440" w:left="1440" w:header="720" w:footer="720" w:gutter="0"/>
          <w:cols w:space="720"/>
          <w:docGrid w:linePitch="360"/>
        </w:sectPr>
      </w:pPr>
    </w:p>
    <w:sdt>
      <w:sdtPr>
        <w:rPr>
          <w:rFonts w:asciiTheme="minorHAnsi" w:eastAsiaTheme="minorHAnsi" w:hAnsiTheme="minorHAnsi" w:cstheme="minorBidi"/>
          <w:color w:val="auto"/>
          <w:sz w:val="22"/>
          <w:szCs w:val="22"/>
        </w:rPr>
        <w:id w:val="-422336830"/>
        <w:docPartObj>
          <w:docPartGallery w:val="Table of Contents"/>
          <w:docPartUnique/>
        </w:docPartObj>
      </w:sdtPr>
      <w:sdtEndPr>
        <w:rPr>
          <w:b/>
          <w:bCs/>
          <w:noProof/>
        </w:rPr>
      </w:sdtEndPr>
      <w:sdtContent>
        <w:p w14:paraId="5AB27FBE" w14:textId="77777777" w:rsidR="00F04551" w:rsidRDefault="00F04551">
          <w:pPr>
            <w:pStyle w:val="TOCHeading"/>
          </w:pPr>
          <w:r>
            <w:t>Table of Contents</w:t>
          </w:r>
        </w:p>
        <w:p w14:paraId="2CB2753B" w14:textId="130B654B" w:rsidR="00450873" w:rsidRDefault="00F04551">
          <w:pPr>
            <w:pStyle w:val="TOC1"/>
            <w:rPr>
              <w:rFonts w:eastAsiaTheme="minorEastAsia"/>
              <w:noProof/>
              <w:lang w:val="en-CA" w:eastAsia="en-CA"/>
            </w:rPr>
          </w:pPr>
          <w:r>
            <w:rPr>
              <w:b/>
              <w:bCs/>
              <w:noProof/>
            </w:rPr>
            <w:fldChar w:fldCharType="begin"/>
          </w:r>
          <w:r>
            <w:rPr>
              <w:b/>
              <w:bCs/>
              <w:noProof/>
            </w:rPr>
            <w:instrText xml:space="preserve"> TOC \o "1-3" \h \z \u </w:instrText>
          </w:r>
          <w:r>
            <w:rPr>
              <w:b/>
              <w:bCs/>
              <w:noProof/>
            </w:rPr>
            <w:fldChar w:fldCharType="separate"/>
          </w:r>
          <w:hyperlink w:anchor="_Toc110425254" w:history="1">
            <w:r w:rsidR="00450873" w:rsidRPr="00782AC3">
              <w:rPr>
                <w:rStyle w:val="Hyperlink"/>
                <w:noProof/>
              </w:rPr>
              <w:t>1.0</w:t>
            </w:r>
            <w:r w:rsidR="00450873">
              <w:rPr>
                <w:rFonts w:eastAsiaTheme="minorEastAsia"/>
                <w:noProof/>
                <w:lang w:val="en-CA" w:eastAsia="en-CA"/>
              </w:rPr>
              <w:tab/>
            </w:r>
            <w:r w:rsidR="00450873" w:rsidRPr="00782AC3">
              <w:rPr>
                <w:rStyle w:val="Hyperlink"/>
                <w:noProof/>
              </w:rPr>
              <w:t>Application</w:t>
            </w:r>
            <w:r w:rsidR="00450873">
              <w:rPr>
                <w:noProof/>
                <w:webHidden/>
              </w:rPr>
              <w:tab/>
            </w:r>
            <w:r w:rsidR="00450873">
              <w:rPr>
                <w:noProof/>
                <w:webHidden/>
              </w:rPr>
              <w:fldChar w:fldCharType="begin"/>
            </w:r>
            <w:r w:rsidR="00450873">
              <w:rPr>
                <w:noProof/>
                <w:webHidden/>
              </w:rPr>
              <w:instrText xml:space="preserve"> PAGEREF _Toc110425254 \h </w:instrText>
            </w:r>
            <w:r w:rsidR="00450873">
              <w:rPr>
                <w:noProof/>
                <w:webHidden/>
              </w:rPr>
            </w:r>
            <w:r w:rsidR="00450873">
              <w:rPr>
                <w:noProof/>
                <w:webHidden/>
              </w:rPr>
              <w:fldChar w:fldCharType="separate"/>
            </w:r>
            <w:r w:rsidR="00450873">
              <w:rPr>
                <w:noProof/>
                <w:webHidden/>
              </w:rPr>
              <w:t>4</w:t>
            </w:r>
            <w:r w:rsidR="00450873">
              <w:rPr>
                <w:noProof/>
                <w:webHidden/>
              </w:rPr>
              <w:fldChar w:fldCharType="end"/>
            </w:r>
          </w:hyperlink>
        </w:p>
        <w:p w14:paraId="5548327F" w14:textId="15FA6803" w:rsidR="00450873" w:rsidRDefault="00450873">
          <w:pPr>
            <w:pStyle w:val="TOC2"/>
            <w:tabs>
              <w:tab w:val="left" w:pos="880"/>
              <w:tab w:val="right" w:leader="dot" w:pos="9350"/>
            </w:tabs>
            <w:rPr>
              <w:rFonts w:eastAsiaTheme="minorEastAsia"/>
              <w:noProof/>
              <w:lang w:val="en-CA" w:eastAsia="en-CA"/>
            </w:rPr>
          </w:pPr>
          <w:hyperlink w:anchor="_Toc110425255" w:history="1">
            <w:r w:rsidRPr="00782AC3">
              <w:rPr>
                <w:rStyle w:val="Hyperlink"/>
                <w:noProof/>
              </w:rPr>
              <w:t>1.1</w:t>
            </w:r>
            <w:r>
              <w:rPr>
                <w:rFonts w:eastAsiaTheme="minorEastAsia"/>
                <w:noProof/>
                <w:lang w:val="en-CA" w:eastAsia="en-CA"/>
              </w:rPr>
              <w:tab/>
            </w:r>
            <w:r w:rsidRPr="00782AC3">
              <w:rPr>
                <w:rStyle w:val="Hyperlink"/>
                <w:noProof/>
              </w:rPr>
              <w:t>Managers Summary</w:t>
            </w:r>
            <w:r>
              <w:rPr>
                <w:noProof/>
                <w:webHidden/>
              </w:rPr>
              <w:tab/>
            </w:r>
            <w:r>
              <w:rPr>
                <w:noProof/>
                <w:webHidden/>
              </w:rPr>
              <w:fldChar w:fldCharType="begin"/>
            </w:r>
            <w:r>
              <w:rPr>
                <w:noProof/>
                <w:webHidden/>
              </w:rPr>
              <w:instrText xml:space="preserve"> PAGEREF _Toc110425255 \h </w:instrText>
            </w:r>
            <w:r>
              <w:rPr>
                <w:noProof/>
                <w:webHidden/>
              </w:rPr>
            </w:r>
            <w:r>
              <w:rPr>
                <w:noProof/>
                <w:webHidden/>
              </w:rPr>
              <w:fldChar w:fldCharType="separate"/>
            </w:r>
            <w:r>
              <w:rPr>
                <w:noProof/>
                <w:webHidden/>
              </w:rPr>
              <w:t>7</w:t>
            </w:r>
            <w:r>
              <w:rPr>
                <w:noProof/>
                <w:webHidden/>
              </w:rPr>
              <w:fldChar w:fldCharType="end"/>
            </w:r>
          </w:hyperlink>
        </w:p>
        <w:p w14:paraId="4DC618B7" w14:textId="6974A028" w:rsidR="00450873" w:rsidRDefault="00450873">
          <w:pPr>
            <w:pStyle w:val="TOC2"/>
            <w:tabs>
              <w:tab w:val="left" w:pos="880"/>
              <w:tab w:val="right" w:leader="dot" w:pos="9350"/>
            </w:tabs>
            <w:rPr>
              <w:rFonts w:eastAsiaTheme="minorEastAsia"/>
              <w:noProof/>
              <w:lang w:val="en-CA" w:eastAsia="en-CA"/>
            </w:rPr>
          </w:pPr>
          <w:hyperlink w:anchor="_Toc110425256" w:history="1">
            <w:r w:rsidRPr="00782AC3">
              <w:rPr>
                <w:rStyle w:val="Hyperlink"/>
                <w:noProof/>
              </w:rPr>
              <w:t>1.2</w:t>
            </w:r>
            <w:r>
              <w:rPr>
                <w:rFonts w:eastAsiaTheme="minorEastAsia"/>
                <w:noProof/>
                <w:lang w:val="en-CA" w:eastAsia="en-CA"/>
              </w:rPr>
              <w:tab/>
            </w:r>
            <w:r w:rsidRPr="00782AC3">
              <w:rPr>
                <w:rStyle w:val="Hyperlink"/>
                <w:noProof/>
              </w:rPr>
              <w:t>Contact Information</w:t>
            </w:r>
            <w:r>
              <w:rPr>
                <w:noProof/>
                <w:webHidden/>
              </w:rPr>
              <w:tab/>
            </w:r>
            <w:r>
              <w:rPr>
                <w:noProof/>
                <w:webHidden/>
              </w:rPr>
              <w:fldChar w:fldCharType="begin"/>
            </w:r>
            <w:r>
              <w:rPr>
                <w:noProof/>
                <w:webHidden/>
              </w:rPr>
              <w:instrText xml:space="preserve"> PAGEREF _Toc110425256 \h </w:instrText>
            </w:r>
            <w:r>
              <w:rPr>
                <w:noProof/>
                <w:webHidden/>
              </w:rPr>
            </w:r>
            <w:r>
              <w:rPr>
                <w:noProof/>
                <w:webHidden/>
              </w:rPr>
              <w:fldChar w:fldCharType="separate"/>
            </w:r>
            <w:r>
              <w:rPr>
                <w:noProof/>
                <w:webHidden/>
              </w:rPr>
              <w:t>9</w:t>
            </w:r>
            <w:r>
              <w:rPr>
                <w:noProof/>
                <w:webHidden/>
              </w:rPr>
              <w:fldChar w:fldCharType="end"/>
            </w:r>
          </w:hyperlink>
        </w:p>
        <w:p w14:paraId="43AEF182" w14:textId="78690EE4" w:rsidR="00450873" w:rsidRDefault="00450873">
          <w:pPr>
            <w:pStyle w:val="TOC1"/>
            <w:rPr>
              <w:rFonts w:eastAsiaTheme="minorEastAsia"/>
              <w:noProof/>
              <w:lang w:val="en-CA" w:eastAsia="en-CA"/>
            </w:rPr>
          </w:pPr>
          <w:hyperlink w:anchor="_Toc110425257" w:history="1">
            <w:r w:rsidRPr="00782AC3">
              <w:rPr>
                <w:rStyle w:val="Hyperlink"/>
                <w:noProof/>
              </w:rPr>
              <w:t>2.0</w:t>
            </w:r>
            <w:r>
              <w:rPr>
                <w:rFonts w:eastAsiaTheme="minorEastAsia"/>
                <w:noProof/>
                <w:lang w:val="en-CA" w:eastAsia="en-CA"/>
              </w:rPr>
              <w:tab/>
            </w:r>
            <w:r w:rsidRPr="00782AC3">
              <w:rPr>
                <w:rStyle w:val="Hyperlink"/>
                <w:noProof/>
              </w:rPr>
              <w:t>Elements of the Price Cap IR</w:t>
            </w:r>
            <w:r>
              <w:rPr>
                <w:noProof/>
                <w:webHidden/>
              </w:rPr>
              <w:tab/>
            </w:r>
            <w:r>
              <w:rPr>
                <w:noProof/>
                <w:webHidden/>
              </w:rPr>
              <w:fldChar w:fldCharType="begin"/>
            </w:r>
            <w:r>
              <w:rPr>
                <w:noProof/>
                <w:webHidden/>
              </w:rPr>
              <w:instrText xml:space="preserve"> PAGEREF _Toc110425257 \h </w:instrText>
            </w:r>
            <w:r>
              <w:rPr>
                <w:noProof/>
                <w:webHidden/>
              </w:rPr>
            </w:r>
            <w:r>
              <w:rPr>
                <w:noProof/>
                <w:webHidden/>
              </w:rPr>
              <w:fldChar w:fldCharType="separate"/>
            </w:r>
            <w:r>
              <w:rPr>
                <w:noProof/>
                <w:webHidden/>
              </w:rPr>
              <w:t>10</w:t>
            </w:r>
            <w:r>
              <w:rPr>
                <w:noProof/>
                <w:webHidden/>
              </w:rPr>
              <w:fldChar w:fldCharType="end"/>
            </w:r>
          </w:hyperlink>
        </w:p>
        <w:p w14:paraId="2973D794" w14:textId="642FADA5" w:rsidR="00450873" w:rsidRDefault="00450873">
          <w:pPr>
            <w:pStyle w:val="TOC2"/>
            <w:tabs>
              <w:tab w:val="left" w:pos="880"/>
              <w:tab w:val="right" w:leader="dot" w:pos="9350"/>
            </w:tabs>
            <w:rPr>
              <w:rFonts w:eastAsiaTheme="minorEastAsia"/>
              <w:noProof/>
              <w:lang w:val="en-CA" w:eastAsia="en-CA"/>
            </w:rPr>
          </w:pPr>
          <w:hyperlink w:anchor="_Toc110425258" w:history="1">
            <w:r w:rsidRPr="00782AC3">
              <w:rPr>
                <w:rStyle w:val="Hyperlink"/>
                <w:noProof/>
              </w:rPr>
              <w:t>2.1</w:t>
            </w:r>
            <w:r>
              <w:rPr>
                <w:rFonts w:eastAsiaTheme="minorEastAsia"/>
                <w:noProof/>
                <w:lang w:val="en-CA" w:eastAsia="en-CA"/>
              </w:rPr>
              <w:tab/>
            </w:r>
            <w:r w:rsidRPr="00782AC3">
              <w:rPr>
                <w:rStyle w:val="Hyperlink"/>
                <w:noProof/>
              </w:rPr>
              <w:t>Annual Adjustment Mechanism</w:t>
            </w:r>
            <w:r>
              <w:rPr>
                <w:noProof/>
                <w:webHidden/>
              </w:rPr>
              <w:tab/>
            </w:r>
            <w:r>
              <w:rPr>
                <w:noProof/>
                <w:webHidden/>
              </w:rPr>
              <w:fldChar w:fldCharType="begin"/>
            </w:r>
            <w:r>
              <w:rPr>
                <w:noProof/>
                <w:webHidden/>
              </w:rPr>
              <w:instrText xml:space="preserve"> PAGEREF _Toc110425258 \h </w:instrText>
            </w:r>
            <w:r>
              <w:rPr>
                <w:noProof/>
                <w:webHidden/>
              </w:rPr>
            </w:r>
            <w:r>
              <w:rPr>
                <w:noProof/>
                <w:webHidden/>
              </w:rPr>
              <w:fldChar w:fldCharType="separate"/>
            </w:r>
            <w:r>
              <w:rPr>
                <w:noProof/>
                <w:webHidden/>
              </w:rPr>
              <w:t>10</w:t>
            </w:r>
            <w:r>
              <w:rPr>
                <w:noProof/>
                <w:webHidden/>
              </w:rPr>
              <w:fldChar w:fldCharType="end"/>
            </w:r>
          </w:hyperlink>
        </w:p>
        <w:p w14:paraId="5C2209F4" w14:textId="0E649B83" w:rsidR="00450873" w:rsidRDefault="00450873">
          <w:pPr>
            <w:pStyle w:val="TOC2"/>
            <w:tabs>
              <w:tab w:val="left" w:pos="880"/>
              <w:tab w:val="right" w:leader="dot" w:pos="9350"/>
            </w:tabs>
            <w:rPr>
              <w:rFonts w:eastAsiaTheme="minorEastAsia"/>
              <w:noProof/>
              <w:lang w:val="en-CA" w:eastAsia="en-CA"/>
            </w:rPr>
          </w:pPr>
          <w:hyperlink w:anchor="_Toc110425259" w:history="1">
            <w:r w:rsidRPr="00782AC3">
              <w:rPr>
                <w:rStyle w:val="Hyperlink"/>
                <w:noProof/>
              </w:rPr>
              <w:t>2.2</w:t>
            </w:r>
            <w:r>
              <w:rPr>
                <w:rFonts w:eastAsiaTheme="minorEastAsia"/>
                <w:noProof/>
                <w:lang w:val="en-CA" w:eastAsia="en-CA"/>
              </w:rPr>
              <w:tab/>
            </w:r>
            <w:r w:rsidRPr="00782AC3">
              <w:rPr>
                <w:rStyle w:val="Hyperlink"/>
                <w:noProof/>
              </w:rPr>
              <w:t>Revenue to Cost Ratio Adjustments</w:t>
            </w:r>
            <w:r>
              <w:rPr>
                <w:noProof/>
                <w:webHidden/>
              </w:rPr>
              <w:tab/>
            </w:r>
            <w:r>
              <w:rPr>
                <w:noProof/>
                <w:webHidden/>
              </w:rPr>
              <w:fldChar w:fldCharType="begin"/>
            </w:r>
            <w:r>
              <w:rPr>
                <w:noProof/>
                <w:webHidden/>
              </w:rPr>
              <w:instrText xml:space="preserve"> PAGEREF _Toc110425259 \h </w:instrText>
            </w:r>
            <w:r>
              <w:rPr>
                <w:noProof/>
                <w:webHidden/>
              </w:rPr>
            </w:r>
            <w:r>
              <w:rPr>
                <w:noProof/>
                <w:webHidden/>
              </w:rPr>
              <w:fldChar w:fldCharType="separate"/>
            </w:r>
            <w:r>
              <w:rPr>
                <w:noProof/>
                <w:webHidden/>
              </w:rPr>
              <w:t>11</w:t>
            </w:r>
            <w:r>
              <w:rPr>
                <w:noProof/>
                <w:webHidden/>
              </w:rPr>
              <w:fldChar w:fldCharType="end"/>
            </w:r>
          </w:hyperlink>
        </w:p>
        <w:p w14:paraId="20E4B088" w14:textId="5827248F" w:rsidR="00450873" w:rsidRDefault="00450873">
          <w:pPr>
            <w:pStyle w:val="TOC2"/>
            <w:tabs>
              <w:tab w:val="left" w:pos="880"/>
              <w:tab w:val="right" w:leader="dot" w:pos="9350"/>
            </w:tabs>
            <w:rPr>
              <w:rFonts w:eastAsiaTheme="minorEastAsia"/>
              <w:noProof/>
              <w:lang w:val="en-CA" w:eastAsia="en-CA"/>
            </w:rPr>
          </w:pPr>
          <w:hyperlink w:anchor="_Toc110425260" w:history="1">
            <w:r w:rsidRPr="00782AC3">
              <w:rPr>
                <w:rStyle w:val="Hyperlink"/>
                <w:noProof/>
              </w:rPr>
              <w:t>2.3</w:t>
            </w:r>
            <w:r>
              <w:rPr>
                <w:rFonts w:eastAsiaTheme="minorEastAsia"/>
                <w:noProof/>
                <w:lang w:val="en-CA" w:eastAsia="en-CA"/>
              </w:rPr>
              <w:tab/>
            </w:r>
            <w:r w:rsidRPr="00782AC3">
              <w:rPr>
                <w:rStyle w:val="Hyperlink"/>
                <w:noProof/>
              </w:rPr>
              <w:t>Rate Design for Residential Electricity Customers</w:t>
            </w:r>
            <w:r>
              <w:rPr>
                <w:noProof/>
                <w:webHidden/>
              </w:rPr>
              <w:tab/>
            </w:r>
            <w:r>
              <w:rPr>
                <w:noProof/>
                <w:webHidden/>
              </w:rPr>
              <w:fldChar w:fldCharType="begin"/>
            </w:r>
            <w:r>
              <w:rPr>
                <w:noProof/>
                <w:webHidden/>
              </w:rPr>
              <w:instrText xml:space="preserve"> PAGEREF _Toc110425260 \h </w:instrText>
            </w:r>
            <w:r>
              <w:rPr>
                <w:noProof/>
                <w:webHidden/>
              </w:rPr>
            </w:r>
            <w:r>
              <w:rPr>
                <w:noProof/>
                <w:webHidden/>
              </w:rPr>
              <w:fldChar w:fldCharType="separate"/>
            </w:r>
            <w:r>
              <w:rPr>
                <w:noProof/>
                <w:webHidden/>
              </w:rPr>
              <w:t>11</w:t>
            </w:r>
            <w:r>
              <w:rPr>
                <w:noProof/>
                <w:webHidden/>
              </w:rPr>
              <w:fldChar w:fldCharType="end"/>
            </w:r>
          </w:hyperlink>
        </w:p>
        <w:p w14:paraId="0055118D" w14:textId="06434C71" w:rsidR="00450873" w:rsidRDefault="00450873">
          <w:pPr>
            <w:pStyle w:val="TOC2"/>
            <w:tabs>
              <w:tab w:val="left" w:pos="880"/>
              <w:tab w:val="right" w:leader="dot" w:pos="9350"/>
            </w:tabs>
            <w:rPr>
              <w:rFonts w:eastAsiaTheme="minorEastAsia"/>
              <w:noProof/>
              <w:lang w:val="en-CA" w:eastAsia="en-CA"/>
            </w:rPr>
          </w:pPr>
          <w:hyperlink w:anchor="_Toc110425261" w:history="1">
            <w:r w:rsidRPr="00782AC3">
              <w:rPr>
                <w:rStyle w:val="Hyperlink"/>
                <w:noProof/>
              </w:rPr>
              <w:t>2.4</w:t>
            </w:r>
            <w:r>
              <w:rPr>
                <w:rFonts w:eastAsiaTheme="minorEastAsia"/>
                <w:noProof/>
                <w:lang w:val="en-CA" w:eastAsia="en-CA"/>
              </w:rPr>
              <w:tab/>
            </w:r>
            <w:r w:rsidRPr="00782AC3">
              <w:rPr>
                <w:rStyle w:val="Hyperlink"/>
                <w:noProof/>
              </w:rPr>
              <w:t>Retail Transmission Service Rates</w:t>
            </w:r>
            <w:r>
              <w:rPr>
                <w:noProof/>
                <w:webHidden/>
              </w:rPr>
              <w:tab/>
            </w:r>
            <w:r>
              <w:rPr>
                <w:noProof/>
                <w:webHidden/>
              </w:rPr>
              <w:fldChar w:fldCharType="begin"/>
            </w:r>
            <w:r>
              <w:rPr>
                <w:noProof/>
                <w:webHidden/>
              </w:rPr>
              <w:instrText xml:space="preserve"> PAGEREF _Toc110425261 \h </w:instrText>
            </w:r>
            <w:r>
              <w:rPr>
                <w:noProof/>
                <w:webHidden/>
              </w:rPr>
            </w:r>
            <w:r>
              <w:rPr>
                <w:noProof/>
                <w:webHidden/>
              </w:rPr>
              <w:fldChar w:fldCharType="separate"/>
            </w:r>
            <w:r>
              <w:rPr>
                <w:noProof/>
                <w:webHidden/>
              </w:rPr>
              <w:t>12</w:t>
            </w:r>
            <w:r>
              <w:rPr>
                <w:noProof/>
                <w:webHidden/>
              </w:rPr>
              <w:fldChar w:fldCharType="end"/>
            </w:r>
          </w:hyperlink>
        </w:p>
        <w:p w14:paraId="5A8EEDEB" w14:textId="163283DA" w:rsidR="00450873" w:rsidRDefault="00450873">
          <w:pPr>
            <w:pStyle w:val="TOC2"/>
            <w:tabs>
              <w:tab w:val="left" w:pos="880"/>
              <w:tab w:val="right" w:leader="dot" w:pos="9350"/>
            </w:tabs>
            <w:rPr>
              <w:rFonts w:eastAsiaTheme="minorEastAsia"/>
              <w:noProof/>
              <w:lang w:val="en-CA" w:eastAsia="en-CA"/>
            </w:rPr>
          </w:pPr>
          <w:hyperlink w:anchor="_Toc110425262" w:history="1">
            <w:r w:rsidRPr="00782AC3">
              <w:rPr>
                <w:rStyle w:val="Hyperlink"/>
                <w:noProof/>
              </w:rPr>
              <w:t>2.5</w:t>
            </w:r>
            <w:r>
              <w:rPr>
                <w:rFonts w:eastAsiaTheme="minorEastAsia"/>
                <w:noProof/>
                <w:lang w:val="en-CA" w:eastAsia="en-CA"/>
              </w:rPr>
              <w:tab/>
            </w:r>
            <w:r w:rsidRPr="00782AC3">
              <w:rPr>
                <w:rStyle w:val="Hyperlink"/>
                <w:noProof/>
              </w:rPr>
              <w:t>Group 1 Deferral and Variance Account Balances</w:t>
            </w:r>
            <w:r>
              <w:rPr>
                <w:noProof/>
                <w:webHidden/>
              </w:rPr>
              <w:tab/>
            </w:r>
            <w:r>
              <w:rPr>
                <w:noProof/>
                <w:webHidden/>
              </w:rPr>
              <w:fldChar w:fldCharType="begin"/>
            </w:r>
            <w:r>
              <w:rPr>
                <w:noProof/>
                <w:webHidden/>
              </w:rPr>
              <w:instrText xml:space="preserve"> PAGEREF _Toc110425262 \h </w:instrText>
            </w:r>
            <w:r>
              <w:rPr>
                <w:noProof/>
                <w:webHidden/>
              </w:rPr>
            </w:r>
            <w:r>
              <w:rPr>
                <w:noProof/>
                <w:webHidden/>
              </w:rPr>
              <w:fldChar w:fldCharType="separate"/>
            </w:r>
            <w:r>
              <w:rPr>
                <w:noProof/>
                <w:webHidden/>
              </w:rPr>
              <w:t>13</w:t>
            </w:r>
            <w:r>
              <w:rPr>
                <w:noProof/>
                <w:webHidden/>
              </w:rPr>
              <w:fldChar w:fldCharType="end"/>
            </w:r>
          </w:hyperlink>
        </w:p>
        <w:p w14:paraId="384A23D8" w14:textId="1952B7F4" w:rsidR="00450873" w:rsidRDefault="00450873">
          <w:pPr>
            <w:pStyle w:val="TOC3"/>
            <w:tabs>
              <w:tab w:val="right" w:leader="dot" w:pos="9350"/>
            </w:tabs>
            <w:rPr>
              <w:rFonts w:eastAsiaTheme="minorEastAsia"/>
              <w:noProof/>
              <w:lang w:val="en-CA" w:eastAsia="en-CA"/>
            </w:rPr>
          </w:pPr>
          <w:hyperlink w:anchor="_Toc110425263" w:history="1">
            <w:r w:rsidRPr="00782AC3">
              <w:rPr>
                <w:rStyle w:val="Hyperlink"/>
                <w:noProof/>
              </w:rPr>
              <w:t>2.5.1 1595 Analysis</w:t>
            </w:r>
            <w:r>
              <w:rPr>
                <w:noProof/>
                <w:webHidden/>
              </w:rPr>
              <w:tab/>
            </w:r>
            <w:r>
              <w:rPr>
                <w:noProof/>
                <w:webHidden/>
              </w:rPr>
              <w:fldChar w:fldCharType="begin"/>
            </w:r>
            <w:r>
              <w:rPr>
                <w:noProof/>
                <w:webHidden/>
              </w:rPr>
              <w:instrText xml:space="preserve"> PAGEREF _Toc110425263 \h </w:instrText>
            </w:r>
            <w:r>
              <w:rPr>
                <w:noProof/>
                <w:webHidden/>
              </w:rPr>
            </w:r>
            <w:r>
              <w:rPr>
                <w:noProof/>
                <w:webHidden/>
              </w:rPr>
              <w:fldChar w:fldCharType="separate"/>
            </w:r>
            <w:r>
              <w:rPr>
                <w:noProof/>
                <w:webHidden/>
              </w:rPr>
              <w:t>14</w:t>
            </w:r>
            <w:r>
              <w:rPr>
                <w:noProof/>
                <w:webHidden/>
              </w:rPr>
              <w:fldChar w:fldCharType="end"/>
            </w:r>
          </w:hyperlink>
        </w:p>
        <w:p w14:paraId="0F4DE4AC" w14:textId="6F5C146B" w:rsidR="00450873" w:rsidRDefault="00450873">
          <w:pPr>
            <w:pStyle w:val="TOC3"/>
            <w:tabs>
              <w:tab w:val="right" w:leader="dot" w:pos="9350"/>
            </w:tabs>
            <w:rPr>
              <w:rFonts w:eastAsiaTheme="minorEastAsia"/>
              <w:noProof/>
              <w:lang w:val="en-CA" w:eastAsia="en-CA"/>
            </w:rPr>
          </w:pPr>
          <w:hyperlink w:anchor="_Toc110425264" w:history="1">
            <w:r w:rsidRPr="00782AC3">
              <w:rPr>
                <w:rStyle w:val="Hyperlink"/>
                <w:noProof/>
              </w:rPr>
              <w:t>2.5.2 Wholesale Market Participants</w:t>
            </w:r>
            <w:r>
              <w:rPr>
                <w:noProof/>
                <w:webHidden/>
              </w:rPr>
              <w:tab/>
            </w:r>
            <w:r>
              <w:rPr>
                <w:noProof/>
                <w:webHidden/>
              </w:rPr>
              <w:fldChar w:fldCharType="begin"/>
            </w:r>
            <w:r>
              <w:rPr>
                <w:noProof/>
                <w:webHidden/>
              </w:rPr>
              <w:instrText xml:space="preserve"> PAGEREF _Toc110425264 \h </w:instrText>
            </w:r>
            <w:r>
              <w:rPr>
                <w:noProof/>
                <w:webHidden/>
              </w:rPr>
            </w:r>
            <w:r>
              <w:rPr>
                <w:noProof/>
                <w:webHidden/>
              </w:rPr>
              <w:fldChar w:fldCharType="separate"/>
            </w:r>
            <w:r>
              <w:rPr>
                <w:noProof/>
                <w:webHidden/>
              </w:rPr>
              <w:t>15</w:t>
            </w:r>
            <w:r>
              <w:rPr>
                <w:noProof/>
                <w:webHidden/>
              </w:rPr>
              <w:fldChar w:fldCharType="end"/>
            </w:r>
          </w:hyperlink>
        </w:p>
        <w:p w14:paraId="3A4A4DBC" w14:textId="5CEA784A" w:rsidR="00450873" w:rsidRDefault="00450873">
          <w:pPr>
            <w:pStyle w:val="TOC3"/>
            <w:tabs>
              <w:tab w:val="right" w:leader="dot" w:pos="9350"/>
            </w:tabs>
            <w:rPr>
              <w:rFonts w:eastAsiaTheme="minorEastAsia"/>
              <w:noProof/>
              <w:lang w:val="en-CA" w:eastAsia="en-CA"/>
            </w:rPr>
          </w:pPr>
          <w:hyperlink w:anchor="_Toc110425265" w:history="1">
            <w:r w:rsidRPr="00782AC3">
              <w:rPr>
                <w:rStyle w:val="Hyperlink"/>
                <w:noProof/>
              </w:rPr>
              <w:t>2.5.3 Global Adjustment</w:t>
            </w:r>
            <w:r>
              <w:rPr>
                <w:noProof/>
                <w:webHidden/>
              </w:rPr>
              <w:tab/>
            </w:r>
            <w:r>
              <w:rPr>
                <w:noProof/>
                <w:webHidden/>
              </w:rPr>
              <w:fldChar w:fldCharType="begin"/>
            </w:r>
            <w:r>
              <w:rPr>
                <w:noProof/>
                <w:webHidden/>
              </w:rPr>
              <w:instrText xml:space="preserve"> PAGEREF _Toc110425265 \h </w:instrText>
            </w:r>
            <w:r>
              <w:rPr>
                <w:noProof/>
                <w:webHidden/>
              </w:rPr>
            </w:r>
            <w:r>
              <w:rPr>
                <w:noProof/>
                <w:webHidden/>
              </w:rPr>
              <w:fldChar w:fldCharType="separate"/>
            </w:r>
            <w:r>
              <w:rPr>
                <w:noProof/>
                <w:webHidden/>
              </w:rPr>
              <w:t>15</w:t>
            </w:r>
            <w:r>
              <w:rPr>
                <w:noProof/>
                <w:webHidden/>
              </w:rPr>
              <w:fldChar w:fldCharType="end"/>
            </w:r>
          </w:hyperlink>
        </w:p>
        <w:p w14:paraId="4F95086D" w14:textId="02A03D13" w:rsidR="00450873" w:rsidRDefault="00450873">
          <w:pPr>
            <w:pStyle w:val="TOC3"/>
            <w:tabs>
              <w:tab w:val="right" w:leader="dot" w:pos="9350"/>
            </w:tabs>
            <w:rPr>
              <w:rFonts w:eastAsiaTheme="minorEastAsia"/>
              <w:noProof/>
              <w:lang w:val="en-CA" w:eastAsia="en-CA"/>
            </w:rPr>
          </w:pPr>
          <w:hyperlink w:anchor="_Toc110425266" w:history="1">
            <w:r w:rsidRPr="00782AC3">
              <w:rPr>
                <w:rStyle w:val="Hyperlink"/>
                <w:noProof/>
              </w:rPr>
              <w:t>2.5.4 CBR Class B</w:t>
            </w:r>
            <w:r>
              <w:rPr>
                <w:noProof/>
                <w:webHidden/>
              </w:rPr>
              <w:tab/>
            </w:r>
            <w:r>
              <w:rPr>
                <w:noProof/>
                <w:webHidden/>
              </w:rPr>
              <w:fldChar w:fldCharType="begin"/>
            </w:r>
            <w:r>
              <w:rPr>
                <w:noProof/>
                <w:webHidden/>
              </w:rPr>
              <w:instrText xml:space="preserve"> PAGEREF _Toc110425266 \h </w:instrText>
            </w:r>
            <w:r>
              <w:rPr>
                <w:noProof/>
                <w:webHidden/>
              </w:rPr>
            </w:r>
            <w:r>
              <w:rPr>
                <w:noProof/>
                <w:webHidden/>
              </w:rPr>
              <w:fldChar w:fldCharType="separate"/>
            </w:r>
            <w:r>
              <w:rPr>
                <w:noProof/>
                <w:webHidden/>
              </w:rPr>
              <w:t>16</w:t>
            </w:r>
            <w:r>
              <w:rPr>
                <w:noProof/>
                <w:webHidden/>
              </w:rPr>
              <w:fldChar w:fldCharType="end"/>
            </w:r>
          </w:hyperlink>
        </w:p>
        <w:p w14:paraId="2371235A" w14:textId="6E6EEBEF" w:rsidR="00450873" w:rsidRDefault="00450873">
          <w:pPr>
            <w:pStyle w:val="TOC2"/>
            <w:tabs>
              <w:tab w:val="left" w:pos="880"/>
              <w:tab w:val="right" w:leader="dot" w:pos="9350"/>
            </w:tabs>
            <w:rPr>
              <w:rFonts w:eastAsiaTheme="minorEastAsia"/>
              <w:noProof/>
              <w:lang w:val="en-CA" w:eastAsia="en-CA"/>
            </w:rPr>
          </w:pPr>
          <w:hyperlink w:anchor="_Toc110425274" w:history="1">
            <w:r w:rsidRPr="00782AC3">
              <w:rPr>
                <w:rStyle w:val="Hyperlink"/>
                <w:noProof/>
              </w:rPr>
              <w:t>2.6</w:t>
            </w:r>
            <w:r>
              <w:rPr>
                <w:rFonts w:eastAsiaTheme="minorEastAsia"/>
                <w:noProof/>
                <w:lang w:val="en-CA" w:eastAsia="en-CA"/>
              </w:rPr>
              <w:tab/>
            </w:r>
            <w:r w:rsidRPr="00782AC3">
              <w:rPr>
                <w:rStyle w:val="Hyperlink"/>
                <w:noProof/>
              </w:rPr>
              <w:t>Group 2 Deferral and Variance Account Balances</w:t>
            </w:r>
            <w:r>
              <w:rPr>
                <w:noProof/>
                <w:webHidden/>
              </w:rPr>
              <w:tab/>
            </w:r>
            <w:r>
              <w:rPr>
                <w:noProof/>
                <w:webHidden/>
              </w:rPr>
              <w:fldChar w:fldCharType="begin"/>
            </w:r>
            <w:r>
              <w:rPr>
                <w:noProof/>
                <w:webHidden/>
              </w:rPr>
              <w:instrText xml:space="preserve"> PAGEREF _Toc110425274 \h </w:instrText>
            </w:r>
            <w:r>
              <w:rPr>
                <w:noProof/>
                <w:webHidden/>
              </w:rPr>
            </w:r>
            <w:r>
              <w:rPr>
                <w:noProof/>
                <w:webHidden/>
              </w:rPr>
              <w:fldChar w:fldCharType="separate"/>
            </w:r>
            <w:r>
              <w:rPr>
                <w:noProof/>
                <w:webHidden/>
              </w:rPr>
              <w:t>16</w:t>
            </w:r>
            <w:r>
              <w:rPr>
                <w:noProof/>
                <w:webHidden/>
              </w:rPr>
              <w:fldChar w:fldCharType="end"/>
            </w:r>
          </w:hyperlink>
        </w:p>
        <w:p w14:paraId="466600CC" w14:textId="42B8C587" w:rsidR="00450873" w:rsidRDefault="00450873">
          <w:pPr>
            <w:pStyle w:val="TOC2"/>
            <w:tabs>
              <w:tab w:val="left" w:pos="880"/>
              <w:tab w:val="right" w:leader="dot" w:pos="9350"/>
            </w:tabs>
            <w:rPr>
              <w:rFonts w:eastAsiaTheme="minorEastAsia"/>
              <w:noProof/>
              <w:lang w:val="en-CA" w:eastAsia="en-CA"/>
            </w:rPr>
          </w:pPr>
          <w:hyperlink w:anchor="_Toc110425275" w:history="1">
            <w:r w:rsidRPr="00782AC3">
              <w:rPr>
                <w:rStyle w:val="Hyperlink"/>
                <w:noProof/>
              </w:rPr>
              <w:t>2.7</w:t>
            </w:r>
            <w:r>
              <w:rPr>
                <w:rFonts w:eastAsiaTheme="minorEastAsia"/>
                <w:noProof/>
                <w:lang w:val="en-CA" w:eastAsia="en-CA"/>
              </w:rPr>
              <w:tab/>
            </w:r>
            <w:r w:rsidRPr="00782AC3">
              <w:rPr>
                <w:rStyle w:val="Hyperlink"/>
                <w:noProof/>
              </w:rPr>
              <w:t>LRAM Variance Account (LRAMVA)</w:t>
            </w:r>
            <w:r>
              <w:rPr>
                <w:noProof/>
                <w:webHidden/>
              </w:rPr>
              <w:tab/>
            </w:r>
            <w:r>
              <w:rPr>
                <w:noProof/>
                <w:webHidden/>
              </w:rPr>
              <w:fldChar w:fldCharType="begin"/>
            </w:r>
            <w:r>
              <w:rPr>
                <w:noProof/>
                <w:webHidden/>
              </w:rPr>
              <w:instrText xml:space="preserve"> PAGEREF _Toc110425275 \h </w:instrText>
            </w:r>
            <w:r>
              <w:rPr>
                <w:noProof/>
                <w:webHidden/>
              </w:rPr>
            </w:r>
            <w:r>
              <w:rPr>
                <w:noProof/>
                <w:webHidden/>
              </w:rPr>
              <w:fldChar w:fldCharType="separate"/>
            </w:r>
            <w:r>
              <w:rPr>
                <w:noProof/>
                <w:webHidden/>
              </w:rPr>
              <w:t>17</w:t>
            </w:r>
            <w:r>
              <w:rPr>
                <w:noProof/>
                <w:webHidden/>
              </w:rPr>
              <w:fldChar w:fldCharType="end"/>
            </w:r>
          </w:hyperlink>
        </w:p>
        <w:p w14:paraId="5239686D" w14:textId="2B086DA1" w:rsidR="00450873" w:rsidRDefault="00450873">
          <w:pPr>
            <w:pStyle w:val="TOC2"/>
            <w:tabs>
              <w:tab w:val="left" w:pos="880"/>
              <w:tab w:val="right" w:leader="dot" w:pos="9350"/>
            </w:tabs>
            <w:rPr>
              <w:rFonts w:eastAsiaTheme="minorEastAsia"/>
              <w:noProof/>
              <w:lang w:val="en-CA" w:eastAsia="en-CA"/>
            </w:rPr>
          </w:pPr>
          <w:hyperlink w:anchor="_Toc110425276" w:history="1">
            <w:r w:rsidRPr="00782AC3">
              <w:rPr>
                <w:rStyle w:val="Hyperlink"/>
                <w:noProof/>
              </w:rPr>
              <w:t>2.8</w:t>
            </w:r>
            <w:r>
              <w:rPr>
                <w:rFonts w:eastAsiaTheme="minorEastAsia"/>
                <w:noProof/>
                <w:lang w:val="en-CA" w:eastAsia="en-CA"/>
              </w:rPr>
              <w:tab/>
            </w:r>
            <w:r w:rsidRPr="00782AC3">
              <w:rPr>
                <w:rStyle w:val="Hyperlink"/>
                <w:noProof/>
              </w:rPr>
              <w:t>Tax Changes</w:t>
            </w:r>
            <w:r>
              <w:rPr>
                <w:noProof/>
                <w:webHidden/>
              </w:rPr>
              <w:tab/>
            </w:r>
            <w:r>
              <w:rPr>
                <w:noProof/>
                <w:webHidden/>
              </w:rPr>
              <w:fldChar w:fldCharType="begin"/>
            </w:r>
            <w:r>
              <w:rPr>
                <w:noProof/>
                <w:webHidden/>
              </w:rPr>
              <w:instrText xml:space="preserve"> PAGEREF _Toc110425276 \h </w:instrText>
            </w:r>
            <w:r>
              <w:rPr>
                <w:noProof/>
                <w:webHidden/>
              </w:rPr>
            </w:r>
            <w:r>
              <w:rPr>
                <w:noProof/>
                <w:webHidden/>
              </w:rPr>
              <w:fldChar w:fldCharType="separate"/>
            </w:r>
            <w:r>
              <w:rPr>
                <w:noProof/>
                <w:webHidden/>
              </w:rPr>
              <w:t>17</w:t>
            </w:r>
            <w:r>
              <w:rPr>
                <w:noProof/>
                <w:webHidden/>
              </w:rPr>
              <w:fldChar w:fldCharType="end"/>
            </w:r>
          </w:hyperlink>
        </w:p>
        <w:p w14:paraId="7F680106" w14:textId="0C5C9B90" w:rsidR="00450873" w:rsidRDefault="00450873">
          <w:pPr>
            <w:pStyle w:val="TOC2"/>
            <w:tabs>
              <w:tab w:val="left" w:pos="880"/>
              <w:tab w:val="right" w:leader="dot" w:pos="9350"/>
            </w:tabs>
            <w:rPr>
              <w:rFonts w:eastAsiaTheme="minorEastAsia"/>
              <w:noProof/>
              <w:lang w:val="en-CA" w:eastAsia="en-CA"/>
            </w:rPr>
          </w:pPr>
          <w:hyperlink w:anchor="_Toc110425277" w:history="1">
            <w:r w:rsidRPr="00782AC3">
              <w:rPr>
                <w:rStyle w:val="Hyperlink"/>
                <w:noProof/>
              </w:rPr>
              <w:t>2.9</w:t>
            </w:r>
            <w:r>
              <w:rPr>
                <w:rFonts w:eastAsiaTheme="minorEastAsia"/>
                <w:noProof/>
                <w:lang w:val="en-CA" w:eastAsia="en-CA"/>
              </w:rPr>
              <w:tab/>
            </w:r>
            <w:r w:rsidRPr="00782AC3">
              <w:rPr>
                <w:rStyle w:val="Hyperlink"/>
                <w:noProof/>
              </w:rPr>
              <w:t>Z Factor Changes</w:t>
            </w:r>
            <w:r>
              <w:rPr>
                <w:noProof/>
                <w:webHidden/>
              </w:rPr>
              <w:tab/>
            </w:r>
            <w:r>
              <w:rPr>
                <w:noProof/>
                <w:webHidden/>
              </w:rPr>
              <w:fldChar w:fldCharType="begin"/>
            </w:r>
            <w:r>
              <w:rPr>
                <w:noProof/>
                <w:webHidden/>
              </w:rPr>
              <w:instrText xml:space="preserve"> PAGEREF _Toc110425277 \h </w:instrText>
            </w:r>
            <w:r>
              <w:rPr>
                <w:noProof/>
                <w:webHidden/>
              </w:rPr>
            </w:r>
            <w:r>
              <w:rPr>
                <w:noProof/>
                <w:webHidden/>
              </w:rPr>
              <w:fldChar w:fldCharType="separate"/>
            </w:r>
            <w:r>
              <w:rPr>
                <w:noProof/>
                <w:webHidden/>
              </w:rPr>
              <w:t>17</w:t>
            </w:r>
            <w:r>
              <w:rPr>
                <w:noProof/>
                <w:webHidden/>
              </w:rPr>
              <w:fldChar w:fldCharType="end"/>
            </w:r>
          </w:hyperlink>
        </w:p>
        <w:p w14:paraId="53FC44CE" w14:textId="37E1F828" w:rsidR="00450873" w:rsidRDefault="00450873">
          <w:pPr>
            <w:pStyle w:val="TOC1"/>
            <w:rPr>
              <w:rFonts w:eastAsiaTheme="minorEastAsia"/>
              <w:noProof/>
              <w:lang w:val="en-CA" w:eastAsia="en-CA"/>
            </w:rPr>
          </w:pPr>
          <w:hyperlink w:anchor="_Toc110425278" w:history="1">
            <w:r w:rsidRPr="00782AC3">
              <w:rPr>
                <w:rStyle w:val="Hyperlink"/>
                <w:noProof/>
              </w:rPr>
              <w:t>3.0 Rate Change Summary and Bill Impacts</w:t>
            </w:r>
            <w:r>
              <w:rPr>
                <w:noProof/>
                <w:webHidden/>
              </w:rPr>
              <w:tab/>
            </w:r>
            <w:r>
              <w:rPr>
                <w:noProof/>
                <w:webHidden/>
              </w:rPr>
              <w:fldChar w:fldCharType="begin"/>
            </w:r>
            <w:r>
              <w:rPr>
                <w:noProof/>
                <w:webHidden/>
              </w:rPr>
              <w:instrText xml:space="preserve"> PAGEREF _Toc110425278 \h </w:instrText>
            </w:r>
            <w:r>
              <w:rPr>
                <w:noProof/>
                <w:webHidden/>
              </w:rPr>
            </w:r>
            <w:r>
              <w:rPr>
                <w:noProof/>
                <w:webHidden/>
              </w:rPr>
              <w:fldChar w:fldCharType="separate"/>
            </w:r>
            <w:r>
              <w:rPr>
                <w:noProof/>
                <w:webHidden/>
              </w:rPr>
              <w:t>18</w:t>
            </w:r>
            <w:r>
              <w:rPr>
                <w:noProof/>
                <w:webHidden/>
              </w:rPr>
              <w:fldChar w:fldCharType="end"/>
            </w:r>
          </w:hyperlink>
        </w:p>
        <w:p w14:paraId="0FE875F8" w14:textId="426B9071" w:rsidR="00450873" w:rsidRDefault="00450873">
          <w:pPr>
            <w:pStyle w:val="TOC2"/>
            <w:tabs>
              <w:tab w:val="right" w:leader="dot" w:pos="9350"/>
            </w:tabs>
            <w:rPr>
              <w:rFonts w:eastAsiaTheme="minorEastAsia"/>
              <w:noProof/>
              <w:lang w:val="en-CA" w:eastAsia="en-CA"/>
            </w:rPr>
          </w:pPr>
          <w:hyperlink w:anchor="_Toc110425279" w:history="1">
            <w:r w:rsidRPr="00782AC3">
              <w:rPr>
                <w:rStyle w:val="Hyperlink"/>
                <w:noProof/>
              </w:rPr>
              <w:t>Appendices</w:t>
            </w:r>
            <w:r>
              <w:rPr>
                <w:noProof/>
                <w:webHidden/>
              </w:rPr>
              <w:tab/>
            </w:r>
            <w:r>
              <w:rPr>
                <w:noProof/>
                <w:webHidden/>
              </w:rPr>
              <w:fldChar w:fldCharType="begin"/>
            </w:r>
            <w:r>
              <w:rPr>
                <w:noProof/>
                <w:webHidden/>
              </w:rPr>
              <w:instrText xml:space="preserve"> PAGEREF _Toc110425279 \h </w:instrText>
            </w:r>
            <w:r>
              <w:rPr>
                <w:noProof/>
                <w:webHidden/>
              </w:rPr>
            </w:r>
            <w:r>
              <w:rPr>
                <w:noProof/>
                <w:webHidden/>
              </w:rPr>
              <w:fldChar w:fldCharType="separate"/>
            </w:r>
            <w:r>
              <w:rPr>
                <w:noProof/>
                <w:webHidden/>
              </w:rPr>
              <w:t>26</w:t>
            </w:r>
            <w:r>
              <w:rPr>
                <w:noProof/>
                <w:webHidden/>
              </w:rPr>
              <w:fldChar w:fldCharType="end"/>
            </w:r>
          </w:hyperlink>
        </w:p>
        <w:p w14:paraId="64026A7B" w14:textId="4B95C687" w:rsidR="00450873" w:rsidRDefault="00450873">
          <w:pPr>
            <w:pStyle w:val="TOC3"/>
            <w:tabs>
              <w:tab w:val="right" w:leader="dot" w:pos="9350"/>
            </w:tabs>
            <w:rPr>
              <w:rFonts w:eastAsiaTheme="minorEastAsia"/>
              <w:noProof/>
              <w:lang w:val="en-CA" w:eastAsia="en-CA"/>
            </w:rPr>
          </w:pPr>
          <w:hyperlink w:anchor="_Toc110425280" w:history="1">
            <w:r w:rsidRPr="00782AC3">
              <w:rPr>
                <w:rStyle w:val="Hyperlink"/>
                <w:noProof/>
              </w:rPr>
              <w:t>A: OEB Letter Dated January 9, 2018, Re:  InnPower Application for Rates Ontario Energy Board (OEB) File Number: EB-2016-0085</w:t>
            </w:r>
            <w:r>
              <w:rPr>
                <w:noProof/>
                <w:webHidden/>
              </w:rPr>
              <w:tab/>
            </w:r>
            <w:r>
              <w:rPr>
                <w:noProof/>
                <w:webHidden/>
              </w:rPr>
              <w:fldChar w:fldCharType="begin"/>
            </w:r>
            <w:r>
              <w:rPr>
                <w:noProof/>
                <w:webHidden/>
              </w:rPr>
              <w:instrText xml:space="preserve"> PAGEREF _Toc110425280 \h </w:instrText>
            </w:r>
            <w:r>
              <w:rPr>
                <w:noProof/>
                <w:webHidden/>
              </w:rPr>
            </w:r>
            <w:r>
              <w:rPr>
                <w:noProof/>
                <w:webHidden/>
              </w:rPr>
              <w:fldChar w:fldCharType="separate"/>
            </w:r>
            <w:r>
              <w:rPr>
                <w:noProof/>
                <w:webHidden/>
              </w:rPr>
              <w:t>27</w:t>
            </w:r>
            <w:r>
              <w:rPr>
                <w:noProof/>
                <w:webHidden/>
              </w:rPr>
              <w:fldChar w:fldCharType="end"/>
            </w:r>
          </w:hyperlink>
        </w:p>
        <w:p w14:paraId="4BBBE426" w14:textId="6A20D8C1" w:rsidR="00450873" w:rsidRDefault="00450873">
          <w:pPr>
            <w:pStyle w:val="TOC3"/>
            <w:tabs>
              <w:tab w:val="right" w:leader="dot" w:pos="9350"/>
            </w:tabs>
            <w:rPr>
              <w:rFonts w:eastAsiaTheme="minorEastAsia"/>
              <w:noProof/>
              <w:lang w:val="en-CA" w:eastAsia="en-CA"/>
            </w:rPr>
          </w:pPr>
          <w:hyperlink w:anchor="_Toc110425281" w:history="1">
            <w:r w:rsidRPr="00782AC3">
              <w:rPr>
                <w:rStyle w:val="Hyperlink"/>
                <w:noProof/>
              </w:rPr>
              <w:t>B: OEB Decision and Order, EB-2016-0085 Section 3.13 Rate Riders</w:t>
            </w:r>
            <w:r>
              <w:rPr>
                <w:noProof/>
                <w:webHidden/>
              </w:rPr>
              <w:tab/>
            </w:r>
            <w:r>
              <w:rPr>
                <w:noProof/>
                <w:webHidden/>
              </w:rPr>
              <w:fldChar w:fldCharType="begin"/>
            </w:r>
            <w:r>
              <w:rPr>
                <w:noProof/>
                <w:webHidden/>
              </w:rPr>
              <w:instrText xml:space="preserve"> PAGEREF _Toc110425281 \h </w:instrText>
            </w:r>
            <w:r>
              <w:rPr>
                <w:noProof/>
                <w:webHidden/>
              </w:rPr>
            </w:r>
            <w:r>
              <w:rPr>
                <w:noProof/>
                <w:webHidden/>
              </w:rPr>
              <w:fldChar w:fldCharType="separate"/>
            </w:r>
            <w:r>
              <w:rPr>
                <w:noProof/>
                <w:webHidden/>
              </w:rPr>
              <w:t>28</w:t>
            </w:r>
            <w:r>
              <w:rPr>
                <w:noProof/>
                <w:webHidden/>
              </w:rPr>
              <w:fldChar w:fldCharType="end"/>
            </w:r>
          </w:hyperlink>
        </w:p>
        <w:p w14:paraId="022C5C20" w14:textId="582160F6" w:rsidR="00450873" w:rsidRDefault="00450873">
          <w:pPr>
            <w:pStyle w:val="TOC3"/>
            <w:tabs>
              <w:tab w:val="right" w:leader="dot" w:pos="9350"/>
            </w:tabs>
            <w:rPr>
              <w:rFonts w:eastAsiaTheme="minorEastAsia"/>
              <w:noProof/>
              <w:lang w:val="en-CA" w:eastAsia="en-CA"/>
            </w:rPr>
          </w:pPr>
          <w:hyperlink w:anchor="_Toc110425282" w:history="1">
            <w:r w:rsidRPr="00782AC3">
              <w:rPr>
                <w:rStyle w:val="Hyperlink"/>
                <w:noProof/>
              </w:rPr>
              <w:t>C: OEB Letter Dated February 16, 2022, Re:  Delay in Filing (OEB) File Number: EB-2022-0043</w:t>
            </w:r>
            <w:r>
              <w:rPr>
                <w:noProof/>
                <w:webHidden/>
              </w:rPr>
              <w:tab/>
            </w:r>
            <w:r>
              <w:rPr>
                <w:noProof/>
                <w:webHidden/>
              </w:rPr>
              <w:fldChar w:fldCharType="begin"/>
            </w:r>
            <w:r>
              <w:rPr>
                <w:noProof/>
                <w:webHidden/>
              </w:rPr>
              <w:instrText xml:space="preserve"> PAGEREF _Toc110425282 \h </w:instrText>
            </w:r>
            <w:r>
              <w:rPr>
                <w:noProof/>
                <w:webHidden/>
              </w:rPr>
            </w:r>
            <w:r>
              <w:rPr>
                <w:noProof/>
                <w:webHidden/>
              </w:rPr>
              <w:fldChar w:fldCharType="separate"/>
            </w:r>
            <w:r>
              <w:rPr>
                <w:noProof/>
                <w:webHidden/>
              </w:rPr>
              <w:t>29</w:t>
            </w:r>
            <w:r>
              <w:rPr>
                <w:noProof/>
                <w:webHidden/>
              </w:rPr>
              <w:fldChar w:fldCharType="end"/>
            </w:r>
          </w:hyperlink>
        </w:p>
        <w:p w14:paraId="7AD6F4B0" w14:textId="646DDEE0" w:rsidR="00450873" w:rsidRDefault="00450873">
          <w:pPr>
            <w:pStyle w:val="TOC3"/>
            <w:tabs>
              <w:tab w:val="right" w:leader="dot" w:pos="9350"/>
            </w:tabs>
            <w:rPr>
              <w:rFonts w:eastAsiaTheme="minorEastAsia"/>
              <w:noProof/>
              <w:lang w:val="en-CA" w:eastAsia="en-CA"/>
            </w:rPr>
          </w:pPr>
          <w:hyperlink w:anchor="_Toc110425283" w:history="1">
            <w:r w:rsidRPr="00782AC3">
              <w:rPr>
                <w:rStyle w:val="Hyperlink"/>
                <w:noProof/>
              </w:rPr>
              <w:t>D: OEB Decision and Order, EB-2016-0085 Section 3.7 Revenues and Costs relating to Affiliate InnServices</w:t>
            </w:r>
            <w:r>
              <w:rPr>
                <w:noProof/>
                <w:webHidden/>
              </w:rPr>
              <w:tab/>
            </w:r>
            <w:r>
              <w:rPr>
                <w:noProof/>
                <w:webHidden/>
              </w:rPr>
              <w:fldChar w:fldCharType="begin"/>
            </w:r>
            <w:r>
              <w:rPr>
                <w:noProof/>
                <w:webHidden/>
              </w:rPr>
              <w:instrText xml:space="preserve"> PAGEREF _Toc110425283 \h </w:instrText>
            </w:r>
            <w:r>
              <w:rPr>
                <w:noProof/>
                <w:webHidden/>
              </w:rPr>
            </w:r>
            <w:r>
              <w:rPr>
                <w:noProof/>
                <w:webHidden/>
              </w:rPr>
              <w:fldChar w:fldCharType="separate"/>
            </w:r>
            <w:r>
              <w:rPr>
                <w:noProof/>
                <w:webHidden/>
              </w:rPr>
              <w:t>30</w:t>
            </w:r>
            <w:r>
              <w:rPr>
                <w:noProof/>
                <w:webHidden/>
              </w:rPr>
              <w:fldChar w:fldCharType="end"/>
            </w:r>
          </w:hyperlink>
        </w:p>
        <w:p w14:paraId="23760591" w14:textId="5BA1513A" w:rsidR="00450873" w:rsidRDefault="00450873">
          <w:pPr>
            <w:pStyle w:val="TOC3"/>
            <w:tabs>
              <w:tab w:val="right" w:leader="dot" w:pos="9350"/>
            </w:tabs>
            <w:rPr>
              <w:rFonts w:eastAsiaTheme="minorEastAsia"/>
              <w:noProof/>
              <w:lang w:val="en-CA" w:eastAsia="en-CA"/>
            </w:rPr>
          </w:pPr>
          <w:hyperlink w:anchor="_Toc110425284" w:history="1">
            <w:r w:rsidRPr="00782AC3">
              <w:rPr>
                <w:rStyle w:val="Hyperlink"/>
                <w:noProof/>
              </w:rPr>
              <w:t>E: OEB Letter Dated April 9, 2019, Re:  Audit of Affiliate Transactions (OEB) File Number: EB-2016-0085</w:t>
            </w:r>
            <w:r>
              <w:rPr>
                <w:noProof/>
                <w:webHidden/>
              </w:rPr>
              <w:tab/>
            </w:r>
            <w:r>
              <w:rPr>
                <w:noProof/>
                <w:webHidden/>
              </w:rPr>
              <w:fldChar w:fldCharType="begin"/>
            </w:r>
            <w:r>
              <w:rPr>
                <w:noProof/>
                <w:webHidden/>
              </w:rPr>
              <w:instrText xml:space="preserve"> PAGEREF _Toc110425284 \h </w:instrText>
            </w:r>
            <w:r>
              <w:rPr>
                <w:noProof/>
                <w:webHidden/>
              </w:rPr>
            </w:r>
            <w:r>
              <w:rPr>
                <w:noProof/>
                <w:webHidden/>
              </w:rPr>
              <w:fldChar w:fldCharType="separate"/>
            </w:r>
            <w:r>
              <w:rPr>
                <w:noProof/>
                <w:webHidden/>
              </w:rPr>
              <w:t>31</w:t>
            </w:r>
            <w:r>
              <w:rPr>
                <w:noProof/>
                <w:webHidden/>
              </w:rPr>
              <w:fldChar w:fldCharType="end"/>
            </w:r>
          </w:hyperlink>
        </w:p>
        <w:p w14:paraId="01C05F60" w14:textId="321BAFFE" w:rsidR="00450873" w:rsidRDefault="00450873">
          <w:pPr>
            <w:pStyle w:val="TOC3"/>
            <w:tabs>
              <w:tab w:val="right" w:leader="dot" w:pos="9350"/>
            </w:tabs>
            <w:rPr>
              <w:rFonts w:eastAsiaTheme="minorEastAsia"/>
              <w:noProof/>
              <w:lang w:val="en-CA" w:eastAsia="en-CA"/>
            </w:rPr>
          </w:pPr>
          <w:hyperlink w:anchor="_Toc110425285" w:history="1">
            <w:r w:rsidRPr="00782AC3">
              <w:rPr>
                <w:rStyle w:val="Hyperlink"/>
                <w:noProof/>
              </w:rPr>
              <w:t>F: Current Tariff  Sheet</w:t>
            </w:r>
            <w:r>
              <w:rPr>
                <w:noProof/>
                <w:webHidden/>
              </w:rPr>
              <w:tab/>
            </w:r>
            <w:r>
              <w:rPr>
                <w:noProof/>
                <w:webHidden/>
              </w:rPr>
              <w:fldChar w:fldCharType="begin"/>
            </w:r>
            <w:r>
              <w:rPr>
                <w:noProof/>
                <w:webHidden/>
              </w:rPr>
              <w:instrText xml:space="preserve"> PAGEREF _Toc110425285 \h </w:instrText>
            </w:r>
            <w:r>
              <w:rPr>
                <w:noProof/>
                <w:webHidden/>
              </w:rPr>
            </w:r>
            <w:r>
              <w:rPr>
                <w:noProof/>
                <w:webHidden/>
              </w:rPr>
              <w:fldChar w:fldCharType="separate"/>
            </w:r>
            <w:r>
              <w:rPr>
                <w:noProof/>
                <w:webHidden/>
              </w:rPr>
              <w:t>32</w:t>
            </w:r>
            <w:r>
              <w:rPr>
                <w:noProof/>
                <w:webHidden/>
              </w:rPr>
              <w:fldChar w:fldCharType="end"/>
            </w:r>
          </w:hyperlink>
        </w:p>
        <w:p w14:paraId="4C17953B" w14:textId="28F6199A" w:rsidR="00450873" w:rsidRDefault="00450873">
          <w:pPr>
            <w:pStyle w:val="TOC3"/>
            <w:tabs>
              <w:tab w:val="right" w:leader="dot" w:pos="9350"/>
            </w:tabs>
            <w:rPr>
              <w:rFonts w:eastAsiaTheme="minorEastAsia"/>
              <w:noProof/>
              <w:lang w:val="en-CA" w:eastAsia="en-CA"/>
            </w:rPr>
          </w:pPr>
          <w:hyperlink w:anchor="_Toc110425286" w:history="1">
            <w:r w:rsidRPr="00782AC3">
              <w:rPr>
                <w:rStyle w:val="Hyperlink"/>
                <w:noProof/>
              </w:rPr>
              <w:t>G: IPC Certification</w:t>
            </w:r>
            <w:r>
              <w:rPr>
                <w:noProof/>
                <w:webHidden/>
              </w:rPr>
              <w:tab/>
            </w:r>
            <w:r>
              <w:rPr>
                <w:noProof/>
                <w:webHidden/>
              </w:rPr>
              <w:fldChar w:fldCharType="begin"/>
            </w:r>
            <w:r>
              <w:rPr>
                <w:noProof/>
                <w:webHidden/>
              </w:rPr>
              <w:instrText xml:space="preserve"> PAGEREF _Toc110425286 \h </w:instrText>
            </w:r>
            <w:r>
              <w:rPr>
                <w:noProof/>
                <w:webHidden/>
              </w:rPr>
            </w:r>
            <w:r>
              <w:rPr>
                <w:noProof/>
                <w:webHidden/>
              </w:rPr>
              <w:fldChar w:fldCharType="separate"/>
            </w:r>
            <w:r>
              <w:rPr>
                <w:noProof/>
                <w:webHidden/>
              </w:rPr>
              <w:t>33</w:t>
            </w:r>
            <w:r>
              <w:rPr>
                <w:noProof/>
                <w:webHidden/>
              </w:rPr>
              <w:fldChar w:fldCharType="end"/>
            </w:r>
          </w:hyperlink>
        </w:p>
        <w:p w14:paraId="34D3115F" w14:textId="3FC4CA7C" w:rsidR="00F04551" w:rsidRDefault="00F04551">
          <w:r>
            <w:rPr>
              <w:b/>
              <w:bCs/>
              <w:noProof/>
            </w:rPr>
            <w:fldChar w:fldCharType="end"/>
          </w:r>
        </w:p>
      </w:sdtContent>
    </w:sdt>
    <w:p w14:paraId="204E2D40" w14:textId="77777777" w:rsidR="0042407E" w:rsidRDefault="0042407E" w:rsidP="00FC58CE">
      <w:pPr>
        <w:jc w:val="center"/>
        <w:rPr>
          <w:sz w:val="44"/>
          <w:szCs w:val="44"/>
        </w:rPr>
      </w:pPr>
    </w:p>
    <w:p w14:paraId="722AAB84" w14:textId="4219B05D" w:rsidR="00FE5328" w:rsidRDefault="00FE5328" w:rsidP="00FC58CE">
      <w:pPr>
        <w:jc w:val="center"/>
        <w:rPr>
          <w:sz w:val="44"/>
          <w:szCs w:val="44"/>
        </w:rPr>
      </w:pPr>
    </w:p>
    <w:p w14:paraId="6E8FAB4F" w14:textId="77777777" w:rsidR="00BE200A" w:rsidRDefault="00BE200A" w:rsidP="00FC58CE">
      <w:pPr>
        <w:jc w:val="center"/>
        <w:rPr>
          <w:sz w:val="44"/>
          <w:szCs w:val="44"/>
        </w:rPr>
      </w:pPr>
    </w:p>
    <w:p w14:paraId="6A02DACA" w14:textId="77777777" w:rsidR="00FE5328" w:rsidRDefault="00FE5328" w:rsidP="00FC58CE">
      <w:pPr>
        <w:jc w:val="center"/>
        <w:rPr>
          <w:sz w:val="44"/>
          <w:szCs w:val="44"/>
        </w:rPr>
      </w:pPr>
    </w:p>
    <w:p w14:paraId="0A9070B2" w14:textId="77777777" w:rsidR="00FE5328" w:rsidRDefault="00396F05" w:rsidP="00FC58CE">
      <w:pPr>
        <w:jc w:val="center"/>
        <w:rPr>
          <w:sz w:val="44"/>
          <w:szCs w:val="44"/>
        </w:rPr>
      </w:pPr>
      <w:r>
        <w:rPr>
          <w:sz w:val="44"/>
          <w:szCs w:val="44"/>
        </w:rPr>
        <w:t>Ontario Energy Board</w:t>
      </w:r>
    </w:p>
    <w:p w14:paraId="6240130F" w14:textId="77777777" w:rsidR="00396F05" w:rsidRDefault="00396F05" w:rsidP="00FC58CE">
      <w:pPr>
        <w:jc w:val="center"/>
        <w:rPr>
          <w:sz w:val="44"/>
          <w:szCs w:val="44"/>
        </w:rPr>
      </w:pPr>
    </w:p>
    <w:p w14:paraId="4F2821B5" w14:textId="77777777" w:rsidR="00396F05" w:rsidRPr="00150A20" w:rsidRDefault="00396F05" w:rsidP="00FC58CE">
      <w:pPr>
        <w:jc w:val="center"/>
        <w:rPr>
          <w:sz w:val="32"/>
          <w:szCs w:val="32"/>
        </w:rPr>
      </w:pPr>
      <w:r w:rsidRPr="00150A20">
        <w:rPr>
          <w:b/>
          <w:sz w:val="32"/>
          <w:szCs w:val="32"/>
        </w:rPr>
        <w:t>IN THE MATTER</w:t>
      </w:r>
      <w:r w:rsidRPr="00150A20">
        <w:rPr>
          <w:sz w:val="32"/>
          <w:szCs w:val="32"/>
        </w:rPr>
        <w:t xml:space="preserve"> </w:t>
      </w:r>
      <w:r w:rsidRPr="00150A20">
        <w:rPr>
          <w:b/>
          <w:sz w:val="32"/>
          <w:szCs w:val="32"/>
        </w:rPr>
        <w:t>OF</w:t>
      </w:r>
      <w:r w:rsidRPr="00150A20">
        <w:rPr>
          <w:sz w:val="32"/>
          <w:szCs w:val="32"/>
        </w:rPr>
        <w:t xml:space="preserve"> the Ontario Energy Board Act, 1998,</w:t>
      </w:r>
    </w:p>
    <w:p w14:paraId="51A1EEE0" w14:textId="77777777" w:rsidR="00396F05" w:rsidRPr="00150A20" w:rsidRDefault="00396F05" w:rsidP="00FC58CE">
      <w:pPr>
        <w:jc w:val="center"/>
        <w:rPr>
          <w:sz w:val="32"/>
          <w:szCs w:val="32"/>
        </w:rPr>
      </w:pPr>
      <w:r w:rsidRPr="00150A20">
        <w:rPr>
          <w:sz w:val="32"/>
          <w:szCs w:val="32"/>
        </w:rPr>
        <w:t>C. S.O. 1998, c.15 (Sched. B</w:t>
      </w:r>
      <w:proofErr w:type="gramStart"/>
      <w:r w:rsidRPr="00150A20">
        <w:rPr>
          <w:sz w:val="32"/>
          <w:szCs w:val="32"/>
        </w:rPr>
        <w:t>);</w:t>
      </w:r>
      <w:proofErr w:type="gramEnd"/>
    </w:p>
    <w:p w14:paraId="4C55E436" w14:textId="77777777" w:rsidR="00396F05" w:rsidRPr="00150A20" w:rsidRDefault="00396F05" w:rsidP="00FC58CE">
      <w:pPr>
        <w:jc w:val="center"/>
        <w:rPr>
          <w:sz w:val="32"/>
          <w:szCs w:val="32"/>
        </w:rPr>
      </w:pPr>
    </w:p>
    <w:p w14:paraId="1620C77B" w14:textId="77777777" w:rsidR="00396F05" w:rsidRPr="00150A20" w:rsidRDefault="00396F05" w:rsidP="00FC58CE">
      <w:pPr>
        <w:jc w:val="center"/>
        <w:rPr>
          <w:sz w:val="32"/>
          <w:szCs w:val="32"/>
        </w:rPr>
      </w:pPr>
      <w:r w:rsidRPr="00150A20">
        <w:rPr>
          <w:b/>
          <w:sz w:val="32"/>
          <w:szCs w:val="32"/>
        </w:rPr>
        <w:t>AND IN THE MATTER</w:t>
      </w:r>
      <w:r w:rsidRPr="00150A20">
        <w:rPr>
          <w:sz w:val="32"/>
          <w:szCs w:val="32"/>
        </w:rPr>
        <w:t xml:space="preserve"> </w:t>
      </w:r>
      <w:r w:rsidRPr="00150A20">
        <w:rPr>
          <w:b/>
          <w:sz w:val="32"/>
          <w:szCs w:val="32"/>
        </w:rPr>
        <w:t>OF</w:t>
      </w:r>
      <w:r w:rsidRPr="00150A20">
        <w:rPr>
          <w:sz w:val="32"/>
          <w:szCs w:val="32"/>
        </w:rPr>
        <w:t xml:space="preserve"> an Application by InnPower Corporation for an Order or Orders pursuant to Section 78 of the </w:t>
      </w:r>
      <w:r w:rsidRPr="00150A20">
        <w:rPr>
          <w:i/>
          <w:sz w:val="32"/>
          <w:szCs w:val="32"/>
        </w:rPr>
        <w:t xml:space="preserve">Ontario Energy Board Act, 1998, </w:t>
      </w:r>
      <w:r w:rsidRPr="00150A20">
        <w:rPr>
          <w:sz w:val="32"/>
          <w:szCs w:val="32"/>
        </w:rPr>
        <w:t xml:space="preserve">approving or fixing just and reasonable rates and other service charges for the distribution of electricity </w:t>
      </w:r>
    </w:p>
    <w:p w14:paraId="029187B0" w14:textId="77777777" w:rsidR="00396F05" w:rsidRPr="00396F05" w:rsidRDefault="00396F05" w:rsidP="00FC58CE">
      <w:pPr>
        <w:jc w:val="center"/>
        <w:rPr>
          <w:sz w:val="36"/>
          <w:szCs w:val="36"/>
        </w:rPr>
      </w:pPr>
    </w:p>
    <w:p w14:paraId="240F21C9" w14:textId="77777777" w:rsidR="00FE5328" w:rsidRDefault="00FE5328" w:rsidP="00FC58CE">
      <w:pPr>
        <w:jc w:val="center"/>
        <w:rPr>
          <w:sz w:val="44"/>
          <w:szCs w:val="44"/>
        </w:rPr>
      </w:pPr>
    </w:p>
    <w:p w14:paraId="738FF45C" w14:textId="77777777" w:rsidR="00FE5328" w:rsidRDefault="00FE5328" w:rsidP="00F72F29">
      <w:pPr>
        <w:pStyle w:val="Heading1"/>
        <w:numPr>
          <w:ilvl w:val="0"/>
          <w:numId w:val="1"/>
        </w:numPr>
      </w:pPr>
      <w:bookmarkStart w:id="0" w:name="_Toc110425254"/>
      <w:r>
        <w:t>Application</w:t>
      </w:r>
      <w:bookmarkEnd w:id="0"/>
    </w:p>
    <w:p w14:paraId="749E642E" w14:textId="77777777" w:rsidR="00407A49" w:rsidRDefault="00407A49" w:rsidP="00F72F29">
      <w:pPr>
        <w:spacing w:after="0"/>
      </w:pPr>
    </w:p>
    <w:p w14:paraId="7B76352A" w14:textId="3A2D198B" w:rsidR="00407A49" w:rsidRDefault="00396F05" w:rsidP="00F72F29">
      <w:pPr>
        <w:pStyle w:val="ListParagraph"/>
        <w:numPr>
          <w:ilvl w:val="0"/>
          <w:numId w:val="2"/>
        </w:numPr>
        <w:spacing w:after="0"/>
        <w:rPr>
          <w:sz w:val="24"/>
          <w:szCs w:val="24"/>
        </w:rPr>
      </w:pPr>
      <w:r w:rsidRPr="00C26D54">
        <w:rPr>
          <w:sz w:val="24"/>
          <w:szCs w:val="24"/>
        </w:rPr>
        <w:t xml:space="preserve">The applicant is InnPower Corporation (“IPC”), an electricity distribution company </w:t>
      </w:r>
      <w:r w:rsidR="00C26D54" w:rsidRPr="00C26D54">
        <w:rPr>
          <w:sz w:val="24"/>
          <w:szCs w:val="24"/>
        </w:rPr>
        <w:t xml:space="preserve">that is 100% owned by the Town of </w:t>
      </w:r>
      <w:proofErr w:type="spellStart"/>
      <w:r w:rsidR="00C26D54" w:rsidRPr="00C26D54">
        <w:rPr>
          <w:sz w:val="24"/>
          <w:szCs w:val="24"/>
        </w:rPr>
        <w:t>Innisfil</w:t>
      </w:r>
      <w:proofErr w:type="spellEnd"/>
      <w:r w:rsidR="00C26D54" w:rsidRPr="00C26D54">
        <w:rPr>
          <w:sz w:val="24"/>
          <w:szCs w:val="24"/>
        </w:rPr>
        <w:t xml:space="preserve">. IPC </w:t>
      </w:r>
      <w:r w:rsidR="00C26D54">
        <w:rPr>
          <w:sz w:val="24"/>
          <w:szCs w:val="24"/>
        </w:rPr>
        <w:t xml:space="preserve">serves </w:t>
      </w:r>
      <w:r w:rsidR="00C26D54" w:rsidRPr="00602A82">
        <w:rPr>
          <w:sz w:val="24"/>
          <w:szCs w:val="24"/>
        </w:rPr>
        <w:t xml:space="preserve">approximately </w:t>
      </w:r>
      <w:r w:rsidR="00842092">
        <w:rPr>
          <w:sz w:val="24"/>
          <w:szCs w:val="24"/>
        </w:rPr>
        <w:t>20</w:t>
      </w:r>
      <w:r w:rsidR="00435197" w:rsidRPr="00287178">
        <w:rPr>
          <w:sz w:val="24"/>
          <w:szCs w:val="24"/>
        </w:rPr>
        <w:t>,</w:t>
      </w:r>
      <w:r w:rsidR="00842092">
        <w:rPr>
          <w:sz w:val="24"/>
          <w:szCs w:val="24"/>
        </w:rPr>
        <w:t>0</w:t>
      </w:r>
      <w:r w:rsidR="00435197" w:rsidRPr="00287178">
        <w:rPr>
          <w:sz w:val="24"/>
          <w:szCs w:val="24"/>
        </w:rPr>
        <w:t>00</w:t>
      </w:r>
      <w:r w:rsidR="00C26D54" w:rsidRPr="00287178">
        <w:rPr>
          <w:sz w:val="24"/>
          <w:szCs w:val="24"/>
        </w:rPr>
        <w:t xml:space="preserve"> mostly</w:t>
      </w:r>
      <w:r w:rsidR="00C26D54" w:rsidRPr="00602A82">
        <w:rPr>
          <w:sz w:val="24"/>
          <w:szCs w:val="24"/>
        </w:rPr>
        <w:t xml:space="preserve"> residential</w:t>
      </w:r>
      <w:r w:rsidR="00C26D54">
        <w:rPr>
          <w:sz w:val="24"/>
          <w:szCs w:val="24"/>
        </w:rPr>
        <w:t xml:space="preserve"> and commercial electricity customers in the Towns of Alcona, Belle Ewart, Cookstown, Lefroy, Stroud, and south Barrie. IPC, an Ontario corporation with its head office in </w:t>
      </w:r>
      <w:proofErr w:type="spellStart"/>
      <w:r w:rsidR="00C26D54">
        <w:rPr>
          <w:sz w:val="24"/>
          <w:szCs w:val="24"/>
        </w:rPr>
        <w:t>Innisfil</w:t>
      </w:r>
      <w:proofErr w:type="spellEnd"/>
      <w:r w:rsidR="00C26D54">
        <w:rPr>
          <w:sz w:val="24"/>
          <w:szCs w:val="24"/>
        </w:rPr>
        <w:t>, Ontario, carries on the business of owning and operating electricity distribution facilities under Electricity Distribution License ED-2002-</w:t>
      </w:r>
      <w:r w:rsidR="005026D8">
        <w:rPr>
          <w:sz w:val="24"/>
          <w:szCs w:val="24"/>
        </w:rPr>
        <w:t>0520.</w:t>
      </w:r>
    </w:p>
    <w:p w14:paraId="0C843004" w14:textId="5C0DBD87" w:rsidR="00346DCB" w:rsidRDefault="00746404" w:rsidP="00346DCB">
      <w:pPr>
        <w:pStyle w:val="ListParagraph"/>
        <w:numPr>
          <w:ilvl w:val="0"/>
          <w:numId w:val="2"/>
        </w:numPr>
        <w:rPr>
          <w:sz w:val="24"/>
          <w:szCs w:val="24"/>
        </w:rPr>
      </w:pPr>
      <w:r>
        <w:rPr>
          <w:sz w:val="24"/>
          <w:szCs w:val="24"/>
        </w:rPr>
        <w:lastRenderedPageBreak/>
        <w:t>IPC hereby applies to the Ontario Energy Board</w:t>
      </w:r>
      <w:r w:rsidR="009F1657">
        <w:rPr>
          <w:sz w:val="24"/>
          <w:szCs w:val="24"/>
        </w:rPr>
        <w:t xml:space="preserve"> (the “Board” or the “OEB”), pursuant to Section 78 of the Ontario Energy Board Act, 1998 as amended (the “OEB Act”) for an Order or Orders approving its proposed electricity distribution rates and other charges, effective January 1, 20</w:t>
      </w:r>
      <w:r w:rsidR="00F7382C">
        <w:rPr>
          <w:sz w:val="24"/>
          <w:szCs w:val="24"/>
        </w:rPr>
        <w:t>2</w:t>
      </w:r>
      <w:r w:rsidR="00842092">
        <w:rPr>
          <w:sz w:val="24"/>
          <w:szCs w:val="24"/>
        </w:rPr>
        <w:t>3</w:t>
      </w:r>
      <w:r w:rsidR="009F1657">
        <w:rPr>
          <w:sz w:val="24"/>
          <w:szCs w:val="24"/>
        </w:rPr>
        <w:t>.</w:t>
      </w:r>
    </w:p>
    <w:p w14:paraId="4632C7CB" w14:textId="77777777" w:rsidR="009F1657" w:rsidRPr="009F1657" w:rsidRDefault="009F1657" w:rsidP="009F1657">
      <w:pPr>
        <w:pStyle w:val="ListParagraph"/>
        <w:rPr>
          <w:sz w:val="24"/>
          <w:szCs w:val="24"/>
        </w:rPr>
      </w:pPr>
    </w:p>
    <w:p w14:paraId="2527A0E2" w14:textId="74F4586C" w:rsidR="009F1657" w:rsidRDefault="009F1657" w:rsidP="00346DCB">
      <w:pPr>
        <w:pStyle w:val="ListParagraph"/>
        <w:numPr>
          <w:ilvl w:val="0"/>
          <w:numId w:val="2"/>
        </w:numPr>
        <w:rPr>
          <w:sz w:val="24"/>
          <w:szCs w:val="24"/>
        </w:rPr>
      </w:pPr>
      <w:r>
        <w:rPr>
          <w:sz w:val="24"/>
          <w:szCs w:val="24"/>
        </w:rPr>
        <w:t xml:space="preserve">IPC last appeared before the OEB with a </w:t>
      </w:r>
      <w:proofErr w:type="gramStart"/>
      <w:r>
        <w:rPr>
          <w:sz w:val="24"/>
          <w:szCs w:val="24"/>
        </w:rPr>
        <w:t>cost of service</w:t>
      </w:r>
      <w:proofErr w:type="gramEnd"/>
      <w:r>
        <w:rPr>
          <w:sz w:val="24"/>
          <w:szCs w:val="24"/>
        </w:rPr>
        <w:t xml:space="preserve"> rebasing application for 2017 rates in the EB-2016-0085 proceeding. A Decision and Order was issued on March 3, </w:t>
      </w:r>
      <w:proofErr w:type="gramStart"/>
      <w:r>
        <w:rPr>
          <w:sz w:val="24"/>
          <w:szCs w:val="24"/>
        </w:rPr>
        <w:t>2018</w:t>
      </w:r>
      <w:proofErr w:type="gramEnd"/>
      <w:r>
        <w:rPr>
          <w:sz w:val="24"/>
          <w:szCs w:val="24"/>
        </w:rPr>
        <w:t xml:space="preserve"> for EB-2016-0085 with an implementation date of May 1, 2018</w:t>
      </w:r>
      <w:r w:rsidR="00293D68">
        <w:rPr>
          <w:sz w:val="24"/>
          <w:szCs w:val="24"/>
        </w:rPr>
        <w:t xml:space="preserve"> for rates effective J</w:t>
      </w:r>
      <w:r w:rsidR="001E5DA4">
        <w:rPr>
          <w:sz w:val="24"/>
          <w:szCs w:val="24"/>
        </w:rPr>
        <w:t xml:space="preserve">uly 1, </w:t>
      </w:r>
      <w:r w:rsidR="00293D68">
        <w:rPr>
          <w:sz w:val="24"/>
          <w:szCs w:val="24"/>
        </w:rPr>
        <w:t>201</w:t>
      </w:r>
      <w:r w:rsidR="00965888">
        <w:rPr>
          <w:sz w:val="24"/>
          <w:szCs w:val="24"/>
        </w:rPr>
        <w:t>8</w:t>
      </w:r>
      <w:r w:rsidR="00293D68">
        <w:rPr>
          <w:sz w:val="24"/>
          <w:szCs w:val="24"/>
        </w:rPr>
        <w:t>. To this end, IPC provided notice to the OEB to forgo the 2018 IRM EB-2017-0053</w:t>
      </w:r>
      <w:r w:rsidR="00A373B5">
        <w:rPr>
          <w:sz w:val="24"/>
          <w:szCs w:val="24"/>
        </w:rPr>
        <w:t>.</w:t>
      </w:r>
      <w:r w:rsidR="00F7382C">
        <w:rPr>
          <w:sz w:val="24"/>
          <w:szCs w:val="24"/>
        </w:rPr>
        <w:t xml:space="preserve"> IPC filed a 201</w:t>
      </w:r>
      <w:r w:rsidR="00E40344">
        <w:rPr>
          <w:sz w:val="24"/>
          <w:szCs w:val="24"/>
        </w:rPr>
        <w:t>9</w:t>
      </w:r>
      <w:r w:rsidR="00F7382C">
        <w:rPr>
          <w:sz w:val="24"/>
          <w:szCs w:val="24"/>
        </w:rPr>
        <w:t xml:space="preserve"> IRM EB-2018-0045 for rates effective January 1, 2019</w:t>
      </w:r>
      <w:r w:rsidR="007C0BCA">
        <w:rPr>
          <w:sz w:val="24"/>
          <w:szCs w:val="24"/>
        </w:rPr>
        <w:t>,</w:t>
      </w:r>
      <w:r w:rsidR="00926968">
        <w:rPr>
          <w:sz w:val="24"/>
          <w:szCs w:val="24"/>
        </w:rPr>
        <w:t xml:space="preserve"> a 2020 IRM EB-2019-0047 for rates effective January 1, 2020</w:t>
      </w:r>
      <w:r w:rsidR="00842092">
        <w:rPr>
          <w:sz w:val="24"/>
          <w:szCs w:val="24"/>
        </w:rPr>
        <w:t xml:space="preserve">, </w:t>
      </w:r>
      <w:r w:rsidR="007C0BCA">
        <w:rPr>
          <w:sz w:val="24"/>
          <w:szCs w:val="24"/>
        </w:rPr>
        <w:t xml:space="preserve">a 2021 IRM EB-2020-0033 for rates effective January 1, </w:t>
      </w:r>
      <w:proofErr w:type="gramStart"/>
      <w:r w:rsidR="007C0BCA">
        <w:rPr>
          <w:sz w:val="24"/>
          <w:szCs w:val="24"/>
        </w:rPr>
        <w:t>2021</w:t>
      </w:r>
      <w:proofErr w:type="gramEnd"/>
      <w:r w:rsidR="00842092">
        <w:rPr>
          <w:sz w:val="24"/>
          <w:szCs w:val="24"/>
        </w:rPr>
        <w:t xml:space="preserve"> and a 2022 IRM EB-2021-0036 for rate effective January 1, 2022</w:t>
      </w:r>
      <w:r w:rsidR="00F7382C">
        <w:rPr>
          <w:sz w:val="24"/>
          <w:szCs w:val="24"/>
        </w:rPr>
        <w:t>.</w:t>
      </w:r>
    </w:p>
    <w:p w14:paraId="7C53D012" w14:textId="77777777" w:rsidR="00A373B5" w:rsidRPr="00A373B5" w:rsidRDefault="00A373B5" w:rsidP="00A373B5">
      <w:pPr>
        <w:pStyle w:val="ListParagraph"/>
        <w:rPr>
          <w:sz w:val="24"/>
          <w:szCs w:val="24"/>
        </w:rPr>
      </w:pPr>
    </w:p>
    <w:p w14:paraId="366237CE" w14:textId="4B032F05" w:rsidR="00A373B5" w:rsidRDefault="00A373B5" w:rsidP="00346DCB">
      <w:pPr>
        <w:pStyle w:val="ListParagraph"/>
        <w:numPr>
          <w:ilvl w:val="0"/>
          <w:numId w:val="2"/>
        </w:numPr>
        <w:rPr>
          <w:sz w:val="24"/>
          <w:szCs w:val="24"/>
        </w:rPr>
      </w:pPr>
      <w:r>
        <w:rPr>
          <w:sz w:val="24"/>
          <w:szCs w:val="24"/>
        </w:rPr>
        <w:t>IPC is seeking approval for electricity distribution rates</w:t>
      </w:r>
      <w:r w:rsidR="00244B31">
        <w:rPr>
          <w:sz w:val="24"/>
          <w:szCs w:val="24"/>
        </w:rPr>
        <w:t xml:space="preserve"> effective January 1, 20</w:t>
      </w:r>
      <w:r w:rsidR="00F7382C">
        <w:rPr>
          <w:sz w:val="24"/>
          <w:szCs w:val="24"/>
        </w:rPr>
        <w:t>2</w:t>
      </w:r>
      <w:r w:rsidR="00842092">
        <w:rPr>
          <w:sz w:val="24"/>
          <w:szCs w:val="24"/>
        </w:rPr>
        <w:t>3</w:t>
      </w:r>
      <w:r w:rsidR="00244B31">
        <w:rPr>
          <w:sz w:val="24"/>
          <w:szCs w:val="24"/>
        </w:rPr>
        <w:t>. The proposed rates were calculated u</w:t>
      </w:r>
      <w:r w:rsidR="00683BA9">
        <w:rPr>
          <w:sz w:val="24"/>
          <w:szCs w:val="24"/>
        </w:rPr>
        <w:t xml:space="preserve">tilizing </w:t>
      </w:r>
      <w:r w:rsidR="00244B31">
        <w:rPr>
          <w:sz w:val="24"/>
          <w:szCs w:val="24"/>
        </w:rPr>
        <w:t xml:space="preserve">the OEB’s </w:t>
      </w:r>
      <w:r w:rsidR="00244B31" w:rsidRPr="007F114D">
        <w:rPr>
          <w:sz w:val="24"/>
          <w:szCs w:val="24"/>
        </w:rPr>
        <w:t>20</w:t>
      </w:r>
      <w:r w:rsidR="00F7382C" w:rsidRPr="007F114D">
        <w:rPr>
          <w:sz w:val="24"/>
          <w:szCs w:val="24"/>
        </w:rPr>
        <w:t>2</w:t>
      </w:r>
      <w:r w:rsidR="00842092">
        <w:rPr>
          <w:sz w:val="24"/>
          <w:szCs w:val="24"/>
        </w:rPr>
        <w:t>3</w:t>
      </w:r>
      <w:r w:rsidR="00244B31" w:rsidRPr="007F114D">
        <w:rPr>
          <w:sz w:val="24"/>
          <w:szCs w:val="24"/>
        </w:rPr>
        <w:t xml:space="preserve"> IRM Rate Generator Model.</w:t>
      </w:r>
      <w:r w:rsidR="00244B31">
        <w:rPr>
          <w:sz w:val="24"/>
          <w:szCs w:val="24"/>
        </w:rPr>
        <w:t xml:space="preserve"> IPC </w:t>
      </w:r>
      <w:r w:rsidR="00CC2319">
        <w:rPr>
          <w:sz w:val="24"/>
          <w:szCs w:val="24"/>
        </w:rPr>
        <w:t>confirms that it has worked with OEB staff to make any necessary adjustments to prepopulated values, and that the billing determinants in the models as filed are accurate.</w:t>
      </w:r>
    </w:p>
    <w:p w14:paraId="710397A6" w14:textId="77777777" w:rsidR="00CC2319" w:rsidRPr="00CC2319" w:rsidRDefault="00CC2319" w:rsidP="00CC2319">
      <w:pPr>
        <w:pStyle w:val="ListParagraph"/>
        <w:rPr>
          <w:sz w:val="24"/>
          <w:szCs w:val="24"/>
        </w:rPr>
      </w:pPr>
    </w:p>
    <w:p w14:paraId="31DDB5E3" w14:textId="77777777" w:rsidR="00CC2319" w:rsidRDefault="00CC2319" w:rsidP="00346DCB">
      <w:pPr>
        <w:pStyle w:val="ListParagraph"/>
        <w:numPr>
          <w:ilvl w:val="0"/>
          <w:numId w:val="2"/>
        </w:numPr>
        <w:rPr>
          <w:sz w:val="24"/>
          <w:szCs w:val="24"/>
        </w:rPr>
      </w:pPr>
      <w:r>
        <w:rPr>
          <w:sz w:val="24"/>
          <w:szCs w:val="24"/>
        </w:rPr>
        <w:t xml:space="preserve">IPC requests that, pursuant to Section 34.01 of the OEB’s </w:t>
      </w:r>
      <w:r w:rsidRPr="00CC2319">
        <w:rPr>
          <w:i/>
          <w:sz w:val="24"/>
          <w:szCs w:val="24"/>
        </w:rPr>
        <w:t>Rules of Practice and</w:t>
      </w:r>
      <w:r>
        <w:rPr>
          <w:sz w:val="24"/>
          <w:szCs w:val="24"/>
        </w:rPr>
        <w:t xml:space="preserve"> </w:t>
      </w:r>
      <w:r w:rsidRPr="00CC2319">
        <w:rPr>
          <w:i/>
          <w:sz w:val="24"/>
          <w:szCs w:val="24"/>
        </w:rPr>
        <w:t>Procedure</w:t>
      </w:r>
      <w:r>
        <w:rPr>
          <w:sz w:val="24"/>
          <w:szCs w:val="24"/>
        </w:rPr>
        <w:t>, this proceeding be conducted by way of written hearing.</w:t>
      </w:r>
    </w:p>
    <w:p w14:paraId="2197A59A" w14:textId="77777777" w:rsidR="00CC2319" w:rsidRPr="00CC2319" w:rsidRDefault="00CC2319" w:rsidP="00CC2319">
      <w:pPr>
        <w:pStyle w:val="ListParagraph"/>
        <w:rPr>
          <w:sz w:val="24"/>
          <w:szCs w:val="24"/>
        </w:rPr>
      </w:pPr>
    </w:p>
    <w:p w14:paraId="51B8BA25" w14:textId="42D69EF1" w:rsidR="00CC2319" w:rsidRDefault="00CC2319" w:rsidP="00346DCB">
      <w:pPr>
        <w:pStyle w:val="ListParagraph"/>
        <w:numPr>
          <w:ilvl w:val="0"/>
          <w:numId w:val="2"/>
        </w:numPr>
        <w:rPr>
          <w:sz w:val="24"/>
          <w:szCs w:val="24"/>
        </w:rPr>
      </w:pPr>
      <w:r>
        <w:rPr>
          <w:sz w:val="24"/>
          <w:szCs w:val="24"/>
        </w:rPr>
        <w:t>IPC confirms that the application and related documents will be published on its website (</w:t>
      </w:r>
      <w:hyperlink r:id="rId10" w:history="1">
        <w:r w:rsidR="00926968" w:rsidRPr="00926968">
          <w:rPr>
            <w:rStyle w:val="Hyperlink"/>
            <w:sz w:val="24"/>
            <w:szCs w:val="24"/>
          </w:rPr>
          <w:t>www.innpower.ca</w:t>
        </w:r>
      </w:hyperlink>
      <w:r>
        <w:rPr>
          <w:sz w:val="24"/>
          <w:szCs w:val="24"/>
        </w:rPr>
        <w:t>).</w:t>
      </w:r>
    </w:p>
    <w:p w14:paraId="5E79A892" w14:textId="77777777" w:rsidR="00F73648" w:rsidRPr="00F73648" w:rsidRDefault="00F73648" w:rsidP="00F73648">
      <w:pPr>
        <w:pStyle w:val="ListParagraph"/>
        <w:rPr>
          <w:sz w:val="24"/>
          <w:szCs w:val="24"/>
        </w:rPr>
      </w:pPr>
    </w:p>
    <w:p w14:paraId="3E9C4E54" w14:textId="6070FEDB" w:rsidR="00F73648" w:rsidRDefault="00F73648" w:rsidP="00346DCB">
      <w:pPr>
        <w:pStyle w:val="ListParagraph"/>
        <w:numPr>
          <w:ilvl w:val="0"/>
          <w:numId w:val="2"/>
        </w:numPr>
        <w:rPr>
          <w:sz w:val="24"/>
          <w:szCs w:val="24"/>
        </w:rPr>
      </w:pPr>
      <w:r w:rsidRPr="00F73648">
        <w:rPr>
          <w:sz w:val="24"/>
          <w:szCs w:val="24"/>
        </w:rPr>
        <w:t>IPC confirms that the documents filed in support of the herein application do not</w:t>
      </w:r>
      <w:r>
        <w:rPr>
          <w:sz w:val="24"/>
          <w:szCs w:val="24"/>
        </w:rPr>
        <w:t xml:space="preserve"> </w:t>
      </w:r>
      <w:r w:rsidRPr="00F73648">
        <w:rPr>
          <w:sz w:val="24"/>
          <w:szCs w:val="24"/>
        </w:rPr>
        <w:t>include any personal information (as that phrase is defined in the Freedom of</w:t>
      </w:r>
      <w:r>
        <w:rPr>
          <w:sz w:val="24"/>
          <w:szCs w:val="24"/>
        </w:rPr>
        <w:t xml:space="preserve"> </w:t>
      </w:r>
      <w:r w:rsidRPr="00F73648">
        <w:rPr>
          <w:sz w:val="24"/>
          <w:szCs w:val="24"/>
        </w:rPr>
        <w:t>Information and Protection of Privacy Act), that is not otherwise redacted in accordance</w:t>
      </w:r>
      <w:r>
        <w:rPr>
          <w:sz w:val="24"/>
          <w:szCs w:val="24"/>
        </w:rPr>
        <w:t xml:space="preserve"> </w:t>
      </w:r>
      <w:r w:rsidRPr="00F73648">
        <w:rPr>
          <w:sz w:val="24"/>
          <w:szCs w:val="24"/>
        </w:rPr>
        <w:t>with rule 9A of the OEB’s Rules of Practice and Procedure.</w:t>
      </w:r>
    </w:p>
    <w:p w14:paraId="36C9F5EF" w14:textId="77777777" w:rsidR="00CC2319" w:rsidRPr="00CC2319" w:rsidRDefault="00CC2319" w:rsidP="00CC2319">
      <w:pPr>
        <w:pStyle w:val="ListParagraph"/>
        <w:rPr>
          <w:sz w:val="24"/>
          <w:szCs w:val="24"/>
        </w:rPr>
      </w:pPr>
    </w:p>
    <w:p w14:paraId="7CEC9927" w14:textId="77777777" w:rsidR="00CC2319" w:rsidRDefault="000F664F" w:rsidP="00346DCB">
      <w:pPr>
        <w:pStyle w:val="ListParagraph"/>
        <w:numPr>
          <w:ilvl w:val="0"/>
          <w:numId w:val="2"/>
        </w:numPr>
        <w:rPr>
          <w:sz w:val="24"/>
          <w:szCs w:val="24"/>
        </w:rPr>
      </w:pPr>
      <w:r>
        <w:rPr>
          <w:sz w:val="24"/>
          <w:szCs w:val="24"/>
        </w:rPr>
        <w:t>The persons affected by this Application are the ratepayers</w:t>
      </w:r>
      <w:r w:rsidR="00683BA9">
        <w:rPr>
          <w:sz w:val="24"/>
          <w:szCs w:val="24"/>
        </w:rPr>
        <w:t xml:space="preserve"> of InnPower Corporation’s service territory.</w:t>
      </w:r>
    </w:p>
    <w:p w14:paraId="1BBC6A60" w14:textId="6E8F694C" w:rsidR="00683BA9" w:rsidRDefault="00683BA9" w:rsidP="00683BA9">
      <w:pPr>
        <w:pStyle w:val="ListParagraph"/>
        <w:rPr>
          <w:sz w:val="24"/>
          <w:szCs w:val="24"/>
        </w:rPr>
      </w:pPr>
    </w:p>
    <w:p w14:paraId="0EC76CF1" w14:textId="016EBB95" w:rsidR="002E2E90" w:rsidRDefault="002E2E90" w:rsidP="00683BA9">
      <w:pPr>
        <w:pStyle w:val="ListParagraph"/>
        <w:rPr>
          <w:sz w:val="24"/>
          <w:szCs w:val="24"/>
        </w:rPr>
      </w:pPr>
    </w:p>
    <w:p w14:paraId="101EF4FF" w14:textId="65C38EAF" w:rsidR="002E2E90" w:rsidRDefault="002E2E90" w:rsidP="00683BA9">
      <w:pPr>
        <w:pStyle w:val="ListParagraph"/>
        <w:rPr>
          <w:sz w:val="24"/>
          <w:szCs w:val="24"/>
        </w:rPr>
      </w:pPr>
    </w:p>
    <w:p w14:paraId="1A45AE10" w14:textId="77777777" w:rsidR="002E2E90" w:rsidRPr="00683BA9" w:rsidRDefault="002E2E90" w:rsidP="00683BA9">
      <w:pPr>
        <w:pStyle w:val="ListParagraph"/>
        <w:rPr>
          <w:sz w:val="24"/>
          <w:szCs w:val="24"/>
        </w:rPr>
      </w:pPr>
    </w:p>
    <w:p w14:paraId="2649AC6F" w14:textId="106774AD" w:rsidR="00683BA9" w:rsidRDefault="00683BA9" w:rsidP="00346DCB">
      <w:pPr>
        <w:pStyle w:val="ListParagraph"/>
        <w:numPr>
          <w:ilvl w:val="0"/>
          <w:numId w:val="2"/>
        </w:numPr>
        <w:rPr>
          <w:sz w:val="24"/>
          <w:szCs w:val="24"/>
        </w:rPr>
      </w:pPr>
      <w:r>
        <w:rPr>
          <w:sz w:val="24"/>
          <w:szCs w:val="24"/>
        </w:rPr>
        <w:lastRenderedPageBreak/>
        <w:t xml:space="preserve">In addition to the written evidence provided herein, the following Excel </w:t>
      </w:r>
      <w:r w:rsidR="00453B74">
        <w:rPr>
          <w:sz w:val="24"/>
          <w:szCs w:val="24"/>
        </w:rPr>
        <w:t>M</w:t>
      </w:r>
      <w:r>
        <w:rPr>
          <w:sz w:val="24"/>
          <w:szCs w:val="24"/>
        </w:rPr>
        <w:t>odels</w:t>
      </w:r>
      <w:r w:rsidR="00F7382C">
        <w:rPr>
          <w:sz w:val="24"/>
          <w:szCs w:val="24"/>
        </w:rPr>
        <w:t>/Appendi</w:t>
      </w:r>
      <w:r w:rsidR="00453B74">
        <w:rPr>
          <w:sz w:val="24"/>
          <w:szCs w:val="24"/>
        </w:rPr>
        <w:t>c</w:t>
      </w:r>
      <w:r w:rsidR="00F7382C">
        <w:rPr>
          <w:sz w:val="24"/>
          <w:szCs w:val="24"/>
        </w:rPr>
        <w:t>es</w:t>
      </w:r>
      <w:r>
        <w:rPr>
          <w:sz w:val="24"/>
          <w:szCs w:val="24"/>
        </w:rPr>
        <w:t xml:space="preserve"> have been filed in conjunction with the </w:t>
      </w:r>
      <w:r w:rsidR="0034369F">
        <w:rPr>
          <w:sz w:val="24"/>
          <w:szCs w:val="24"/>
        </w:rPr>
        <w:t>EB-20</w:t>
      </w:r>
      <w:r w:rsidR="0084681F">
        <w:rPr>
          <w:sz w:val="24"/>
          <w:szCs w:val="24"/>
        </w:rPr>
        <w:t>2</w:t>
      </w:r>
      <w:r w:rsidR="00842092">
        <w:rPr>
          <w:sz w:val="24"/>
          <w:szCs w:val="24"/>
        </w:rPr>
        <w:t>2</w:t>
      </w:r>
      <w:r w:rsidR="00F7382C">
        <w:rPr>
          <w:sz w:val="24"/>
          <w:szCs w:val="24"/>
        </w:rPr>
        <w:t>-00</w:t>
      </w:r>
      <w:r w:rsidR="00842092">
        <w:rPr>
          <w:sz w:val="24"/>
          <w:szCs w:val="24"/>
        </w:rPr>
        <w:t>43</w:t>
      </w:r>
      <w:r>
        <w:rPr>
          <w:sz w:val="24"/>
          <w:szCs w:val="24"/>
        </w:rPr>
        <w:t xml:space="preserve"> application:</w:t>
      </w:r>
    </w:p>
    <w:p w14:paraId="7368E3B4" w14:textId="77777777" w:rsidR="00F95D58" w:rsidRPr="00F95D58" w:rsidRDefault="00F95D58" w:rsidP="00F95D58">
      <w:pPr>
        <w:pStyle w:val="ListParagraph"/>
        <w:rPr>
          <w:sz w:val="24"/>
          <w:szCs w:val="24"/>
        </w:rPr>
      </w:pPr>
    </w:p>
    <w:p w14:paraId="19F4783D" w14:textId="13260214" w:rsidR="008E2256" w:rsidRPr="00E8481B" w:rsidRDefault="006251C0" w:rsidP="008E2256">
      <w:pPr>
        <w:pStyle w:val="ListParagraph"/>
        <w:numPr>
          <w:ilvl w:val="1"/>
          <w:numId w:val="2"/>
        </w:numPr>
        <w:rPr>
          <w:sz w:val="24"/>
          <w:szCs w:val="24"/>
        </w:rPr>
      </w:pPr>
      <w:r w:rsidRPr="00E8481B">
        <w:rPr>
          <w:sz w:val="24"/>
          <w:szCs w:val="24"/>
        </w:rPr>
        <w:t>InnPower</w:t>
      </w:r>
      <w:r w:rsidR="005A5343" w:rsidRPr="00E8481B">
        <w:rPr>
          <w:sz w:val="24"/>
          <w:szCs w:val="24"/>
        </w:rPr>
        <w:t>_202</w:t>
      </w:r>
      <w:r w:rsidR="0001764E" w:rsidRPr="00E8481B">
        <w:rPr>
          <w:sz w:val="24"/>
          <w:szCs w:val="24"/>
        </w:rPr>
        <w:t>3</w:t>
      </w:r>
      <w:r w:rsidR="005A5343" w:rsidRPr="00E8481B">
        <w:rPr>
          <w:sz w:val="24"/>
          <w:szCs w:val="24"/>
        </w:rPr>
        <w:t>-IRM-Rate-Generator-Mode</w:t>
      </w:r>
      <w:r w:rsidR="00724CEA" w:rsidRPr="00E8481B">
        <w:rPr>
          <w:sz w:val="24"/>
          <w:szCs w:val="24"/>
        </w:rPr>
        <w:t>l_202</w:t>
      </w:r>
      <w:r w:rsidR="0001764E" w:rsidRPr="00E8481B">
        <w:rPr>
          <w:sz w:val="24"/>
          <w:szCs w:val="24"/>
        </w:rPr>
        <w:t>20721</w:t>
      </w:r>
    </w:p>
    <w:p w14:paraId="52B57BC6" w14:textId="040B48DF" w:rsidR="00F95D58" w:rsidRPr="00E8481B" w:rsidRDefault="00724CEA" w:rsidP="008E2256">
      <w:pPr>
        <w:pStyle w:val="ListParagraph"/>
        <w:numPr>
          <w:ilvl w:val="1"/>
          <w:numId w:val="2"/>
        </w:numPr>
        <w:rPr>
          <w:sz w:val="24"/>
          <w:szCs w:val="24"/>
        </w:rPr>
      </w:pPr>
      <w:r w:rsidRPr="00E8481B">
        <w:rPr>
          <w:sz w:val="24"/>
          <w:szCs w:val="24"/>
        </w:rPr>
        <w:t>InnPower_</w:t>
      </w:r>
      <w:r w:rsidR="0076086A" w:rsidRPr="00E8481B">
        <w:rPr>
          <w:sz w:val="24"/>
          <w:szCs w:val="24"/>
        </w:rPr>
        <w:t>202</w:t>
      </w:r>
      <w:r w:rsidR="00E8481B" w:rsidRPr="00E8481B">
        <w:rPr>
          <w:sz w:val="24"/>
          <w:szCs w:val="24"/>
        </w:rPr>
        <w:t>3</w:t>
      </w:r>
      <w:r w:rsidR="0076086A" w:rsidRPr="00E8481B">
        <w:rPr>
          <w:sz w:val="24"/>
          <w:szCs w:val="24"/>
        </w:rPr>
        <w:t>_</w:t>
      </w:r>
      <w:r w:rsidR="00F95D58" w:rsidRPr="00E8481B">
        <w:rPr>
          <w:sz w:val="24"/>
          <w:szCs w:val="24"/>
        </w:rPr>
        <w:t xml:space="preserve">GA_Analysis_Workform </w:t>
      </w:r>
      <w:r w:rsidRPr="00E8481B">
        <w:rPr>
          <w:sz w:val="24"/>
          <w:szCs w:val="24"/>
        </w:rPr>
        <w:t>_</w:t>
      </w:r>
      <w:r w:rsidR="00EE0940" w:rsidRPr="00E8481B">
        <w:rPr>
          <w:sz w:val="24"/>
          <w:szCs w:val="24"/>
        </w:rPr>
        <w:t>1.0</w:t>
      </w:r>
      <w:r w:rsidRPr="00E8481B">
        <w:rPr>
          <w:sz w:val="24"/>
          <w:szCs w:val="24"/>
        </w:rPr>
        <w:t>_</w:t>
      </w:r>
      <w:r w:rsidR="00E8481B" w:rsidRPr="00E8481B">
        <w:rPr>
          <w:sz w:val="24"/>
          <w:szCs w:val="24"/>
        </w:rPr>
        <w:t>20220527</w:t>
      </w:r>
    </w:p>
    <w:p w14:paraId="5F762758" w14:textId="6AEB1E2C" w:rsidR="00C66405" w:rsidRPr="00E8481B" w:rsidRDefault="00C54AF3" w:rsidP="00C66405">
      <w:pPr>
        <w:pStyle w:val="ListParagraph"/>
        <w:numPr>
          <w:ilvl w:val="1"/>
          <w:numId w:val="2"/>
        </w:numPr>
        <w:rPr>
          <w:sz w:val="24"/>
          <w:szCs w:val="24"/>
        </w:rPr>
      </w:pPr>
      <w:r w:rsidRPr="00E8481B">
        <w:rPr>
          <w:sz w:val="24"/>
          <w:szCs w:val="24"/>
        </w:rPr>
        <w:t>InnPower_202</w:t>
      </w:r>
      <w:r w:rsidR="00E8481B" w:rsidRPr="00E8481B">
        <w:rPr>
          <w:sz w:val="24"/>
          <w:szCs w:val="24"/>
        </w:rPr>
        <w:t>3</w:t>
      </w:r>
      <w:r w:rsidRPr="00E8481B">
        <w:rPr>
          <w:sz w:val="24"/>
          <w:szCs w:val="24"/>
        </w:rPr>
        <w:t>_IRM_Checklist</w:t>
      </w:r>
      <w:r w:rsidR="009240F2">
        <w:rPr>
          <w:sz w:val="24"/>
          <w:szCs w:val="24"/>
        </w:rPr>
        <w:t>_20220803</w:t>
      </w:r>
    </w:p>
    <w:p w14:paraId="172B444E" w14:textId="6292D39B" w:rsidR="00C66405" w:rsidRPr="00E8481B" w:rsidRDefault="00C66405" w:rsidP="00C66405">
      <w:pPr>
        <w:pStyle w:val="ListParagraph"/>
        <w:numPr>
          <w:ilvl w:val="1"/>
          <w:numId w:val="2"/>
        </w:numPr>
        <w:rPr>
          <w:sz w:val="24"/>
          <w:szCs w:val="24"/>
        </w:rPr>
      </w:pPr>
      <w:r w:rsidRPr="00E8481B">
        <w:rPr>
          <w:sz w:val="24"/>
          <w:szCs w:val="24"/>
        </w:rPr>
        <w:t>InnPower_202</w:t>
      </w:r>
      <w:r w:rsidR="00E8481B" w:rsidRPr="00E8481B">
        <w:rPr>
          <w:sz w:val="24"/>
          <w:szCs w:val="24"/>
        </w:rPr>
        <w:t>3</w:t>
      </w:r>
      <w:r w:rsidRPr="00E8481B">
        <w:rPr>
          <w:sz w:val="24"/>
          <w:szCs w:val="24"/>
        </w:rPr>
        <w:t>_EB-202</w:t>
      </w:r>
      <w:r w:rsidR="00E8481B" w:rsidRPr="00E8481B">
        <w:rPr>
          <w:sz w:val="24"/>
          <w:szCs w:val="24"/>
        </w:rPr>
        <w:t>2</w:t>
      </w:r>
      <w:r w:rsidRPr="00E8481B">
        <w:rPr>
          <w:sz w:val="24"/>
          <w:szCs w:val="24"/>
        </w:rPr>
        <w:t>-00</w:t>
      </w:r>
      <w:r w:rsidR="00E8481B" w:rsidRPr="00E8481B">
        <w:rPr>
          <w:sz w:val="24"/>
          <w:szCs w:val="24"/>
        </w:rPr>
        <w:t>43</w:t>
      </w:r>
      <w:r w:rsidRPr="00E8481B">
        <w:rPr>
          <w:sz w:val="24"/>
          <w:szCs w:val="24"/>
        </w:rPr>
        <w:t>_Principal_Adjustments</w:t>
      </w:r>
      <w:r w:rsidR="009240F2">
        <w:rPr>
          <w:sz w:val="24"/>
          <w:szCs w:val="24"/>
        </w:rPr>
        <w:t>_20220803</w:t>
      </w:r>
    </w:p>
    <w:p w14:paraId="6BBED1FB" w14:textId="36AA7576" w:rsidR="00483AA8" w:rsidRPr="00655AB8" w:rsidRDefault="00483AA8" w:rsidP="001D143B">
      <w:pPr>
        <w:pStyle w:val="ListParagraph"/>
        <w:numPr>
          <w:ilvl w:val="1"/>
          <w:numId w:val="2"/>
        </w:numPr>
        <w:rPr>
          <w:sz w:val="24"/>
          <w:szCs w:val="24"/>
        </w:rPr>
      </w:pPr>
      <w:r w:rsidRPr="00655AB8">
        <w:rPr>
          <w:sz w:val="24"/>
          <w:szCs w:val="24"/>
        </w:rPr>
        <w:t xml:space="preserve">Appendix A: </w:t>
      </w:r>
      <w:r w:rsidR="00655AB8" w:rsidRPr="00655AB8">
        <w:rPr>
          <w:sz w:val="24"/>
          <w:szCs w:val="24"/>
        </w:rPr>
        <w:t>Letter Dated January 9, 2018, Re: InnPower Application for Rates Ontario Energy Board (OEB) File Number: EB-2016-0085</w:t>
      </w:r>
    </w:p>
    <w:p w14:paraId="54391F4D" w14:textId="63BADD01" w:rsidR="00483AA8" w:rsidRPr="00655AB8" w:rsidRDefault="00483AA8" w:rsidP="001D143B">
      <w:pPr>
        <w:pStyle w:val="ListParagraph"/>
        <w:numPr>
          <w:ilvl w:val="1"/>
          <w:numId w:val="2"/>
        </w:numPr>
        <w:rPr>
          <w:sz w:val="24"/>
          <w:szCs w:val="24"/>
        </w:rPr>
      </w:pPr>
      <w:r w:rsidRPr="00655AB8">
        <w:rPr>
          <w:sz w:val="24"/>
          <w:szCs w:val="24"/>
        </w:rPr>
        <w:t xml:space="preserve">Appendix B: OEB </w:t>
      </w:r>
      <w:r w:rsidR="00655AB8" w:rsidRPr="00655AB8">
        <w:rPr>
          <w:sz w:val="24"/>
          <w:szCs w:val="24"/>
        </w:rPr>
        <w:t>Decision and Order, EB-2016-0085 Section 3.13 Rate Riders</w:t>
      </w:r>
    </w:p>
    <w:p w14:paraId="2BEF812E" w14:textId="1C397076" w:rsidR="002C4D58" w:rsidRPr="002C4D58" w:rsidRDefault="00483AA8" w:rsidP="00474A4F">
      <w:pPr>
        <w:pStyle w:val="ListParagraph"/>
        <w:numPr>
          <w:ilvl w:val="1"/>
          <w:numId w:val="2"/>
        </w:numPr>
        <w:rPr>
          <w:sz w:val="24"/>
          <w:szCs w:val="24"/>
        </w:rPr>
      </w:pPr>
      <w:r w:rsidRPr="00474A4F">
        <w:rPr>
          <w:sz w:val="24"/>
          <w:szCs w:val="24"/>
        </w:rPr>
        <w:t xml:space="preserve">Appendix C: </w:t>
      </w:r>
      <w:r w:rsidR="002C4D58" w:rsidRPr="002C4D58">
        <w:rPr>
          <w:sz w:val="24"/>
          <w:szCs w:val="24"/>
        </w:rPr>
        <w:t>OEB Letter Dated February 16, 2022, Re:  Delay in Filing (OEB) File Number: EB-2022-0043</w:t>
      </w:r>
    </w:p>
    <w:p w14:paraId="39893A34" w14:textId="77777777" w:rsidR="002C4D58" w:rsidRPr="002C4D58" w:rsidRDefault="00474A4F" w:rsidP="007C4A9D">
      <w:pPr>
        <w:pStyle w:val="ListParagraph"/>
        <w:numPr>
          <w:ilvl w:val="1"/>
          <w:numId w:val="2"/>
        </w:numPr>
        <w:rPr>
          <w:sz w:val="24"/>
          <w:szCs w:val="24"/>
        </w:rPr>
      </w:pPr>
      <w:r w:rsidRPr="00474A4F">
        <w:rPr>
          <w:sz w:val="24"/>
          <w:szCs w:val="24"/>
        </w:rPr>
        <w:t xml:space="preserve">Appendix D: </w:t>
      </w:r>
      <w:r w:rsidR="002C4D58" w:rsidRPr="002C4D58">
        <w:rPr>
          <w:sz w:val="24"/>
          <w:szCs w:val="24"/>
        </w:rPr>
        <w:t xml:space="preserve">OEB Decision and Order, EB-2016-0085 Section 3.7 Revenues and Costs relating to Affiliate </w:t>
      </w:r>
      <w:proofErr w:type="spellStart"/>
      <w:r w:rsidR="002C4D58" w:rsidRPr="002C4D58">
        <w:rPr>
          <w:sz w:val="24"/>
          <w:szCs w:val="24"/>
        </w:rPr>
        <w:t>InnServices</w:t>
      </w:r>
      <w:proofErr w:type="spellEnd"/>
      <w:r w:rsidR="002C4D58" w:rsidRPr="003450E4">
        <w:t xml:space="preserve"> </w:t>
      </w:r>
    </w:p>
    <w:p w14:paraId="34531B16" w14:textId="327EDE1D" w:rsidR="002C4D58" w:rsidRDefault="00C54AF3" w:rsidP="0054552E">
      <w:pPr>
        <w:pStyle w:val="ListParagraph"/>
        <w:numPr>
          <w:ilvl w:val="1"/>
          <w:numId w:val="2"/>
        </w:numPr>
        <w:rPr>
          <w:sz w:val="24"/>
          <w:szCs w:val="24"/>
        </w:rPr>
      </w:pPr>
      <w:r w:rsidRPr="007C4A9D">
        <w:rPr>
          <w:sz w:val="24"/>
          <w:szCs w:val="24"/>
        </w:rPr>
        <w:t xml:space="preserve">Appendix </w:t>
      </w:r>
      <w:r w:rsidR="00483AA8" w:rsidRPr="007C4A9D">
        <w:rPr>
          <w:sz w:val="24"/>
          <w:szCs w:val="24"/>
        </w:rPr>
        <w:t>E</w:t>
      </w:r>
      <w:r w:rsidRPr="007C4A9D">
        <w:rPr>
          <w:sz w:val="24"/>
          <w:szCs w:val="24"/>
        </w:rPr>
        <w:t xml:space="preserve">: </w:t>
      </w:r>
      <w:r w:rsidR="002C4D58" w:rsidRPr="002C4D58">
        <w:rPr>
          <w:sz w:val="24"/>
          <w:szCs w:val="24"/>
        </w:rPr>
        <w:t>OEB Letter Dated April 9, 2019, Re:  Audit of Affiliate Transactions (OEB) File Number: EB-2016-0085</w:t>
      </w:r>
    </w:p>
    <w:p w14:paraId="398CE876" w14:textId="15AB5C6E" w:rsidR="0054552E" w:rsidRPr="007C4A9D" w:rsidRDefault="002C4D58" w:rsidP="0054552E">
      <w:pPr>
        <w:pStyle w:val="ListParagraph"/>
        <w:numPr>
          <w:ilvl w:val="1"/>
          <w:numId w:val="2"/>
        </w:numPr>
        <w:rPr>
          <w:sz w:val="24"/>
          <w:szCs w:val="24"/>
        </w:rPr>
      </w:pPr>
      <w:r>
        <w:rPr>
          <w:sz w:val="24"/>
          <w:szCs w:val="24"/>
        </w:rPr>
        <w:t xml:space="preserve">Appendix F: </w:t>
      </w:r>
      <w:r w:rsidR="00C54AF3" w:rsidRPr="007C4A9D">
        <w:rPr>
          <w:sz w:val="24"/>
          <w:szCs w:val="24"/>
        </w:rPr>
        <w:t>InnPower Current Tariff</w:t>
      </w:r>
      <w:r w:rsidR="00483AA8" w:rsidRPr="007C4A9D">
        <w:rPr>
          <w:sz w:val="24"/>
          <w:szCs w:val="24"/>
        </w:rPr>
        <w:t xml:space="preserve"> Sheet</w:t>
      </w:r>
    </w:p>
    <w:p w14:paraId="501A17CD" w14:textId="7E6CF80D" w:rsidR="00500BA5" w:rsidRPr="00500BA5" w:rsidRDefault="00483AA8" w:rsidP="00500BA5">
      <w:pPr>
        <w:pStyle w:val="ListParagraph"/>
        <w:numPr>
          <w:ilvl w:val="1"/>
          <w:numId w:val="2"/>
        </w:numPr>
        <w:spacing w:after="0"/>
      </w:pPr>
      <w:r w:rsidRPr="007C4A9D">
        <w:rPr>
          <w:sz w:val="24"/>
          <w:szCs w:val="24"/>
        </w:rPr>
        <w:t xml:space="preserve">Appendix </w:t>
      </w:r>
      <w:r w:rsidR="002C4D58">
        <w:rPr>
          <w:sz w:val="24"/>
          <w:szCs w:val="24"/>
        </w:rPr>
        <w:t>G</w:t>
      </w:r>
      <w:r w:rsidR="00C54AF3" w:rsidRPr="007C4A9D">
        <w:rPr>
          <w:sz w:val="24"/>
          <w:szCs w:val="24"/>
        </w:rPr>
        <w:t>: InnPower Certification</w:t>
      </w:r>
    </w:p>
    <w:p w14:paraId="328CB70F" w14:textId="77777777" w:rsidR="00500BA5" w:rsidRDefault="00500BA5" w:rsidP="00500BA5">
      <w:pPr>
        <w:spacing w:after="0"/>
      </w:pPr>
    </w:p>
    <w:p w14:paraId="578EFED8" w14:textId="77777777" w:rsidR="00500BA5" w:rsidRDefault="00500BA5" w:rsidP="00500BA5">
      <w:pPr>
        <w:spacing w:after="0"/>
      </w:pPr>
    </w:p>
    <w:p w14:paraId="1BFEB3B6" w14:textId="77777777" w:rsidR="00500BA5" w:rsidRDefault="00500BA5" w:rsidP="00500BA5">
      <w:pPr>
        <w:spacing w:after="0"/>
      </w:pPr>
    </w:p>
    <w:p w14:paraId="513C2DE8" w14:textId="77777777" w:rsidR="00500BA5" w:rsidRDefault="00500BA5" w:rsidP="00500BA5">
      <w:pPr>
        <w:spacing w:after="0"/>
      </w:pPr>
    </w:p>
    <w:p w14:paraId="0FBA48E0" w14:textId="77777777" w:rsidR="00500BA5" w:rsidRDefault="00500BA5" w:rsidP="00500BA5">
      <w:pPr>
        <w:spacing w:after="0"/>
      </w:pPr>
    </w:p>
    <w:p w14:paraId="74A491D0" w14:textId="77777777" w:rsidR="00500BA5" w:rsidRDefault="00500BA5" w:rsidP="00500BA5">
      <w:pPr>
        <w:spacing w:after="0"/>
      </w:pPr>
    </w:p>
    <w:p w14:paraId="1B090D4A" w14:textId="77777777" w:rsidR="00500BA5" w:rsidRDefault="00500BA5" w:rsidP="00500BA5">
      <w:pPr>
        <w:spacing w:after="0"/>
      </w:pPr>
    </w:p>
    <w:p w14:paraId="0D3BBAB2" w14:textId="77777777" w:rsidR="00500BA5" w:rsidRDefault="00500BA5" w:rsidP="00500BA5">
      <w:pPr>
        <w:spacing w:after="0"/>
      </w:pPr>
    </w:p>
    <w:p w14:paraId="461EA130" w14:textId="77777777" w:rsidR="00500BA5" w:rsidRDefault="00500BA5" w:rsidP="00500BA5">
      <w:pPr>
        <w:spacing w:after="0"/>
      </w:pPr>
    </w:p>
    <w:p w14:paraId="65FF8841" w14:textId="77777777" w:rsidR="00500BA5" w:rsidRDefault="00500BA5" w:rsidP="00500BA5">
      <w:pPr>
        <w:spacing w:after="0"/>
      </w:pPr>
    </w:p>
    <w:p w14:paraId="1F36EE26" w14:textId="77777777" w:rsidR="00500BA5" w:rsidRDefault="00500BA5" w:rsidP="00500BA5">
      <w:pPr>
        <w:spacing w:after="0"/>
      </w:pPr>
    </w:p>
    <w:p w14:paraId="271BB316" w14:textId="77777777" w:rsidR="00500BA5" w:rsidRDefault="00500BA5" w:rsidP="00500BA5">
      <w:pPr>
        <w:spacing w:after="0"/>
      </w:pPr>
    </w:p>
    <w:p w14:paraId="4C5F2873" w14:textId="77777777" w:rsidR="00500BA5" w:rsidRDefault="00500BA5" w:rsidP="00500BA5">
      <w:pPr>
        <w:spacing w:after="0"/>
      </w:pPr>
    </w:p>
    <w:p w14:paraId="4F7ED7BF" w14:textId="77777777" w:rsidR="00500BA5" w:rsidRDefault="00500BA5" w:rsidP="00500BA5">
      <w:pPr>
        <w:spacing w:after="0"/>
      </w:pPr>
    </w:p>
    <w:p w14:paraId="664199FE" w14:textId="77777777" w:rsidR="00500BA5" w:rsidRDefault="00500BA5" w:rsidP="00500BA5">
      <w:pPr>
        <w:spacing w:after="0"/>
      </w:pPr>
    </w:p>
    <w:p w14:paraId="4FCDEB13" w14:textId="77777777" w:rsidR="00500BA5" w:rsidRDefault="00500BA5" w:rsidP="00500BA5">
      <w:pPr>
        <w:spacing w:after="0"/>
      </w:pPr>
    </w:p>
    <w:p w14:paraId="78D0E470" w14:textId="77777777" w:rsidR="00500BA5" w:rsidRDefault="00500BA5" w:rsidP="00500BA5">
      <w:pPr>
        <w:spacing w:after="0"/>
      </w:pPr>
    </w:p>
    <w:p w14:paraId="28920F67" w14:textId="77777777" w:rsidR="00500BA5" w:rsidRDefault="00500BA5" w:rsidP="00500BA5">
      <w:pPr>
        <w:spacing w:after="0"/>
      </w:pPr>
    </w:p>
    <w:p w14:paraId="65E98FCB" w14:textId="77777777" w:rsidR="00500BA5" w:rsidRDefault="00500BA5" w:rsidP="00500BA5">
      <w:pPr>
        <w:spacing w:after="0"/>
      </w:pPr>
    </w:p>
    <w:p w14:paraId="330EF9E0" w14:textId="77777777" w:rsidR="00500BA5" w:rsidRDefault="00500BA5" w:rsidP="00500BA5">
      <w:pPr>
        <w:spacing w:after="0"/>
      </w:pPr>
    </w:p>
    <w:p w14:paraId="2D117D36" w14:textId="77777777" w:rsidR="00500BA5" w:rsidRDefault="00500BA5" w:rsidP="00500BA5">
      <w:pPr>
        <w:spacing w:after="0"/>
      </w:pPr>
    </w:p>
    <w:p w14:paraId="41D61991" w14:textId="4DE06734" w:rsidR="00F95D58" w:rsidRDefault="00F95D58" w:rsidP="00500BA5">
      <w:r>
        <w:br w:type="page"/>
      </w:r>
    </w:p>
    <w:p w14:paraId="4D9FABD6" w14:textId="77777777" w:rsidR="00407A49" w:rsidRDefault="00407A49" w:rsidP="00F72F29">
      <w:pPr>
        <w:pStyle w:val="Heading2"/>
        <w:numPr>
          <w:ilvl w:val="1"/>
          <w:numId w:val="1"/>
        </w:numPr>
      </w:pPr>
      <w:bookmarkStart w:id="1" w:name="_Toc110425255"/>
      <w:r>
        <w:lastRenderedPageBreak/>
        <w:t>Managers Summary</w:t>
      </w:r>
      <w:bookmarkEnd w:id="1"/>
    </w:p>
    <w:p w14:paraId="01901A9F" w14:textId="77777777" w:rsidR="00F95D58" w:rsidRDefault="00F95D58" w:rsidP="00F72F29">
      <w:pPr>
        <w:spacing w:after="0"/>
      </w:pPr>
    </w:p>
    <w:p w14:paraId="1059EC21" w14:textId="29A6F1AC" w:rsidR="00F95D58" w:rsidRPr="00F95D58" w:rsidRDefault="00F95D58" w:rsidP="000C1FAD">
      <w:pPr>
        <w:spacing w:after="0"/>
        <w:rPr>
          <w:sz w:val="24"/>
          <w:szCs w:val="24"/>
        </w:rPr>
      </w:pPr>
      <w:r>
        <w:rPr>
          <w:sz w:val="24"/>
          <w:szCs w:val="24"/>
        </w:rPr>
        <w:t>IPC has selected the Price Cap Incentive Rate-setting (“Price Cap IR) option to file its 20</w:t>
      </w:r>
      <w:r w:rsidR="0076086A">
        <w:rPr>
          <w:sz w:val="24"/>
          <w:szCs w:val="24"/>
        </w:rPr>
        <w:t>2</w:t>
      </w:r>
      <w:r w:rsidR="0084681F">
        <w:rPr>
          <w:sz w:val="24"/>
          <w:szCs w:val="24"/>
        </w:rPr>
        <w:t>2</w:t>
      </w:r>
      <w:r>
        <w:rPr>
          <w:sz w:val="24"/>
          <w:szCs w:val="24"/>
        </w:rPr>
        <w:t xml:space="preserve"> Distribution Rate Application. In preparing this application, IPC has complied with Chapter 3, Incentive Rate-Setting Applications, of the Board’s Filing Requirements for Electricity Distribution Applications </w:t>
      </w:r>
      <w:r w:rsidR="00D705AF">
        <w:rPr>
          <w:sz w:val="24"/>
          <w:szCs w:val="24"/>
        </w:rPr>
        <w:t xml:space="preserve">dated </w:t>
      </w:r>
      <w:r w:rsidR="00D45470">
        <w:rPr>
          <w:sz w:val="24"/>
          <w:szCs w:val="24"/>
        </w:rPr>
        <w:t>May</w:t>
      </w:r>
      <w:r w:rsidR="00926968">
        <w:rPr>
          <w:sz w:val="24"/>
          <w:szCs w:val="24"/>
        </w:rPr>
        <w:t xml:space="preserve"> </w:t>
      </w:r>
      <w:r w:rsidR="0084681F">
        <w:rPr>
          <w:sz w:val="24"/>
          <w:szCs w:val="24"/>
        </w:rPr>
        <w:t>2</w:t>
      </w:r>
      <w:r w:rsidR="00926968">
        <w:rPr>
          <w:sz w:val="24"/>
          <w:szCs w:val="24"/>
        </w:rPr>
        <w:t>4, 202</w:t>
      </w:r>
      <w:r w:rsidR="00D45470">
        <w:rPr>
          <w:sz w:val="24"/>
          <w:szCs w:val="24"/>
        </w:rPr>
        <w:t>2</w:t>
      </w:r>
      <w:r w:rsidR="00D705AF">
        <w:rPr>
          <w:sz w:val="24"/>
          <w:szCs w:val="24"/>
        </w:rPr>
        <w:t xml:space="preserve">. </w:t>
      </w:r>
      <w:r w:rsidR="009D337A">
        <w:rPr>
          <w:sz w:val="24"/>
          <w:szCs w:val="24"/>
        </w:rPr>
        <w:t xml:space="preserve"> </w:t>
      </w:r>
    </w:p>
    <w:p w14:paraId="64C46177" w14:textId="77777777" w:rsidR="00407A49" w:rsidRDefault="00407A49" w:rsidP="000C1FAD">
      <w:pPr>
        <w:spacing w:after="0"/>
      </w:pPr>
    </w:p>
    <w:p w14:paraId="5CDBEF67" w14:textId="304DD8FA" w:rsidR="00407A49" w:rsidRPr="009D337A" w:rsidRDefault="009D337A" w:rsidP="000C1FAD">
      <w:pPr>
        <w:spacing w:after="0"/>
        <w:rPr>
          <w:sz w:val="24"/>
          <w:szCs w:val="24"/>
        </w:rPr>
      </w:pPr>
      <w:r w:rsidRPr="009D337A">
        <w:rPr>
          <w:sz w:val="24"/>
          <w:szCs w:val="24"/>
        </w:rPr>
        <w:t xml:space="preserve">All rates referenced in this application and included in the accompanying </w:t>
      </w:r>
      <w:r>
        <w:rPr>
          <w:sz w:val="24"/>
          <w:szCs w:val="24"/>
        </w:rPr>
        <w:t>InnPower Corporation Proposed Tariff of Rates and Charges</w:t>
      </w:r>
      <w:r w:rsidR="001E5DA4">
        <w:rPr>
          <w:sz w:val="24"/>
          <w:szCs w:val="24"/>
        </w:rPr>
        <w:t>,</w:t>
      </w:r>
      <w:r>
        <w:rPr>
          <w:sz w:val="24"/>
          <w:szCs w:val="24"/>
        </w:rPr>
        <w:t xml:space="preserve"> are based on the output of the OEB’s 20</w:t>
      </w:r>
      <w:r w:rsidR="00D705AF">
        <w:rPr>
          <w:sz w:val="24"/>
          <w:szCs w:val="24"/>
        </w:rPr>
        <w:t>2</w:t>
      </w:r>
      <w:r w:rsidR="00D45470">
        <w:rPr>
          <w:sz w:val="24"/>
          <w:szCs w:val="24"/>
        </w:rPr>
        <w:t>3</w:t>
      </w:r>
      <w:r w:rsidR="00D705AF">
        <w:rPr>
          <w:sz w:val="24"/>
          <w:szCs w:val="24"/>
        </w:rPr>
        <w:t xml:space="preserve"> </w:t>
      </w:r>
      <w:r>
        <w:rPr>
          <w:sz w:val="24"/>
          <w:szCs w:val="24"/>
        </w:rPr>
        <w:t xml:space="preserve">IRM Rate </w:t>
      </w:r>
      <w:r w:rsidRPr="003B343F">
        <w:rPr>
          <w:sz w:val="24"/>
          <w:szCs w:val="24"/>
        </w:rPr>
        <w:t xml:space="preserve">Generator Model </w:t>
      </w:r>
      <w:r w:rsidR="00FC02BF" w:rsidRPr="003B343F">
        <w:rPr>
          <w:sz w:val="24"/>
          <w:szCs w:val="24"/>
        </w:rPr>
        <w:t xml:space="preserve">posted </w:t>
      </w:r>
      <w:r w:rsidR="003B343F" w:rsidRPr="003B343F">
        <w:rPr>
          <w:sz w:val="24"/>
          <w:szCs w:val="24"/>
        </w:rPr>
        <w:t xml:space="preserve">July </w:t>
      </w:r>
      <w:r w:rsidR="00D45470">
        <w:rPr>
          <w:sz w:val="24"/>
          <w:szCs w:val="24"/>
        </w:rPr>
        <w:t>21</w:t>
      </w:r>
      <w:r w:rsidR="003B343F" w:rsidRPr="003B343F">
        <w:rPr>
          <w:sz w:val="24"/>
          <w:szCs w:val="24"/>
        </w:rPr>
        <w:t>, 202</w:t>
      </w:r>
      <w:r w:rsidR="00D45470">
        <w:rPr>
          <w:sz w:val="24"/>
          <w:szCs w:val="24"/>
        </w:rPr>
        <w:t>2</w:t>
      </w:r>
      <w:r w:rsidR="00D705AF" w:rsidRPr="003B343F">
        <w:rPr>
          <w:sz w:val="24"/>
          <w:szCs w:val="24"/>
        </w:rPr>
        <w:t>.</w:t>
      </w:r>
      <w:r w:rsidR="00D705AF">
        <w:rPr>
          <w:sz w:val="24"/>
          <w:szCs w:val="24"/>
        </w:rPr>
        <w:t xml:space="preserve"> </w:t>
      </w:r>
    </w:p>
    <w:p w14:paraId="7C7C2A6A" w14:textId="77777777" w:rsidR="00F95D58" w:rsidRDefault="00F95D58" w:rsidP="000C1FAD">
      <w:pPr>
        <w:spacing w:after="0"/>
      </w:pPr>
    </w:p>
    <w:p w14:paraId="42742935" w14:textId="2500A561" w:rsidR="00F95D58" w:rsidRPr="00EF50F8" w:rsidRDefault="001E5DA4" w:rsidP="000C1FAD">
      <w:pPr>
        <w:spacing w:after="0"/>
        <w:rPr>
          <w:sz w:val="24"/>
          <w:szCs w:val="24"/>
        </w:rPr>
      </w:pPr>
      <w:r w:rsidRPr="00EF50F8">
        <w:rPr>
          <w:sz w:val="24"/>
          <w:szCs w:val="24"/>
        </w:rPr>
        <w:t xml:space="preserve">IPC has not included in this </w:t>
      </w:r>
      <w:r w:rsidR="0034369F">
        <w:rPr>
          <w:sz w:val="24"/>
          <w:szCs w:val="24"/>
        </w:rPr>
        <w:t>EB-</w:t>
      </w:r>
      <w:r w:rsidR="00731545">
        <w:rPr>
          <w:sz w:val="24"/>
          <w:szCs w:val="24"/>
        </w:rPr>
        <w:t>202</w:t>
      </w:r>
      <w:r w:rsidR="00C95C39">
        <w:rPr>
          <w:sz w:val="24"/>
          <w:szCs w:val="24"/>
        </w:rPr>
        <w:t>2</w:t>
      </w:r>
      <w:r w:rsidR="0034369F">
        <w:rPr>
          <w:sz w:val="24"/>
          <w:szCs w:val="24"/>
        </w:rPr>
        <w:t>-00</w:t>
      </w:r>
      <w:r w:rsidR="00C95C39">
        <w:rPr>
          <w:sz w:val="24"/>
          <w:szCs w:val="24"/>
        </w:rPr>
        <w:t>43</w:t>
      </w:r>
      <w:r w:rsidRPr="00EF50F8">
        <w:rPr>
          <w:sz w:val="24"/>
          <w:szCs w:val="24"/>
        </w:rPr>
        <w:t xml:space="preserve"> Application any claims, changes, requests or proposals in relation to any of the following items:</w:t>
      </w:r>
    </w:p>
    <w:p w14:paraId="7D5DA41A" w14:textId="66298C15" w:rsidR="001E5DA4" w:rsidRPr="009530EF" w:rsidRDefault="001E5DA4" w:rsidP="001E5DA4">
      <w:pPr>
        <w:pStyle w:val="ListParagraph"/>
        <w:numPr>
          <w:ilvl w:val="0"/>
          <w:numId w:val="3"/>
        </w:numPr>
        <w:rPr>
          <w:sz w:val="24"/>
          <w:szCs w:val="24"/>
        </w:rPr>
      </w:pPr>
      <w:r w:rsidRPr="009530EF">
        <w:rPr>
          <w:sz w:val="24"/>
          <w:szCs w:val="24"/>
        </w:rPr>
        <w:t>LRAMVA</w:t>
      </w:r>
    </w:p>
    <w:p w14:paraId="62EFE116" w14:textId="43391C98" w:rsidR="00DE640F" w:rsidRPr="009530EF" w:rsidRDefault="00DE640F" w:rsidP="001E5DA4">
      <w:pPr>
        <w:pStyle w:val="ListParagraph"/>
        <w:numPr>
          <w:ilvl w:val="0"/>
          <w:numId w:val="3"/>
        </w:numPr>
        <w:rPr>
          <w:sz w:val="24"/>
          <w:szCs w:val="24"/>
        </w:rPr>
      </w:pPr>
      <w:r w:rsidRPr="009530EF">
        <w:rPr>
          <w:sz w:val="24"/>
          <w:szCs w:val="24"/>
        </w:rPr>
        <w:t>Tax Changes</w:t>
      </w:r>
    </w:p>
    <w:p w14:paraId="0C6D6F16" w14:textId="77777777" w:rsidR="001E5DA4" w:rsidRPr="009530EF" w:rsidRDefault="001E5DA4" w:rsidP="001E5DA4">
      <w:pPr>
        <w:pStyle w:val="ListParagraph"/>
        <w:numPr>
          <w:ilvl w:val="0"/>
          <w:numId w:val="3"/>
        </w:numPr>
        <w:rPr>
          <w:sz w:val="24"/>
          <w:szCs w:val="24"/>
        </w:rPr>
      </w:pPr>
      <w:r w:rsidRPr="009530EF">
        <w:rPr>
          <w:sz w:val="24"/>
          <w:szCs w:val="24"/>
        </w:rPr>
        <w:t>Z-Factor claim</w:t>
      </w:r>
    </w:p>
    <w:p w14:paraId="5D4B595C" w14:textId="77777777" w:rsidR="001E5DA4" w:rsidRPr="009530EF" w:rsidRDefault="001E5DA4" w:rsidP="001E5DA4">
      <w:pPr>
        <w:pStyle w:val="ListParagraph"/>
        <w:numPr>
          <w:ilvl w:val="0"/>
          <w:numId w:val="3"/>
        </w:numPr>
        <w:rPr>
          <w:sz w:val="24"/>
          <w:szCs w:val="24"/>
        </w:rPr>
      </w:pPr>
      <w:r w:rsidRPr="009530EF">
        <w:rPr>
          <w:sz w:val="24"/>
          <w:szCs w:val="24"/>
        </w:rPr>
        <w:t>Advanced Capital Module</w:t>
      </w:r>
    </w:p>
    <w:p w14:paraId="2EB00B5E" w14:textId="77777777" w:rsidR="001E5DA4" w:rsidRPr="009530EF" w:rsidRDefault="001E5DA4" w:rsidP="001E5DA4">
      <w:pPr>
        <w:pStyle w:val="ListParagraph"/>
        <w:numPr>
          <w:ilvl w:val="0"/>
          <w:numId w:val="3"/>
        </w:numPr>
        <w:rPr>
          <w:sz w:val="24"/>
          <w:szCs w:val="24"/>
        </w:rPr>
      </w:pPr>
      <w:r w:rsidRPr="009530EF">
        <w:rPr>
          <w:sz w:val="24"/>
          <w:szCs w:val="24"/>
        </w:rPr>
        <w:t>Incremental Capital Module</w:t>
      </w:r>
    </w:p>
    <w:p w14:paraId="32B0F309" w14:textId="77777777" w:rsidR="001E5DA4" w:rsidRPr="009530EF" w:rsidRDefault="001E5DA4" w:rsidP="001E5DA4">
      <w:pPr>
        <w:pStyle w:val="ListParagraph"/>
        <w:numPr>
          <w:ilvl w:val="0"/>
          <w:numId w:val="3"/>
        </w:numPr>
      </w:pPr>
      <w:r w:rsidRPr="009530EF">
        <w:rPr>
          <w:sz w:val="24"/>
          <w:szCs w:val="24"/>
        </w:rPr>
        <w:t>Eligible Investments</w:t>
      </w:r>
    </w:p>
    <w:p w14:paraId="49686A99" w14:textId="77777777" w:rsidR="00F95D58" w:rsidRDefault="00F95D58" w:rsidP="00407A49"/>
    <w:p w14:paraId="13970656" w14:textId="2B08E070" w:rsidR="00396182" w:rsidRDefault="00396182" w:rsidP="00396182">
      <w:pPr>
        <w:rPr>
          <w:b/>
          <w:sz w:val="24"/>
          <w:szCs w:val="24"/>
        </w:rPr>
      </w:pPr>
      <w:r w:rsidRPr="00EE32E5">
        <w:rPr>
          <w:b/>
          <w:sz w:val="24"/>
          <w:szCs w:val="24"/>
        </w:rPr>
        <w:t>Rate Generator Model</w:t>
      </w:r>
    </w:p>
    <w:p w14:paraId="23DAC804" w14:textId="0E31CB47" w:rsidR="00396182" w:rsidRPr="00EE32E5" w:rsidRDefault="00604C26" w:rsidP="00396182">
      <w:pPr>
        <w:rPr>
          <w:b/>
          <w:sz w:val="24"/>
          <w:szCs w:val="24"/>
        </w:rPr>
      </w:pPr>
      <w:r w:rsidRPr="00EE32E5">
        <w:rPr>
          <w:b/>
          <w:sz w:val="24"/>
          <w:szCs w:val="24"/>
        </w:rPr>
        <w:t>Continuity Schedule</w:t>
      </w:r>
      <w:r w:rsidR="009F78B7" w:rsidRPr="00EE32E5">
        <w:rPr>
          <w:b/>
          <w:sz w:val="24"/>
          <w:szCs w:val="24"/>
        </w:rPr>
        <w:t xml:space="preserve"> </w:t>
      </w:r>
      <w:r w:rsidR="00396182" w:rsidRPr="00EE32E5">
        <w:rPr>
          <w:b/>
          <w:sz w:val="24"/>
          <w:szCs w:val="24"/>
        </w:rPr>
        <w:t>Variances</w:t>
      </w:r>
    </w:p>
    <w:p w14:paraId="1B3812D4" w14:textId="0EC00632" w:rsidR="00396182" w:rsidRPr="00027145" w:rsidRDefault="00396182" w:rsidP="00396182">
      <w:pPr>
        <w:pStyle w:val="ListParagraph"/>
        <w:numPr>
          <w:ilvl w:val="0"/>
          <w:numId w:val="7"/>
        </w:numPr>
        <w:rPr>
          <w:sz w:val="24"/>
          <w:szCs w:val="24"/>
        </w:rPr>
      </w:pPr>
      <w:r w:rsidRPr="00027145">
        <w:rPr>
          <w:sz w:val="24"/>
          <w:szCs w:val="24"/>
        </w:rPr>
        <w:t>The variance for 1580 RSVA – Wholesale Market Service C</w:t>
      </w:r>
      <w:r w:rsidR="00ED388D" w:rsidRPr="00027145">
        <w:rPr>
          <w:sz w:val="24"/>
          <w:szCs w:val="24"/>
        </w:rPr>
        <w:t xml:space="preserve">harge in the amount of </w:t>
      </w:r>
      <w:r w:rsidR="00027145" w:rsidRPr="00027145">
        <w:rPr>
          <w:sz w:val="24"/>
          <w:szCs w:val="24"/>
        </w:rPr>
        <w:t>(</w:t>
      </w:r>
      <w:r w:rsidR="00ED388D" w:rsidRPr="00027145">
        <w:rPr>
          <w:sz w:val="24"/>
          <w:szCs w:val="24"/>
        </w:rPr>
        <w:t>$</w:t>
      </w:r>
      <w:r w:rsidR="00027145" w:rsidRPr="00027145">
        <w:rPr>
          <w:sz w:val="24"/>
          <w:szCs w:val="24"/>
        </w:rPr>
        <w:t>39,038)</w:t>
      </w:r>
      <w:r w:rsidRPr="00027145">
        <w:rPr>
          <w:sz w:val="24"/>
          <w:szCs w:val="24"/>
        </w:rPr>
        <w:t>, is the res</w:t>
      </w:r>
      <w:r w:rsidR="007D7FF7" w:rsidRPr="00027145">
        <w:rPr>
          <w:sz w:val="24"/>
          <w:szCs w:val="24"/>
        </w:rPr>
        <w:t>ult of balances for sub-account</w:t>
      </w:r>
      <w:r w:rsidRPr="00027145">
        <w:rPr>
          <w:sz w:val="24"/>
          <w:szCs w:val="24"/>
        </w:rPr>
        <w:t xml:space="preserve"> 1580 CBR </w:t>
      </w:r>
      <w:r w:rsidR="00453B74" w:rsidRPr="00027145">
        <w:rPr>
          <w:sz w:val="24"/>
          <w:szCs w:val="24"/>
        </w:rPr>
        <w:t xml:space="preserve">Class </w:t>
      </w:r>
      <w:r w:rsidRPr="00027145">
        <w:rPr>
          <w:sz w:val="24"/>
          <w:szCs w:val="24"/>
        </w:rPr>
        <w:t>B accounted for in the 1580 control account in the 2.1.7 RRR submission form.</w:t>
      </w:r>
    </w:p>
    <w:p w14:paraId="51370C88" w14:textId="77777777" w:rsidR="00396182" w:rsidRPr="00C95C39" w:rsidRDefault="00396182" w:rsidP="00396182">
      <w:pPr>
        <w:pStyle w:val="ListParagraph"/>
        <w:rPr>
          <w:sz w:val="24"/>
          <w:szCs w:val="24"/>
          <w:highlight w:val="yellow"/>
        </w:rPr>
      </w:pPr>
    </w:p>
    <w:p w14:paraId="41B9F527" w14:textId="5B559149" w:rsidR="00396182" w:rsidRPr="00027145" w:rsidRDefault="00396182" w:rsidP="00BD4A13">
      <w:pPr>
        <w:pStyle w:val="ListParagraph"/>
        <w:numPr>
          <w:ilvl w:val="0"/>
          <w:numId w:val="7"/>
        </w:numPr>
        <w:rPr>
          <w:sz w:val="24"/>
          <w:szCs w:val="24"/>
        </w:rPr>
      </w:pPr>
      <w:r w:rsidRPr="00027145">
        <w:rPr>
          <w:sz w:val="24"/>
          <w:szCs w:val="24"/>
        </w:rPr>
        <w:t xml:space="preserve">The variance for 1588 Power and 1589 Global Adjustment in the amount of </w:t>
      </w:r>
      <w:r w:rsidR="00ED388D" w:rsidRPr="00027145">
        <w:rPr>
          <w:sz w:val="24"/>
          <w:szCs w:val="24"/>
        </w:rPr>
        <w:t>$</w:t>
      </w:r>
      <w:r w:rsidR="005A5D56" w:rsidRPr="00027145">
        <w:rPr>
          <w:sz w:val="24"/>
          <w:szCs w:val="24"/>
        </w:rPr>
        <w:t>1</w:t>
      </w:r>
      <w:r w:rsidR="00027145" w:rsidRPr="00027145">
        <w:rPr>
          <w:sz w:val="24"/>
          <w:szCs w:val="24"/>
        </w:rPr>
        <w:t>6</w:t>
      </w:r>
      <w:r w:rsidR="00EC1E48">
        <w:rPr>
          <w:sz w:val="24"/>
          <w:szCs w:val="24"/>
        </w:rPr>
        <w:t>7,546</w:t>
      </w:r>
      <w:r w:rsidRPr="00027145">
        <w:rPr>
          <w:sz w:val="24"/>
          <w:szCs w:val="24"/>
        </w:rPr>
        <w:t xml:space="preserve"> and </w:t>
      </w:r>
      <w:r w:rsidR="0078459B">
        <w:rPr>
          <w:sz w:val="24"/>
          <w:szCs w:val="24"/>
        </w:rPr>
        <w:t>(</w:t>
      </w:r>
      <w:r w:rsidR="005A5D56" w:rsidRPr="00027145">
        <w:rPr>
          <w:sz w:val="24"/>
          <w:szCs w:val="24"/>
        </w:rPr>
        <w:t>$</w:t>
      </w:r>
      <w:r w:rsidR="00027145" w:rsidRPr="00027145">
        <w:rPr>
          <w:sz w:val="24"/>
          <w:szCs w:val="24"/>
        </w:rPr>
        <w:t>46,437</w:t>
      </w:r>
      <w:r w:rsidR="0078459B">
        <w:rPr>
          <w:sz w:val="24"/>
          <w:szCs w:val="24"/>
        </w:rPr>
        <w:t>)</w:t>
      </w:r>
      <w:r w:rsidRPr="00027145">
        <w:rPr>
          <w:sz w:val="24"/>
          <w:szCs w:val="24"/>
        </w:rPr>
        <w:t xml:space="preserve"> respectively, is the result of the following items not reflected in the 2.1.7 RRR submission form:</w:t>
      </w:r>
    </w:p>
    <w:p w14:paraId="15FEB33C" w14:textId="6A8D8BCE" w:rsidR="00396182" w:rsidRPr="00027145" w:rsidRDefault="00396182" w:rsidP="00396182">
      <w:pPr>
        <w:pStyle w:val="ListParagraph"/>
        <w:numPr>
          <w:ilvl w:val="1"/>
          <w:numId w:val="7"/>
        </w:numPr>
        <w:rPr>
          <w:sz w:val="24"/>
          <w:szCs w:val="24"/>
        </w:rPr>
      </w:pPr>
      <w:r w:rsidRPr="00027145">
        <w:rPr>
          <w:sz w:val="24"/>
          <w:szCs w:val="24"/>
        </w:rPr>
        <w:t>True-up of GA charges based o</w:t>
      </w:r>
      <w:r w:rsidR="00ED388D" w:rsidRPr="00027145">
        <w:rPr>
          <w:sz w:val="24"/>
          <w:szCs w:val="24"/>
        </w:rPr>
        <w:t>n actual GA rate – current year</w:t>
      </w:r>
    </w:p>
    <w:p w14:paraId="672EC502" w14:textId="43B80234" w:rsidR="00396182" w:rsidRPr="00027145" w:rsidRDefault="00396182" w:rsidP="0015543F">
      <w:pPr>
        <w:pStyle w:val="ListParagraph"/>
        <w:numPr>
          <w:ilvl w:val="1"/>
          <w:numId w:val="7"/>
        </w:numPr>
        <w:spacing w:after="0"/>
        <w:rPr>
          <w:sz w:val="24"/>
          <w:szCs w:val="24"/>
        </w:rPr>
      </w:pPr>
      <w:r w:rsidRPr="00027145">
        <w:rPr>
          <w:sz w:val="24"/>
          <w:szCs w:val="24"/>
        </w:rPr>
        <w:t xml:space="preserve">True-up of actual kWh sales volumes for RPP settlements – current year </w:t>
      </w:r>
    </w:p>
    <w:p w14:paraId="0848D11F" w14:textId="38ACFE2B" w:rsidR="00396182" w:rsidRPr="00027145" w:rsidRDefault="00396182" w:rsidP="0015543F">
      <w:pPr>
        <w:pStyle w:val="ListParagraph"/>
        <w:numPr>
          <w:ilvl w:val="1"/>
          <w:numId w:val="7"/>
        </w:numPr>
        <w:spacing w:after="0"/>
        <w:rPr>
          <w:sz w:val="24"/>
          <w:szCs w:val="24"/>
        </w:rPr>
      </w:pPr>
      <w:r w:rsidRPr="00027145">
        <w:rPr>
          <w:sz w:val="24"/>
          <w:szCs w:val="24"/>
        </w:rPr>
        <w:t xml:space="preserve">True-up of GA charges based on actual </w:t>
      </w:r>
      <w:proofErr w:type="gramStart"/>
      <w:r w:rsidRPr="00027145">
        <w:rPr>
          <w:sz w:val="24"/>
          <w:szCs w:val="24"/>
        </w:rPr>
        <w:t>Non-RPP</w:t>
      </w:r>
      <w:proofErr w:type="gramEnd"/>
      <w:r w:rsidRPr="00027145">
        <w:rPr>
          <w:sz w:val="24"/>
          <w:szCs w:val="24"/>
        </w:rPr>
        <w:t xml:space="preserve"> volumes – current year</w:t>
      </w:r>
      <w:r w:rsidR="00593CC0" w:rsidRPr="00027145">
        <w:rPr>
          <w:sz w:val="24"/>
          <w:szCs w:val="24"/>
        </w:rPr>
        <w:t xml:space="preserve"> </w:t>
      </w:r>
    </w:p>
    <w:p w14:paraId="2D6EFC2B" w14:textId="7903DF28" w:rsidR="00027145" w:rsidRDefault="00027145" w:rsidP="00DD71F5">
      <w:pPr>
        <w:spacing w:after="0"/>
        <w:rPr>
          <w:sz w:val="24"/>
          <w:szCs w:val="24"/>
          <w:highlight w:val="yellow"/>
        </w:rPr>
      </w:pPr>
    </w:p>
    <w:p w14:paraId="2494FAC4" w14:textId="6016C5CA" w:rsidR="00667902" w:rsidRDefault="00667902" w:rsidP="00DD71F5">
      <w:pPr>
        <w:spacing w:after="0"/>
        <w:rPr>
          <w:sz w:val="24"/>
          <w:szCs w:val="24"/>
          <w:highlight w:val="yellow"/>
        </w:rPr>
      </w:pPr>
    </w:p>
    <w:p w14:paraId="704C30F1" w14:textId="77777777" w:rsidR="00DD71F5" w:rsidRDefault="00DD71F5" w:rsidP="00EE32E5">
      <w:pPr>
        <w:rPr>
          <w:sz w:val="24"/>
          <w:szCs w:val="24"/>
          <w:highlight w:val="yellow"/>
        </w:rPr>
      </w:pPr>
    </w:p>
    <w:p w14:paraId="69B6BF7F" w14:textId="54C1E4AF" w:rsidR="008446AD" w:rsidRPr="00E229A2" w:rsidRDefault="00396182" w:rsidP="00EE32E5">
      <w:pPr>
        <w:rPr>
          <w:sz w:val="24"/>
          <w:szCs w:val="24"/>
        </w:rPr>
      </w:pPr>
      <w:r w:rsidRPr="00E229A2">
        <w:rPr>
          <w:sz w:val="24"/>
          <w:szCs w:val="24"/>
        </w:rPr>
        <w:lastRenderedPageBreak/>
        <w:t>Please refer to</w:t>
      </w:r>
      <w:r w:rsidR="008446AD" w:rsidRPr="00E229A2">
        <w:rPr>
          <w:sz w:val="24"/>
          <w:szCs w:val="24"/>
        </w:rPr>
        <w:t xml:space="preserve"> the following file</w:t>
      </w:r>
      <w:r w:rsidR="00C66405" w:rsidRPr="00E229A2">
        <w:rPr>
          <w:sz w:val="24"/>
          <w:szCs w:val="24"/>
        </w:rPr>
        <w:t>s</w:t>
      </w:r>
      <w:r w:rsidR="008446AD" w:rsidRPr="00E229A2">
        <w:rPr>
          <w:sz w:val="24"/>
          <w:szCs w:val="24"/>
        </w:rPr>
        <w:t xml:space="preserve"> for detailed calculations of the variance:</w:t>
      </w:r>
    </w:p>
    <w:p w14:paraId="3DE582AB" w14:textId="3E3B99F0" w:rsidR="00BE7E4A" w:rsidRPr="00E229A2" w:rsidRDefault="00BE7E4A" w:rsidP="00BE7E4A">
      <w:pPr>
        <w:pStyle w:val="ListParagraph"/>
        <w:numPr>
          <w:ilvl w:val="0"/>
          <w:numId w:val="16"/>
        </w:numPr>
        <w:rPr>
          <w:sz w:val="24"/>
          <w:szCs w:val="24"/>
        </w:rPr>
      </w:pPr>
      <w:r w:rsidRPr="00E229A2">
        <w:rPr>
          <w:sz w:val="24"/>
          <w:szCs w:val="24"/>
        </w:rPr>
        <w:t>InnPower_202</w:t>
      </w:r>
      <w:r w:rsidR="00E229A2" w:rsidRPr="00E229A2">
        <w:rPr>
          <w:sz w:val="24"/>
          <w:szCs w:val="24"/>
        </w:rPr>
        <w:t>3</w:t>
      </w:r>
      <w:r w:rsidRPr="00E229A2">
        <w:rPr>
          <w:sz w:val="24"/>
          <w:szCs w:val="24"/>
        </w:rPr>
        <w:t>_GA_Analysis_Workform _1.0_202</w:t>
      </w:r>
      <w:r w:rsidR="00E229A2" w:rsidRPr="00E229A2">
        <w:rPr>
          <w:sz w:val="24"/>
          <w:szCs w:val="24"/>
        </w:rPr>
        <w:t>20527</w:t>
      </w:r>
    </w:p>
    <w:p w14:paraId="3CFF7B1E" w14:textId="5B376356" w:rsidR="00374A6E" w:rsidRPr="00E229A2" w:rsidRDefault="00C66405" w:rsidP="00407A49">
      <w:pPr>
        <w:pStyle w:val="ListParagraph"/>
        <w:numPr>
          <w:ilvl w:val="0"/>
          <w:numId w:val="16"/>
        </w:numPr>
        <w:rPr>
          <w:sz w:val="24"/>
          <w:szCs w:val="24"/>
        </w:rPr>
      </w:pPr>
      <w:r w:rsidRPr="00E229A2">
        <w:rPr>
          <w:sz w:val="24"/>
          <w:szCs w:val="24"/>
        </w:rPr>
        <w:t>InnPower_202</w:t>
      </w:r>
      <w:r w:rsidR="00E229A2" w:rsidRPr="00E229A2">
        <w:rPr>
          <w:sz w:val="24"/>
          <w:szCs w:val="24"/>
        </w:rPr>
        <w:t>3</w:t>
      </w:r>
      <w:r w:rsidRPr="00E229A2">
        <w:rPr>
          <w:sz w:val="24"/>
          <w:szCs w:val="24"/>
        </w:rPr>
        <w:t>_EB-202</w:t>
      </w:r>
      <w:r w:rsidR="00E229A2" w:rsidRPr="00E229A2">
        <w:rPr>
          <w:sz w:val="24"/>
          <w:szCs w:val="24"/>
        </w:rPr>
        <w:t>2</w:t>
      </w:r>
      <w:r w:rsidRPr="00E229A2">
        <w:rPr>
          <w:sz w:val="24"/>
          <w:szCs w:val="24"/>
        </w:rPr>
        <w:t>-00</w:t>
      </w:r>
      <w:r w:rsidR="00E229A2" w:rsidRPr="00E229A2">
        <w:rPr>
          <w:sz w:val="24"/>
          <w:szCs w:val="24"/>
        </w:rPr>
        <w:t>43</w:t>
      </w:r>
      <w:r w:rsidRPr="00E229A2">
        <w:rPr>
          <w:sz w:val="24"/>
          <w:szCs w:val="24"/>
        </w:rPr>
        <w:t>_Principal_Adjustments</w:t>
      </w:r>
      <w:r w:rsidR="009240F2">
        <w:rPr>
          <w:sz w:val="24"/>
          <w:szCs w:val="24"/>
        </w:rPr>
        <w:t>_20220803</w:t>
      </w:r>
    </w:p>
    <w:p w14:paraId="5AD2F026" w14:textId="40C76877" w:rsidR="00396182" w:rsidRPr="004E35B4" w:rsidRDefault="00D17D33" w:rsidP="00407A49">
      <w:pPr>
        <w:rPr>
          <w:sz w:val="24"/>
          <w:szCs w:val="24"/>
        </w:rPr>
      </w:pPr>
      <w:r w:rsidRPr="004E35B4">
        <w:rPr>
          <w:sz w:val="24"/>
          <w:szCs w:val="24"/>
        </w:rPr>
        <w:t xml:space="preserve">Please note, </w:t>
      </w:r>
      <w:r w:rsidR="0051039A">
        <w:rPr>
          <w:sz w:val="24"/>
          <w:szCs w:val="24"/>
        </w:rPr>
        <w:t xml:space="preserve">the </w:t>
      </w:r>
      <w:r w:rsidR="004E35B4" w:rsidRPr="004E35B4">
        <w:rPr>
          <w:sz w:val="24"/>
          <w:szCs w:val="24"/>
        </w:rPr>
        <w:t xml:space="preserve">prior year principal adjustments have not been included </w:t>
      </w:r>
      <w:r w:rsidRPr="004E35B4">
        <w:rPr>
          <w:sz w:val="24"/>
          <w:szCs w:val="24"/>
        </w:rPr>
        <w:t>in the</w:t>
      </w:r>
      <w:r w:rsidR="0051039A">
        <w:rPr>
          <w:sz w:val="24"/>
          <w:szCs w:val="24"/>
        </w:rPr>
        <w:t xml:space="preserve"> current year’s </w:t>
      </w:r>
      <w:r w:rsidRPr="004E35B4">
        <w:rPr>
          <w:sz w:val="24"/>
          <w:szCs w:val="24"/>
        </w:rPr>
        <w:t>principal adjustment</w:t>
      </w:r>
      <w:r w:rsidR="00AD10D3" w:rsidRPr="004E35B4">
        <w:rPr>
          <w:sz w:val="24"/>
          <w:szCs w:val="24"/>
        </w:rPr>
        <w:t xml:space="preserve"> column</w:t>
      </w:r>
      <w:r w:rsidR="0051039A">
        <w:rPr>
          <w:sz w:val="24"/>
          <w:szCs w:val="24"/>
        </w:rPr>
        <w:t xml:space="preserve"> (rate generator model)</w:t>
      </w:r>
      <w:r w:rsidRPr="004E35B4">
        <w:rPr>
          <w:sz w:val="24"/>
          <w:szCs w:val="24"/>
        </w:rPr>
        <w:t xml:space="preserve">, as they </w:t>
      </w:r>
      <w:r w:rsidR="003D48B0" w:rsidRPr="004E35B4">
        <w:rPr>
          <w:sz w:val="24"/>
          <w:szCs w:val="24"/>
        </w:rPr>
        <w:t>have been</w:t>
      </w:r>
      <w:r w:rsidR="0048476A" w:rsidRPr="004E35B4">
        <w:rPr>
          <w:sz w:val="24"/>
          <w:szCs w:val="24"/>
        </w:rPr>
        <w:t xml:space="preserve"> accounted for in the </w:t>
      </w:r>
      <w:r w:rsidR="00BD73CA" w:rsidRPr="004E35B4">
        <w:rPr>
          <w:sz w:val="24"/>
          <w:szCs w:val="24"/>
        </w:rPr>
        <w:t xml:space="preserve">disposition </w:t>
      </w:r>
      <w:r w:rsidR="0048476A" w:rsidRPr="004E35B4">
        <w:rPr>
          <w:sz w:val="24"/>
          <w:szCs w:val="24"/>
        </w:rPr>
        <w:t xml:space="preserve">amounts </w:t>
      </w:r>
      <w:r w:rsidR="003264C1" w:rsidRPr="004E35B4">
        <w:rPr>
          <w:sz w:val="24"/>
          <w:szCs w:val="24"/>
        </w:rPr>
        <w:t xml:space="preserve">recorded </w:t>
      </w:r>
      <w:r w:rsidR="00BD73CA" w:rsidRPr="004E35B4">
        <w:rPr>
          <w:sz w:val="24"/>
          <w:szCs w:val="24"/>
        </w:rPr>
        <w:t>during 202</w:t>
      </w:r>
      <w:r w:rsidR="004E35B4" w:rsidRPr="004E35B4">
        <w:rPr>
          <w:sz w:val="24"/>
          <w:szCs w:val="24"/>
        </w:rPr>
        <w:t>2</w:t>
      </w:r>
      <w:r w:rsidR="00BD73CA" w:rsidRPr="004E35B4">
        <w:rPr>
          <w:sz w:val="24"/>
          <w:szCs w:val="24"/>
        </w:rPr>
        <w:t>.</w:t>
      </w:r>
      <w:r w:rsidR="004E35B4" w:rsidRPr="004E35B4">
        <w:rPr>
          <w:sz w:val="24"/>
          <w:szCs w:val="24"/>
        </w:rPr>
        <w:t xml:space="preserve">  Including them as a reversal in the current year’s balance would duplicate the amounts.</w:t>
      </w:r>
    </w:p>
    <w:p w14:paraId="47AB30A8" w14:textId="77777777" w:rsidR="009C22B9" w:rsidRDefault="009C22B9" w:rsidP="00396182">
      <w:pPr>
        <w:rPr>
          <w:sz w:val="24"/>
          <w:szCs w:val="24"/>
        </w:rPr>
      </w:pPr>
    </w:p>
    <w:p w14:paraId="1D11B703" w14:textId="6148F9FC" w:rsidR="00396182" w:rsidRPr="00E40CA5" w:rsidRDefault="00396182" w:rsidP="00396182">
      <w:pPr>
        <w:rPr>
          <w:sz w:val="24"/>
          <w:szCs w:val="24"/>
        </w:rPr>
      </w:pPr>
      <w:proofErr w:type="gramStart"/>
      <w:r w:rsidRPr="00E40CA5">
        <w:rPr>
          <w:sz w:val="24"/>
          <w:szCs w:val="24"/>
        </w:rPr>
        <w:t>IPC’s current rates,</w:t>
      </w:r>
      <w:proofErr w:type="gramEnd"/>
      <w:r w:rsidRPr="00E40CA5">
        <w:rPr>
          <w:sz w:val="24"/>
          <w:szCs w:val="24"/>
        </w:rPr>
        <w:t xml:space="preserve"> were approved by the Board in its Decision and Order, (dated December </w:t>
      </w:r>
      <w:r w:rsidR="00042A25">
        <w:rPr>
          <w:sz w:val="24"/>
          <w:szCs w:val="24"/>
        </w:rPr>
        <w:t>9</w:t>
      </w:r>
      <w:r w:rsidR="003D48B0">
        <w:rPr>
          <w:sz w:val="24"/>
          <w:szCs w:val="24"/>
        </w:rPr>
        <w:t>, 202</w:t>
      </w:r>
      <w:r w:rsidR="00042A25">
        <w:rPr>
          <w:sz w:val="24"/>
          <w:szCs w:val="24"/>
        </w:rPr>
        <w:t>1</w:t>
      </w:r>
      <w:r w:rsidRPr="00E40CA5">
        <w:rPr>
          <w:sz w:val="24"/>
          <w:szCs w:val="24"/>
        </w:rPr>
        <w:t>), for IPC’s IRM Application EB-20</w:t>
      </w:r>
      <w:r w:rsidR="003D48B0">
        <w:rPr>
          <w:sz w:val="24"/>
          <w:szCs w:val="24"/>
        </w:rPr>
        <w:t>2</w:t>
      </w:r>
      <w:r w:rsidR="00042A25">
        <w:rPr>
          <w:sz w:val="24"/>
          <w:szCs w:val="24"/>
        </w:rPr>
        <w:t>1</w:t>
      </w:r>
      <w:r w:rsidRPr="00E40CA5">
        <w:rPr>
          <w:sz w:val="24"/>
          <w:szCs w:val="24"/>
        </w:rPr>
        <w:t>-00</w:t>
      </w:r>
      <w:r w:rsidR="003D48B0">
        <w:rPr>
          <w:sz w:val="24"/>
          <w:szCs w:val="24"/>
        </w:rPr>
        <w:t>3</w:t>
      </w:r>
      <w:r w:rsidR="00042A25">
        <w:rPr>
          <w:sz w:val="24"/>
          <w:szCs w:val="24"/>
        </w:rPr>
        <w:t>6</w:t>
      </w:r>
      <w:r w:rsidRPr="00E40CA5">
        <w:rPr>
          <w:sz w:val="24"/>
          <w:szCs w:val="24"/>
        </w:rPr>
        <w:t xml:space="preserve"> for rates effective January 1, 202</w:t>
      </w:r>
      <w:r w:rsidR="00042A25">
        <w:rPr>
          <w:sz w:val="24"/>
          <w:szCs w:val="24"/>
        </w:rPr>
        <w:t>2</w:t>
      </w:r>
      <w:r w:rsidRPr="00E40CA5">
        <w:rPr>
          <w:sz w:val="24"/>
          <w:szCs w:val="24"/>
        </w:rPr>
        <w:t xml:space="preserve">. </w:t>
      </w:r>
    </w:p>
    <w:p w14:paraId="2EFCA42D" w14:textId="0E0721D2" w:rsidR="00EF50F8" w:rsidRPr="00E40CA5" w:rsidRDefault="00EF50F8" w:rsidP="00407A49">
      <w:pPr>
        <w:rPr>
          <w:sz w:val="24"/>
          <w:szCs w:val="24"/>
        </w:rPr>
      </w:pPr>
      <w:r w:rsidRPr="00E40CA5">
        <w:rPr>
          <w:sz w:val="24"/>
          <w:szCs w:val="24"/>
        </w:rPr>
        <w:t>IPC requests an Order or Orders approving:</w:t>
      </w:r>
    </w:p>
    <w:p w14:paraId="1D19774C" w14:textId="1A98AAE0" w:rsidR="00EF50F8" w:rsidRPr="00E40CA5" w:rsidRDefault="00EF50F8" w:rsidP="008319CB">
      <w:pPr>
        <w:pStyle w:val="ListParagraph"/>
        <w:numPr>
          <w:ilvl w:val="0"/>
          <w:numId w:val="4"/>
        </w:numPr>
        <w:rPr>
          <w:sz w:val="24"/>
          <w:szCs w:val="24"/>
        </w:rPr>
      </w:pPr>
      <w:r w:rsidRPr="00E40CA5">
        <w:rPr>
          <w:sz w:val="24"/>
          <w:szCs w:val="24"/>
        </w:rPr>
        <w:t>Monthly Service Charge adjusted by the Board’s price cap formula effective January 1, 20</w:t>
      </w:r>
      <w:r w:rsidR="00327538" w:rsidRPr="00E40CA5">
        <w:rPr>
          <w:sz w:val="24"/>
          <w:szCs w:val="24"/>
        </w:rPr>
        <w:t>2</w:t>
      </w:r>
      <w:r w:rsidR="00042A25">
        <w:rPr>
          <w:sz w:val="24"/>
          <w:szCs w:val="24"/>
        </w:rPr>
        <w:t>3</w:t>
      </w:r>
      <w:r w:rsidRPr="00E40CA5">
        <w:rPr>
          <w:sz w:val="24"/>
          <w:szCs w:val="24"/>
        </w:rPr>
        <w:t>.</w:t>
      </w:r>
    </w:p>
    <w:p w14:paraId="7F9DB922" w14:textId="77777777" w:rsidR="008319CB" w:rsidRPr="00E40CA5" w:rsidRDefault="008319CB" w:rsidP="008319CB">
      <w:pPr>
        <w:pStyle w:val="ListParagraph"/>
        <w:rPr>
          <w:sz w:val="24"/>
          <w:szCs w:val="24"/>
        </w:rPr>
      </w:pPr>
    </w:p>
    <w:p w14:paraId="75025501" w14:textId="1994E2E1" w:rsidR="002C1EA3" w:rsidRDefault="0027584B" w:rsidP="00EF50F8">
      <w:pPr>
        <w:pStyle w:val="ListParagraph"/>
        <w:numPr>
          <w:ilvl w:val="0"/>
          <w:numId w:val="4"/>
        </w:numPr>
        <w:rPr>
          <w:sz w:val="24"/>
          <w:szCs w:val="24"/>
        </w:rPr>
      </w:pPr>
      <w:r w:rsidRPr="00E40CA5">
        <w:rPr>
          <w:sz w:val="24"/>
          <w:szCs w:val="24"/>
        </w:rPr>
        <w:t xml:space="preserve">A Rate Rider for Disposition of </w:t>
      </w:r>
      <w:r w:rsidR="00E22253" w:rsidRPr="00E40CA5">
        <w:rPr>
          <w:sz w:val="24"/>
          <w:szCs w:val="24"/>
        </w:rPr>
        <w:t xml:space="preserve">all </w:t>
      </w:r>
      <w:r w:rsidR="001E4A3E">
        <w:rPr>
          <w:sz w:val="24"/>
          <w:szCs w:val="24"/>
        </w:rPr>
        <w:t xml:space="preserve">Group 1 Accounts for </w:t>
      </w:r>
      <w:r w:rsidR="002C1EA3" w:rsidRPr="00E40CA5">
        <w:rPr>
          <w:sz w:val="24"/>
          <w:szCs w:val="24"/>
        </w:rPr>
        <w:t>rates effective January 1, 20</w:t>
      </w:r>
      <w:r w:rsidR="001E4A3E">
        <w:rPr>
          <w:sz w:val="24"/>
          <w:szCs w:val="24"/>
        </w:rPr>
        <w:t>2</w:t>
      </w:r>
      <w:r w:rsidR="00042A25">
        <w:rPr>
          <w:sz w:val="24"/>
          <w:szCs w:val="24"/>
        </w:rPr>
        <w:t>3</w:t>
      </w:r>
      <w:r w:rsidR="0002404C" w:rsidRPr="00E40CA5">
        <w:rPr>
          <w:sz w:val="24"/>
          <w:szCs w:val="24"/>
        </w:rPr>
        <w:t>.</w:t>
      </w:r>
    </w:p>
    <w:p w14:paraId="6D12387B" w14:textId="77777777" w:rsidR="0015543F" w:rsidRPr="0015543F" w:rsidRDefault="0015543F" w:rsidP="0015543F">
      <w:pPr>
        <w:pStyle w:val="ListParagraph"/>
        <w:rPr>
          <w:sz w:val="24"/>
          <w:szCs w:val="24"/>
        </w:rPr>
      </w:pPr>
    </w:p>
    <w:p w14:paraId="7FD095B2" w14:textId="1A71224C" w:rsidR="0015543F" w:rsidRPr="00E40CA5" w:rsidRDefault="0015543F" w:rsidP="00EF50F8">
      <w:pPr>
        <w:pStyle w:val="ListParagraph"/>
        <w:numPr>
          <w:ilvl w:val="0"/>
          <w:numId w:val="4"/>
        </w:numPr>
        <w:rPr>
          <w:sz w:val="24"/>
          <w:szCs w:val="24"/>
        </w:rPr>
      </w:pPr>
      <w:r>
        <w:rPr>
          <w:sz w:val="24"/>
          <w:szCs w:val="24"/>
        </w:rPr>
        <w:t>A Rate Rider for Disposition of a Group 2 Account for rates effective January 1, 2023.</w:t>
      </w:r>
    </w:p>
    <w:p w14:paraId="3EE506D1" w14:textId="77777777" w:rsidR="0027584B" w:rsidRPr="00E40CA5" w:rsidRDefault="0027584B" w:rsidP="0027584B">
      <w:pPr>
        <w:pStyle w:val="ListParagraph"/>
        <w:rPr>
          <w:sz w:val="24"/>
          <w:szCs w:val="24"/>
        </w:rPr>
      </w:pPr>
    </w:p>
    <w:p w14:paraId="6880EB0C" w14:textId="132B1343" w:rsidR="00436E4B" w:rsidRDefault="0027584B" w:rsidP="00552155">
      <w:pPr>
        <w:pStyle w:val="ListParagraph"/>
        <w:numPr>
          <w:ilvl w:val="0"/>
          <w:numId w:val="4"/>
        </w:numPr>
        <w:rPr>
          <w:sz w:val="24"/>
          <w:szCs w:val="24"/>
        </w:rPr>
      </w:pPr>
      <w:r w:rsidRPr="00E40CA5">
        <w:rPr>
          <w:sz w:val="24"/>
          <w:szCs w:val="24"/>
        </w:rPr>
        <w:t>Updated Retail Transmission Service Rates effective January 1, 20</w:t>
      </w:r>
      <w:r w:rsidR="00327538" w:rsidRPr="00E40CA5">
        <w:rPr>
          <w:sz w:val="24"/>
          <w:szCs w:val="24"/>
        </w:rPr>
        <w:t>2</w:t>
      </w:r>
      <w:r w:rsidR="00042A25">
        <w:rPr>
          <w:sz w:val="24"/>
          <w:szCs w:val="24"/>
        </w:rPr>
        <w:t>3</w:t>
      </w:r>
      <w:r w:rsidR="00327538" w:rsidRPr="00E40CA5">
        <w:rPr>
          <w:sz w:val="24"/>
          <w:szCs w:val="24"/>
        </w:rPr>
        <w:t>.</w:t>
      </w:r>
    </w:p>
    <w:p w14:paraId="129341C9" w14:textId="77777777" w:rsidR="00436E4B" w:rsidRPr="00287178" w:rsidRDefault="00436E4B" w:rsidP="00287178">
      <w:pPr>
        <w:pStyle w:val="ListParagraph"/>
        <w:ind w:left="1440"/>
        <w:rPr>
          <w:sz w:val="24"/>
          <w:szCs w:val="24"/>
        </w:rPr>
      </w:pPr>
    </w:p>
    <w:p w14:paraId="6269BB2C" w14:textId="3DD4755B" w:rsidR="00445A4C" w:rsidRPr="00C95C39" w:rsidRDefault="0027584B" w:rsidP="00374A6E">
      <w:pPr>
        <w:pStyle w:val="ListParagraph"/>
        <w:numPr>
          <w:ilvl w:val="0"/>
          <w:numId w:val="4"/>
        </w:numPr>
        <w:spacing w:after="0"/>
      </w:pPr>
      <w:r w:rsidRPr="00287178">
        <w:rPr>
          <w:sz w:val="24"/>
          <w:szCs w:val="24"/>
        </w:rPr>
        <w:t>An order declaring IPC’s current (</w:t>
      </w:r>
      <w:proofErr w:type="gramStart"/>
      <w:r w:rsidRPr="00287178">
        <w:rPr>
          <w:sz w:val="24"/>
          <w:szCs w:val="24"/>
        </w:rPr>
        <w:t>i.e.</w:t>
      </w:r>
      <w:proofErr w:type="gramEnd"/>
      <w:r w:rsidRPr="00287178">
        <w:rPr>
          <w:sz w:val="24"/>
          <w:szCs w:val="24"/>
        </w:rPr>
        <w:t xml:space="preserve"> 20</w:t>
      </w:r>
      <w:r w:rsidR="007A6300" w:rsidRPr="00287178">
        <w:rPr>
          <w:sz w:val="24"/>
          <w:szCs w:val="24"/>
        </w:rPr>
        <w:t>2</w:t>
      </w:r>
      <w:r w:rsidR="00042A25">
        <w:rPr>
          <w:sz w:val="24"/>
          <w:szCs w:val="24"/>
        </w:rPr>
        <w:t>2</w:t>
      </w:r>
      <w:r w:rsidRPr="00287178">
        <w:rPr>
          <w:sz w:val="24"/>
          <w:szCs w:val="24"/>
        </w:rPr>
        <w:t>) rates as interim rates effective J</w:t>
      </w:r>
      <w:r w:rsidR="00585B46" w:rsidRPr="00287178">
        <w:rPr>
          <w:sz w:val="24"/>
          <w:szCs w:val="24"/>
        </w:rPr>
        <w:t>anuary 1, 202</w:t>
      </w:r>
      <w:r w:rsidR="00042A25">
        <w:rPr>
          <w:sz w:val="24"/>
          <w:szCs w:val="24"/>
        </w:rPr>
        <w:t>3</w:t>
      </w:r>
      <w:r w:rsidR="00350E6D" w:rsidRPr="00287178">
        <w:rPr>
          <w:sz w:val="24"/>
          <w:szCs w:val="24"/>
        </w:rPr>
        <w:t>, if and only if the preceding approvals cannot be issued in time to implement final approved rates, effective January 1, 20</w:t>
      </w:r>
      <w:r w:rsidR="00585B46" w:rsidRPr="00287178">
        <w:rPr>
          <w:sz w:val="24"/>
          <w:szCs w:val="24"/>
        </w:rPr>
        <w:t>2</w:t>
      </w:r>
      <w:r w:rsidR="00042A25">
        <w:rPr>
          <w:sz w:val="24"/>
          <w:szCs w:val="24"/>
        </w:rPr>
        <w:t>3</w:t>
      </w:r>
      <w:r w:rsidR="00350E6D" w:rsidRPr="00287178">
        <w:rPr>
          <w:sz w:val="24"/>
          <w:szCs w:val="24"/>
        </w:rPr>
        <w:t>.</w:t>
      </w:r>
    </w:p>
    <w:p w14:paraId="1F1BBE00" w14:textId="77777777" w:rsidR="00C95C39" w:rsidRDefault="00C95C39" w:rsidP="00374A6E">
      <w:pPr>
        <w:pStyle w:val="ListParagraph"/>
        <w:spacing w:after="0"/>
      </w:pPr>
    </w:p>
    <w:p w14:paraId="68BCB6CE" w14:textId="2F24EC8F" w:rsidR="00C95C39" w:rsidRDefault="00C95C39" w:rsidP="00374A6E">
      <w:pPr>
        <w:spacing w:after="0"/>
      </w:pPr>
    </w:p>
    <w:p w14:paraId="3693EF09" w14:textId="1DD169EE" w:rsidR="00C95C39" w:rsidRDefault="00C95C39" w:rsidP="00374A6E">
      <w:pPr>
        <w:spacing w:after="0"/>
      </w:pPr>
    </w:p>
    <w:p w14:paraId="05D99C31" w14:textId="41A080AA" w:rsidR="00C95C39" w:rsidRDefault="00C95C39" w:rsidP="00374A6E">
      <w:pPr>
        <w:spacing w:after="0"/>
      </w:pPr>
    </w:p>
    <w:p w14:paraId="43BAE5C4" w14:textId="75DA054F" w:rsidR="00C95C39" w:rsidRDefault="00C95C39" w:rsidP="00374A6E">
      <w:pPr>
        <w:spacing w:after="0"/>
      </w:pPr>
    </w:p>
    <w:p w14:paraId="480A90D3" w14:textId="2B58F032" w:rsidR="00374A6E" w:rsidRDefault="00374A6E" w:rsidP="00374A6E">
      <w:pPr>
        <w:spacing w:after="0"/>
      </w:pPr>
    </w:p>
    <w:p w14:paraId="0E0377E6" w14:textId="36886A06" w:rsidR="00374A6E" w:rsidRDefault="00374A6E" w:rsidP="00374A6E">
      <w:pPr>
        <w:spacing w:after="0"/>
      </w:pPr>
    </w:p>
    <w:p w14:paraId="2A582699" w14:textId="1542491C" w:rsidR="00374A6E" w:rsidRDefault="00374A6E" w:rsidP="00374A6E">
      <w:pPr>
        <w:spacing w:after="0"/>
      </w:pPr>
    </w:p>
    <w:p w14:paraId="2AFB7A16" w14:textId="345F96F2" w:rsidR="00374A6E" w:rsidRDefault="00374A6E" w:rsidP="00374A6E">
      <w:pPr>
        <w:spacing w:after="0"/>
      </w:pPr>
    </w:p>
    <w:p w14:paraId="522E8B45" w14:textId="3021520C" w:rsidR="00374A6E" w:rsidRDefault="00374A6E" w:rsidP="00374A6E">
      <w:pPr>
        <w:spacing w:after="0"/>
      </w:pPr>
    </w:p>
    <w:p w14:paraId="0955657D" w14:textId="6C32F614" w:rsidR="00374A6E" w:rsidRDefault="00374A6E" w:rsidP="00374A6E">
      <w:pPr>
        <w:spacing w:after="0"/>
      </w:pPr>
    </w:p>
    <w:p w14:paraId="7A173EAC" w14:textId="586A1B8C" w:rsidR="00374A6E" w:rsidRDefault="00374A6E" w:rsidP="00374A6E">
      <w:pPr>
        <w:spacing w:after="0"/>
      </w:pPr>
    </w:p>
    <w:p w14:paraId="7455746B" w14:textId="3EBDCC1F" w:rsidR="00407A49" w:rsidRDefault="00407A49" w:rsidP="00374A6E">
      <w:pPr>
        <w:pStyle w:val="Heading2"/>
        <w:numPr>
          <w:ilvl w:val="1"/>
          <w:numId w:val="1"/>
        </w:numPr>
      </w:pPr>
      <w:bookmarkStart w:id="2" w:name="_Toc110425256"/>
      <w:r>
        <w:lastRenderedPageBreak/>
        <w:t>Contact Information</w:t>
      </w:r>
      <w:bookmarkEnd w:id="2"/>
    </w:p>
    <w:p w14:paraId="0D602788" w14:textId="77777777" w:rsidR="00407A49" w:rsidRDefault="00407A49" w:rsidP="00F72F29">
      <w:pPr>
        <w:spacing w:after="0"/>
      </w:pPr>
    </w:p>
    <w:p w14:paraId="3CD94D38" w14:textId="6E1ECE29" w:rsidR="00407A49" w:rsidRPr="001D325C" w:rsidRDefault="00350E6D" w:rsidP="00F72F29">
      <w:pPr>
        <w:spacing w:after="0"/>
        <w:rPr>
          <w:sz w:val="24"/>
          <w:szCs w:val="24"/>
        </w:rPr>
      </w:pPr>
      <w:r w:rsidRPr="001D325C">
        <w:rPr>
          <w:sz w:val="24"/>
          <w:szCs w:val="24"/>
        </w:rPr>
        <w:t xml:space="preserve">The primary contact for this </w:t>
      </w:r>
      <w:r w:rsidR="0034369F" w:rsidRPr="001D325C">
        <w:rPr>
          <w:sz w:val="24"/>
          <w:szCs w:val="24"/>
        </w:rPr>
        <w:t>EB-</w:t>
      </w:r>
      <w:r w:rsidR="006B0C94">
        <w:rPr>
          <w:sz w:val="24"/>
          <w:szCs w:val="24"/>
        </w:rPr>
        <w:t>202</w:t>
      </w:r>
      <w:r w:rsidR="00C67E74">
        <w:rPr>
          <w:sz w:val="24"/>
          <w:szCs w:val="24"/>
        </w:rPr>
        <w:t>2</w:t>
      </w:r>
      <w:r w:rsidR="0034369F" w:rsidRPr="001D325C">
        <w:rPr>
          <w:sz w:val="24"/>
          <w:szCs w:val="24"/>
        </w:rPr>
        <w:t>-</w:t>
      </w:r>
      <w:r w:rsidR="002609A3" w:rsidRPr="001D325C">
        <w:rPr>
          <w:sz w:val="24"/>
          <w:szCs w:val="24"/>
        </w:rPr>
        <w:t>00</w:t>
      </w:r>
      <w:r w:rsidR="00C67E74">
        <w:rPr>
          <w:sz w:val="24"/>
          <w:szCs w:val="24"/>
        </w:rPr>
        <w:t>43</w:t>
      </w:r>
      <w:r w:rsidR="002609A3" w:rsidRPr="001D325C">
        <w:rPr>
          <w:sz w:val="24"/>
          <w:szCs w:val="24"/>
        </w:rPr>
        <w:t xml:space="preserve"> </w:t>
      </w:r>
      <w:r w:rsidRPr="001D325C">
        <w:rPr>
          <w:sz w:val="24"/>
          <w:szCs w:val="24"/>
        </w:rPr>
        <w:t>Application is:</w:t>
      </w:r>
    </w:p>
    <w:p w14:paraId="77743BC0" w14:textId="77777777" w:rsidR="00350E6D" w:rsidRPr="001D325C" w:rsidRDefault="00350E6D" w:rsidP="00407A49">
      <w:pPr>
        <w:rPr>
          <w:sz w:val="24"/>
          <w:szCs w:val="24"/>
        </w:rPr>
      </w:pPr>
    </w:p>
    <w:p w14:paraId="41252FDC" w14:textId="5E88346A" w:rsidR="00350E6D" w:rsidRPr="001D325C" w:rsidRDefault="002609A3" w:rsidP="00350E6D">
      <w:pPr>
        <w:rPr>
          <w:sz w:val="24"/>
          <w:szCs w:val="24"/>
        </w:rPr>
      </w:pPr>
      <w:r w:rsidRPr="001D325C">
        <w:rPr>
          <w:sz w:val="24"/>
          <w:szCs w:val="24"/>
        </w:rPr>
        <w:t>Laura Hampton</w:t>
      </w:r>
    </w:p>
    <w:p w14:paraId="4AA9CF2E" w14:textId="770E70DB" w:rsidR="00350E6D" w:rsidRPr="001D325C" w:rsidRDefault="00257A74" w:rsidP="00350E6D">
      <w:pPr>
        <w:rPr>
          <w:sz w:val="24"/>
          <w:szCs w:val="24"/>
        </w:rPr>
      </w:pPr>
      <w:r>
        <w:rPr>
          <w:sz w:val="24"/>
          <w:szCs w:val="24"/>
        </w:rPr>
        <w:t>Manager, Regulatory Affairs</w:t>
      </w:r>
    </w:p>
    <w:p w14:paraId="6F7E03C1" w14:textId="77777777" w:rsidR="00350E6D" w:rsidRPr="00EE32E5" w:rsidRDefault="00350E6D" w:rsidP="00350E6D">
      <w:pPr>
        <w:rPr>
          <w:sz w:val="24"/>
          <w:szCs w:val="24"/>
        </w:rPr>
      </w:pPr>
      <w:r w:rsidRPr="001D325C">
        <w:rPr>
          <w:sz w:val="24"/>
          <w:szCs w:val="24"/>
        </w:rPr>
        <w:t>InnPower</w:t>
      </w:r>
      <w:r w:rsidRPr="00EE32E5">
        <w:rPr>
          <w:sz w:val="24"/>
          <w:szCs w:val="24"/>
        </w:rPr>
        <w:t xml:space="preserve"> Corporation</w:t>
      </w:r>
    </w:p>
    <w:p w14:paraId="50630078" w14:textId="77777777" w:rsidR="00683BA9" w:rsidRPr="00EE32E5" w:rsidRDefault="00350E6D" w:rsidP="00407A49">
      <w:pPr>
        <w:rPr>
          <w:sz w:val="24"/>
          <w:szCs w:val="24"/>
        </w:rPr>
      </w:pPr>
      <w:r w:rsidRPr="00EE32E5">
        <w:rPr>
          <w:sz w:val="24"/>
          <w:szCs w:val="24"/>
        </w:rPr>
        <w:t xml:space="preserve">7251 Yonge Street, </w:t>
      </w:r>
      <w:proofErr w:type="spellStart"/>
      <w:r w:rsidRPr="00EE32E5">
        <w:rPr>
          <w:sz w:val="24"/>
          <w:szCs w:val="24"/>
        </w:rPr>
        <w:t>Innisfil</w:t>
      </w:r>
      <w:proofErr w:type="spellEnd"/>
      <w:r w:rsidRPr="00EE32E5">
        <w:rPr>
          <w:sz w:val="24"/>
          <w:szCs w:val="24"/>
        </w:rPr>
        <w:t>, Ontario, L9S 0J3</w:t>
      </w:r>
    </w:p>
    <w:p w14:paraId="0115D117" w14:textId="00484353" w:rsidR="00683BA9" w:rsidRPr="00EE32E5" w:rsidRDefault="00350E6D" w:rsidP="00407A49">
      <w:pPr>
        <w:rPr>
          <w:sz w:val="24"/>
          <w:szCs w:val="24"/>
        </w:rPr>
      </w:pPr>
      <w:r w:rsidRPr="00EE32E5">
        <w:rPr>
          <w:sz w:val="24"/>
          <w:szCs w:val="24"/>
        </w:rPr>
        <w:t>Telephone: 705-431-6870 Ext. 2</w:t>
      </w:r>
      <w:r w:rsidR="002609A3" w:rsidRPr="00EE32E5">
        <w:rPr>
          <w:sz w:val="24"/>
          <w:szCs w:val="24"/>
        </w:rPr>
        <w:t>26</w:t>
      </w:r>
    </w:p>
    <w:p w14:paraId="3D031C7F" w14:textId="62576FE5" w:rsidR="00683BA9" w:rsidRPr="00EE32E5" w:rsidRDefault="006872D3" w:rsidP="00407A49">
      <w:pPr>
        <w:rPr>
          <w:sz w:val="24"/>
          <w:szCs w:val="24"/>
        </w:rPr>
      </w:pPr>
      <w:r w:rsidRPr="00EE32E5">
        <w:rPr>
          <w:sz w:val="24"/>
          <w:szCs w:val="24"/>
        </w:rPr>
        <w:t xml:space="preserve">E-mail: </w:t>
      </w:r>
      <w:hyperlink r:id="rId11" w:history="1">
        <w:r w:rsidR="00B205DA" w:rsidRPr="00EE32E5">
          <w:rPr>
            <w:rStyle w:val="Hyperlink"/>
            <w:sz w:val="24"/>
            <w:szCs w:val="24"/>
          </w:rPr>
          <w:t>laurah@innpower.ca</w:t>
        </w:r>
      </w:hyperlink>
      <w:r w:rsidR="00B205DA">
        <w:rPr>
          <w:sz w:val="24"/>
          <w:szCs w:val="24"/>
        </w:rPr>
        <w:t xml:space="preserve"> </w:t>
      </w:r>
    </w:p>
    <w:p w14:paraId="3B69165F" w14:textId="77777777" w:rsidR="006872D3" w:rsidRPr="00EE32E5" w:rsidRDefault="006872D3" w:rsidP="00407A49">
      <w:pPr>
        <w:rPr>
          <w:sz w:val="24"/>
          <w:szCs w:val="24"/>
        </w:rPr>
      </w:pPr>
    </w:p>
    <w:p w14:paraId="498BFE79" w14:textId="77777777" w:rsidR="006872D3" w:rsidRPr="001D325C" w:rsidRDefault="006872D3" w:rsidP="00407A49">
      <w:pPr>
        <w:rPr>
          <w:sz w:val="24"/>
          <w:szCs w:val="24"/>
        </w:rPr>
      </w:pPr>
      <w:r w:rsidRPr="001D325C">
        <w:rPr>
          <w:sz w:val="24"/>
          <w:szCs w:val="24"/>
        </w:rPr>
        <w:t>The secondary contact for this application is:</w:t>
      </w:r>
    </w:p>
    <w:p w14:paraId="1AAE3822" w14:textId="77777777" w:rsidR="006872D3" w:rsidRPr="001D325C" w:rsidRDefault="006872D3" w:rsidP="00407A49">
      <w:pPr>
        <w:rPr>
          <w:sz w:val="24"/>
          <w:szCs w:val="24"/>
        </w:rPr>
      </w:pPr>
    </w:p>
    <w:p w14:paraId="28AC3177" w14:textId="77777777" w:rsidR="006872D3" w:rsidRPr="001D325C" w:rsidRDefault="00327538" w:rsidP="00407A49">
      <w:pPr>
        <w:rPr>
          <w:sz w:val="24"/>
          <w:szCs w:val="24"/>
        </w:rPr>
      </w:pPr>
      <w:r w:rsidRPr="001D325C">
        <w:rPr>
          <w:sz w:val="24"/>
          <w:szCs w:val="24"/>
        </w:rPr>
        <w:t>Glen McAllister</w:t>
      </w:r>
    </w:p>
    <w:p w14:paraId="70F27626" w14:textId="4F312BA1" w:rsidR="006872D3" w:rsidRPr="00EE32E5" w:rsidRDefault="00327538" w:rsidP="00407A49">
      <w:pPr>
        <w:rPr>
          <w:sz w:val="24"/>
          <w:szCs w:val="24"/>
        </w:rPr>
      </w:pPr>
      <w:r w:rsidRPr="00EE32E5">
        <w:rPr>
          <w:sz w:val="24"/>
          <w:szCs w:val="24"/>
        </w:rPr>
        <w:t>CFO</w:t>
      </w:r>
    </w:p>
    <w:p w14:paraId="20AB7A6E" w14:textId="77777777" w:rsidR="00683BA9" w:rsidRPr="00EE32E5" w:rsidRDefault="006872D3" w:rsidP="00407A49">
      <w:pPr>
        <w:rPr>
          <w:sz w:val="24"/>
          <w:szCs w:val="24"/>
        </w:rPr>
      </w:pPr>
      <w:r w:rsidRPr="00EE32E5">
        <w:rPr>
          <w:sz w:val="24"/>
          <w:szCs w:val="24"/>
        </w:rPr>
        <w:t>InnPower Corporation</w:t>
      </w:r>
    </w:p>
    <w:p w14:paraId="6D8493B7" w14:textId="77777777" w:rsidR="006872D3" w:rsidRPr="00EE32E5" w:rsidRDefault="006872D3" w:rsidP="006872D3">
      <w:pPr>
        <w:rPr>
          <w:sz w:val="24"/>
          <w:szCs w:val="24"/>
        </w:rPr>
      </w:pPr>
      <w:r w:rsidRPr="00EE32E5">
        <w:rPr>
          <w:sz w:val="24"/>
          <w:szCs w:val="24"/>
        </w:rPr>
        <w:t xml:space="preserve">7251 Yonge Street, </w:t>
      </w:r>
      <w:proofErr w:type="spellStart"/>
      <w:r w:rsidRPr="00EE32E5">
        <w:rPr>
          <w:sz w:val="24"/>
          <w:szCs w:val="24"/>
        </w:rPr>
        <w:t>Innisfil</w:t>
      </w:r>
      <w:proofErr w:type="spellEnd"/>
      <w:r w:rsidRPr="00EE32E5">
        <w:rPr>
          <w:sz w:val="24"/>
          <w:szCs w:val="24"/>
        </w:rPr>
        <w:t>, Ontario, L9S 0J3</w:t>
      </w:r>
    </w:p>
    <w:p w14:paraId="1223D7CF" w14:textId="77777777" w:rsidR="006872D3" w:rsidRPr="00EE32E5" w:rsidRDefault="006872D3" w:rsidP="006872D3">
      <w:pPr>
        <w:rPr>
          <w:sz w:val="24"/>
          <w:szCs w:val="24"/>
        </w:rPr>
      </w:pPr>
      <w:r w:rsidRPr="00EE32E5">
        <w:rPr>
          <w:sz w:val="24"/>
          <w:szCs w:val="24"/>
        </w:rPr>
        <w:t>Telephone: 705-431-6870 Ext. 2</w:t>
      </w:r>
      <w:r w:rsidR="00327538" w:rsidRPr="00EE32E5">
        <w:rPr>
          <w:sz w:val="24"/>
          <w:szCs w:val="24"/>
        </w:rPr>
        <w:t>36</w:t>
      </w:r>
    </w:p>
    <w:p w14:paraId="041ACB49" w14:textId="77777777" w:rsidR="00327538" w:rsidRPr="00EE32E5" w:rsidRDefault="006872D3" w:rsidP="006872D3">
      <w:pPr>
        <w:rPr>
          <w:sz w:val="24"/>
          <w:szCs w:val="24"/>
        </w:rPr>
      </w:pPr>
      <w:r w:rsidRPr="00EE32E5">
        <w:rPr>
          <w:sz w:val="24"/>
          <w:szCs w:val="24"/>
        </w:rPr>
        <w:t xml:space="preserve">E-mail: </w:t>
      </w:r>
      <w:hyperlink r:id="rId12" w:history="1">
        <w:r w:rsidR="00327538" w:rsidRPr="00EE32E5">
          <w:rPr>
            <w:rStyle w:val="Hyperlink"/>
            <w:sz w:val="24"/>
            <w:szCs w:val="24"/>
          </w:rPr>
          <w:t>glenm@innpower.ca</w:t>
        </w:r>
      </w:hyperlink>
    </w:p>
    <w:p w14:paraId="12F57402" w14:textId="77777777" w:rsidR="00683BA9" w:rsidRDefault="00327538" w:rsidP="006872D3">
      <w:r>
        <w:t xml:space="preserve"> </w:t>
      </w:r>
    </w:p>
    <w:p w14:paraId="6D7024F3" w14:textId="77777777" w:rsidR="006872D3" w:rsidRDefault="006872D3" w:rsidP="006872D3"/>
    <w:p w14:paraId="4CE0FBC3" w14:textId="77777777" w:rsidR="006B0C94" w:rsidRDefault="006B0C94"/>
    <w:p w14:paraId="187FC7DE" w14:textId="77777777" w:rsidR="006B0C94" w:rsidRDefault="006B0C94"/>
    <w:p w14:paraId="471B7F29" w14:textId="77777777" w:rsidR="006B0C94" w:rsidRDefault="006B0C94"/>
    <w:p w14:paraId="30B29774" w14:textId="77777777" w:rsidR="006B0C94" w:rsidRDefault="006B0C94"/>
    <w:p w14:paraId="73831808" w14:textId="77777777" w:rsidR="00F72F29" w:rsidRDefault="00F72F29"/>
    <w:p w14:paraId="02466F46" w14:textId="043D1D16" w:rsidR="006872D3" w:rsidRDefault="006872D3">
      <w:r>
        <w:br w:type="page"/>
      </w:r>
    </w:p>
    <w:p w14:paraId="6327809B" w14:textId="77777777" w:rsidR="00407A49" w:rsidRDefault="00407A49" w:rsidP="00F72F29">
      <w:pPr>
        <w:pStyle w:val="Heading1"/>
        <w:numPr>
          <w:ilvl w:val="0"/>
          <w:numId w:val="1"/>
        </w:numPr>
      </w:pPr>
      <w:bookmarkStart w:id="3" w:name="_Toc110425257"/>
      <w:r>
        <w:lastRenderedPageBreak/>
        <w:t>Elements of the Price Cap IR</w:t>
      </w:r>
      <w:bookmarkEnd w:id="3"/>
    </w:p>
    <w:p w14:paraId="7D7DB2A4" w14:textId="77777777" w:rsidR="00407A49" w:rsidRDefault="00407A49" w:rsidP="00F72F29">
      <w:pPr>
        <w:spacing w:after="0"/>
      </w:pPr>
    </w:p>
    <w:p w14:paraId="5A3B49D8" w14:textId="77777777" w:rsidR="00407A49" w:rsidRDefault="00407A49" w:rsidP="00F72F29">
      <w:pPr>
        <w:pStyle w:val="Heading2"/>
        <w:numPr>
          <w:ilvl w:val="1"/>
          <w:numId w:val="1"/>
        </w:numPr>
      </w:pPr>
      <w:bookmarkStart w:id="4" w:name="_Toc110425258"/>
      <w:r>
        <w:t>Annual Adjustment Mechanism</w:t>
      </w:r>
      <w:bookmarkEnd w:id="4"/>
    </w:p>
    <w:p w14:paraId="2F8CBE82" w14:textId="77777777" w:rsidR="00407A49" w:rsidRDefault="00407A49" w:rsidP="00F72F29">
      <w:pPr>
        <w:spacing w:after="0"/>
      </w:pPr>
    </w:p>
    <w:p w14:paraId="45754F4D" w14:textId="1411D453" w:rsidR="00D15D33" w:rsidRDefault="00D15D33" w:rsidP="00F72F29">
      <w:pPr>
        <w:spacing w:after="0"/>
        <w:rPr>
          <w:sz w:val="24"/>
          <w:szCs w:val="24"/>
        </w:rPr>
      </w:pPr>
      <w:r w:rsidRPr="00D15D33">
        <w:rPr>
          <w:sz w:val="24"/>
          <w:szCs w:val="24"/>
        </w:rPr>
        <w:t xml:space="preserve">The rates and tariffs entered in the Rate Generator Model are taken from the </w:t>
      </w:r>
      <w:r>
        <w:rPr>
          <w:sz w:val="24"/>
          <w:szCs w:val="24"/>
        </w:rPr>
        <w:t>Board approved 20</w:t>
      </w:r>
      <w:r w:rsidR="006B0C94">
        <w:rPr>
          <w:sz w:val="24"/>
          <w:szCs w:val="24"/>
        </w:rPr>
        <w:t>2</w:t>
      </w:r>
      <w:r w:rsidR="000912C6">
        <w:rPr>
          <w:sz w:val="24"/>
          <w:szCs w:val="24"/>
        </w:rPr>
        <w:t>2</w:t>
      </w:r>
      <w:r>
        <w:rPr>
          <w:sz w:val="24"/>
          <w:szCs w:val="24"/>
        </w:rPr>
        <w:t xml:space="preserve"> Tariff of Rates and Charges, as per the Board Rate Order (EB-20</w:t>
      </w:r>
      <w:r w:rsidR="006B0C94">
        <w:rPr>
          <w:sz w:val="24"/>
          <w:szCs w:val="24"/>
        </w:rPr>
        <w:t>2</w:t>
      </w:r>
      <w:r w:rsidR="000912C6">
        <w:rPr>
          <w:sz w:val="24"/>
          <w:szCs w:val="24"/>
        </w:rPr>
        <w:t>1</w:t>
      </w:r>
      <w:r w:rsidR="00E265CC">
        <w:rPr>
          <w:sz w:val="24"/>
          <w:szCs w:val="24"/>
        </w:rPr>
        <w:t>-00</w:t>
      </w:r>
      <w:r w:rsidR="006B0C94">
        <w:rPr>
          <w:sz w:val="24"/>
          <w:szCs w:val="24"/>
        </w:rPr>
        <w:t>3</w:t>
      </w:r>
      <w:r w:rsidR="000912C6">
        <w:rPr>
          <w:sz w:val="24"/>
          <w:szCs w:val="24"/>
        </w:rPr>
        <w:t>6</w:t>
      </w:r>
      <w:r>
        <w:rPr>
          <w:sz w:val="24"/>
          <w:szCs w:val="24"/>
        </w:rPr>
        <w:t>).</w:t>
      </w:r>
    </w:p>
    <w:p w14:paraId="40702127" w14:textId="77777777" w:rsidR="00D15D33" w:rsidRDefault="00D15D33" w:rsidP="00407A49">
      <w:pPr>
        <w:rPr>
          <w:sz w:val="24"/>
          <w:szCs w:val="24"/>
        </w:rPr>
      </w:pPr>
      <w:r>
        <w:rPr>
          <w:sz w:val="24"/>
          <w:szCs w:val="24"/>
        </w:rPr>
        <w:t>IPC has the following rate classes:</w:t>
      </w:r>
    </w:p>
    <w:p w14:paraId="28B4A964" w14:textId="77777777" w:rsidR="00D15D33" w:rsidRDefault="00D15D33" w:rsidP="00D15D33">
      <w:pPr>
        <w:pStyle w:val="ListParagraph"/>
        <w:numPr>
          <w:ilvl w:val="0"/>
          <w:numId w:val="5"/>
        </w:numPr>
        <w:rPr>
          <w:sz w:val="24"/>
          <w:szCs w:val="24"/>
        </w:rPr>
      </w:pPr>
      <w:r>
        <w:rPr>
          <w:sz w:val="24"/>
          <w:szCs w:val="24"/>
        </w:rPr>
        <w:t>Residential</w:t>
      </w:r>
    </w:p>
    <w:p w14:paraId="35D31B19" w14:textId="77777777" w:rsidR="00D15D33" w:rsidRDefault="00D15D33" w:rsidP="00D15D33">
      <w:pPr>
        <w:pStyle w:val="ListParagraph"/>
        <w:numPr>
          <w:ilvl w:val="0"/>
          <w:numId w:val="5"/>
        </w:numPr>
        <w:rPr>
          <w:sz w:val="24"/>
          <w:szCs w:val="24"/>
        </w:rPr>
      </w:pPr>
      <w:r>
        <w:rPr>
          <w:sz w:val="24"/>
          <w:szCs w:val="24"/>
        </w:rPr>
        <w:t>General Service Less Than 50 kW</w:t>
      </w:r>
    </w:p>
    <w:p w14:paraId="7EC369A4" w14:textId="77777777" w:rsidR="00D15D33" w:rsidRDefault="00D15D33" w:rsidP="00D15D33">
      <w:pPr>
        <w:pStyle w:val="ListParagraph"/>
        <w:numPr>
          <w:ilvl w:val="0"/>
          <w:numId w:val="5"/>
        </w:numPr>
        <w:rPr>
          <w:sz w:val="24"/>
          <w:szCs w:val="24"/>
        </w:rPr>
      </w:pPr>
      <w:r>
        <w:rPr>
          <w:sz w:val="24"/>
          <w:szCs w:val="24"/>
        </w:rPr>
        <w:t>General Service 50 to 4,999 kW</w:t>
      </w:r>
    </w:p>
    <w:p w14:paraId="29B8B76F" w14:textId="77777777" w:rsidR="00D15D33" w:rsidRDefault="00D15D33" w:rsidP="00D15D33">
      <w:pPr>
        <w:pStyle w:val="ListParagraph"/>
        <w:numPr>
          <w:ilvl w:val="0"/>
          <w:numId w:val="5"/>
        </w:numPr>
        <w:rPr>
          <w:sz w:val="24"/>
          <w:szCs w:val="24"/>
        </w:rPr>
      </w:pPr>
      <w:r>
        <w:rPr>
          <w:sz w:val="24"/>
          <w:szCs w:val="24"/>
        </w:rPr>
        <w:t>Unmetered Scattered Load</w:t>
      </w:r>
    </w:p>
    <w:p w14:paraId="2E61E4BB" w14:textId="77777777" w:rsidR="00D15D33" w:rsidRDefault="00D15D33" w:rsidP="00D15D33">
      <w:pPr>
        <w:pStyle w:val="ListParagraph"/>
        <w:numPr>
          <w:ilvl w:val="0"/>
          <w:numId w:val="5"/>
        </w:numPr>
        <w:rPr>
          <w:sz w:val="24"/>
          <w:szCs w:val="24"/>
        </w:rPr>
      </w:pPr>
      <w:r>
        <w:rPr>
          <w:sz w:val="24"/>
          <w:szCs w:val="24"/>
        </w:rPr>
        <w:t>Street Lighting</w:t>
      </w:r>
    </w:p>
    <w:p w14:paraId="7C90B7BE" w14:textId="77777777" w:rsidR="00D15D33" w:rsidRPr="00D15D33" w:rsidRDefault="00D15D33" w:rsidP="00D15D33">
      <w:pPr>
        <w:pStyle w:val="ListParagraph"/>
        <w:numPr>
          <w:ilvl w:val="0"/>
          <w:numId w:val="5"/>
        </w:numPr>
        <w:rPr>
          <w:sz w:val="24"/>
          <w:szCs w:val="24"/>
        </w:rPr>
      </w:pPr>
      <w:r>
        <w:rPr>
          <w:sz w:val="24"/>
          <w:szCs w:val="24"/>
        </w:rPr>
        <w:t>Sentinel Lighting</w:t>
      </w:r>
    </w:p>
    <w:p w14:paraId="56E5DDBF" w14:textId="77777777" w:rsidR="00D15D33" w:rsidRDefault="00D15D33" w:rsidP="00407A49"/>
    <w:p w14:paraId="4B78CD9D" w14:textId="785B486E" w:rsidR="00D15D33" w:rsidRDefault="002E1640" w:rsidP="00407A49">
      <w:pPr>
        <w:rPr>
          <w:sz w:val="24"/>
          <w:szCs w:val="24"/>
        </w:rPr>
      </w:pPr>
      <w:r w:rsidRPr="002E1640">
        <w:rPr>
          <w:sz w:val="24"/>
          <w:szCs w:val="24"/>
        </w:rPr>
        <w:t xml:space="preserve">The price Cap Index of </w:t>
      </w:r>
      <w:r w:rsidR="000912C6">
        <w:rPr>
          <w:sz w:val="24"/>
          <w:szCs w:val="24"/>
        </w:rPr>
        <w:t>3.00</w:t>
      </w:r>
      <w:r w:rsidRPr="002E1640">
        <w:rPr>
          <w:sz w:val="24"/>
          <w:szCs w:val="24"/>
        </w:rPr>
        <w:t>%</w:t>
      </w:r>
      <w:r>
        <w:rPr>
          <w:sz w:val="24"/>
          <w:szCs w:val="24"/>
        </w:rPr>
        <w:t xml:space="preserve"> </w:t>
      </w:r>
      <w:r w:rsidRPr="002E1640">
        <w:rPr>
          <w:sz w:val="24"/>
          <w:szCs w:val="24"/>
        </w:rPr>
        <w:t xml:space="preserve">is </w:t>
      </w:r>
      <w:r w:rsidRPr="00EE32E5">
        <w:rPr>
          <w:sz w:val="24"/>
          <w:szCs w:val="24"/>
        </w:rPr>
        <w:t>calculated in the Board’s Rate Generator model based on 20</w:t>
      </w:r>
      <w:r w:rsidR="006B0C94">
        <w:rPr>
          <w:sz w:val="24"/>
          <w:szCs w:val="24"/>
        </w:rPr>
        <w:t>2</w:t>
      </w:r>
      <w:r w:rsidR="000912C6">
        <w:rPr>
          <w:sz w:val="24"/>
          <w:szCs w:val="24"/>
        </w:rPr>
        <w:t>1</w:t>
      </w:r>
      <w:r w:rsidRPr="00EE32E5">
        <w:rPr>
          <w:sz w:val="24"/>
          <w:szCs w:val="24"/>
        </w:rPr>
        <w:t xml:space="preserve"> values</w:t>
      </w:r>
      <w:r w:rsidR="001E3B7C" w:rsidRPr="00EE32E5">
        <w:rPr>
          <w:sz w:val="24"/>
          <w:szCs w:val="24"/>
        </w:rPr>
        <w:t xml:space="preserve"> and IPC’s Cohort of Group III for 20</w:t>
      </w:r>
      <w:r w:rsidR="006B0C94">
        <w:rPr>
          <w:sz w:val="24"/>
          <w:szCs w:val="24"/>
        </w:rPr>
        <w:t>2</w:t>
      </w:r>
      <w:r w:rsidR="000912C6">
        <w:rPr>
          <w:sz w:val="24"/>
          <w:szCs w:val="24"/>
        </w:rPr>
        <w:t>2</w:t>
      </w:r>
      <w:r w:rsidRPr="00EE32E5">
        <w:rPr>
          <w:sz w:val="24"/>
          <w:szCs w:val="24"/>
        </w:rPr>
        <w:t>.</w:t>
      </w:r>
    </w:p>
    <w:p w14:paraId="7474E915" w14:textId="7FE5F7C0" w:rsidR="002E1640" w:rsidRPr="002E1640" w:rsidRDefault="002E1640" w:rsidP="00407A49">
      <w:pPr>
        <w:rPr>
          <w:sz w:val="24"/>
          <w:szCs w:val="24"/>
        </w:rPr>
      </w:pPr>
      <w:r>
        <w:rPr>
          <w:sz w:val="24"/>
          <w:szCs w:val="24"/>
        </w:rPr>
        <w:t>IPC acknowledges that Board staff will update the Rate Generator model with the 20</w:t>
      </w:r>
      <w:r w:rsidR="00326A46">
        <w:rPr>
          <w:sz w:val="24"/>
          <w:szCs w:val="24"/>
        </w:rPr>
        <w:t>2</w:t>
      </w:r>
      <w:r w:rsidR="000912C6">
        <w:rPr>
          <w:sz w:val="24"/>
          <w:szCs w:val="24"/>
        </w:rPr>
        <w:t>2</w:t>
      </w:r>
      <w:r>
        <w:rPr>
          <w:sz w:val="24"/>
          <w:szCs w:val="24"/>
        </w:rPr>
        <w:t xml:space="preserve"> price cap parameters once they are available.</w:t>
      </w:r>
      <w:r w:rsidR="00CC66DD">
        <w:rPr>
          <w:sz w:val="24"/>
          <w:szCs w:val="24"/>
        </w:rPr>
        <w:t xml:space="preserve"> </w:t>
      </w:r>
    </w:p>
    <w:p w14:paraId="441EBDCB" w14:textId="77777777" w:rsidR="00D15D33" w:rsidRDefault="00D15D33" w:rsidP="00407A49"/>
    <w:p w14:paraId="6A63F5A0" w14:textId="6EBC22DB" w:rsidR="002E1640" w:rsidRDefault="002E1640" w:rsidP="00407A49">
      <w:pPr>
        <w:rPr>
          <w:b/>
          <w:sz w:val="24"/>
          <w:szCs w:val="24"/>
        </w:rPr>
      </w:pPr>
      <w:r w:rsidRPr="002E1640">
        <w:rPr>
          <w:b/>
          <w:sz w:val="24"/>
          <w:szCs w:val="24"/>
        </w:rPr>
        <w:t>20</w:t>
      </w:r>
      <w:r w:rsidR="00E265CC">
        <w:rPr>
          <w:b/>
          <w:sz w:val="24"/>
          <w:szCs w:val="24"/>
        </w:rPr>
        <w:t>2</w:t>
      </w:r>
      <w:r w:rsidR="000912C6">
        <w:rPr>
          <w:b/>
          <w:sz w:val="24"/>
          <w:szCs w:val="24"/>
        </w:rPr>
        <w:t>2</w:t>
      </w:r>
      <w:r w:rsidR="0075334C">
        <w:rPr>
          <w:b/>
          <w:sz w:val="24"/>
          <w:szCs w:val="24"/>
        </w:rPr>
        <w:t xml:space="preserve"> </w:t>
      </w:r>
      <w:r w:rsidRPr="002E1640">
        <w:rPr>
          <w:b/>
          <w:sz w:val="24"/>
          <w:szCs w:val="24"/>
        </w:rPr>
        <w:t xml:space="preserve">Price Cap Parameters </w:t>
      </w:r>
    </w:p>
    <w:p w14:paraId="42920EC4" w14:textId="21AB7E80" w:rsidR="000912C6" w:rsidRDefault="000912C6" w:rsidP="00407A49">
      <w:pPr>
        <w:rPr>
          <w:b/>
          <w:sz w:val="24"/>
          <w:szCs w:val="24"/>
        </w:rPr>
      </w:pPr>
      <w:r>
        <w:rPr>
          <w:noProof/>
        </w:rPr>
        <w:drawing>
          <wp:inline distT="0" distB="0" distL="0" distR="0" wp14:anchorId="4B20B8FC" wp14:editId="41657623">
            <wp:extent cx="5047619" cy="2247619"/>
            <wp:effectExtent l="0" t="0" r="635" b="635"/>
            <wp:docPr id="4"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medium confidence"/>
                    <pic:cNvPicPr/>
                  </pic:nvPicPr>
                  <pic:blipFill>
                    <a:blip r:embed="rId13"/>
                    <a:stretch>
                      <a:fillRect/>
                    </a:stretch>
                  </pic:blipFill>
                  <pic:spPr>
                    <a:xfrm>
                      <a:off x="0" y="0"/>
                      <a:ext cx="5047619" cy="2247619"/>
                    </a:xfrm>
                    <a:prstGeom prst="rect">
                      <a:avLst/>
                    </a:prstGeom>
                  </pic:spPr>
                </pic:pic>
              </a:graphicData>
            </a:graphic>
          </wp:inline>
        </w:drawing>
      </w:r>
    </w:p>
    <w:p w14:paraId="602D8797" w14:textId="7235C8CC" w:rsidR="00E265CC" w:rsidRDefault="00E265CC">
      <w:r>
        <w:br w:type="page"/>
      </w:r>
    </w:p>
    <w:p w14:paraId="4DB785D8" w14:textId="77777777" w:rsidR="00407A49" w:rsidRDefault="00407A49" w:rsidP="00F72F29">
      <w:pPr>
        <w:pStyle w:val="Heading2"/>
        <w:numPr>
          <w:ilvl w:val="1"/>
          <w:numId w:val="1"/>
        </w:numPr>
      </w:pPr>
      <w:bookmarkStart w:id="5" w:name="_Toc110425259"/>
      <w:r>
        <w:lastRenderedPageBreak/>
        <w:t>Revenue to Cost Ratio Adjustments</w:t>
      </w:r>
      <w:bookmarkEnd w:id="5"/>
    </w:p>
    <w:p w14:paraId="14968F15" w14:textId="77777777" w:rsidR="00407A49" w:rsidRDefault="00407A49" w:rsidP="00F72F29">
      <w:pPr>
        <w:spacing w:after="0"/>
      </w:pPr>
    </w:p>
    <w:p w14:paraId="6EFBC369" w14:textId="77777777" w:rsidR="00460DDD" w:rsidRPr="00D15D33" w:rsidRDefault="00460DDD" w:rsidP="00F72F29">
      <w:pPr>
        <w:spacing w:after="0" w:line="240" w:lineRule="auto"/>
        <w:rPr>
          <w:rFonts w:cs="Times New Roman"/>
          <w:sz w:val="24"/>
          <w:szCs w:val="24"/>
        </w:rPr>
      </w:pPr>
      <w:r w:rsidRPr="00D15D33">
        <w:rPr>
          <w:rFonts w:cs="Times New Roman"/>
          <w:sz w:val="24"/>
          <w:szCs w:val="24"/>
        </w:rPr>
        <w:t xml:space="preserve">IPC has no Cost Ratio adjustments resulting from the Boards </w:t>
      </w:r>
      <w:r w:rsidR="009D00E3">
        <w:rPr>
          <w:rFonts w:cs="Times New Roman"/>
          <w:sz w:val="24"/>
          <w:szCs w:val="24"/>
        </w:rPr>
        <w:t>D</w:t>
      </w:r>
      <w:r w:rsidRPr="00D15D33">
        <w:rPr>
          <w:rFonts w:cs="Times New Roman"/>
          <w:sz w:val="24"/>
          <w:szCs w:val="24"/>
        </w:rPr>
        <w:t xml:space="preserve">ecision EB-2016-0085, which will </w:t>
      </w:r>
      <w:r w:rsidR="001D143B" w:rsidRPr="00D15D33">
        <w:rPr>
          <w:rFonts w:cs="Times New Roman"/>
          <w:sz w:val="24"/>
          <w:szCs w:val="24"/>
        </w:rPr>
        <w:t>affect</w:t>
      </w:r>
      <w:r w:rsidRPr="00D15D33">
        <w:rPr>
          <w:rFonts w:cs="Times New Roman"/>
          <w:sz w:val="24"/>
          <w:szCs w:val="24"/>
        </w:rPr>
        <w:t xml:space="preserve"> the outcome of Tab 1</w:t>
      </w:r>
      <w:r w:rsidR="009D00E3">
        <w:rPr>
          <w:rFonts w:cs="Times New Roman"/>
          <w:sz w:val="24"/>
          <w:szCs w:val="24"/>
        </w:rPr>
        <w:t>6. Rev2Cost_GDPIPI</w:t>
      </w:r>
      <w:r w:rsidR="00E265CC">
        <w:rPr>
          <w:rFonts w:cs="Times New Roman"/>
          <w:sz w:val="24"/>
          <w:szCs w:val="24"/>
        </w:rPr>
        <w:t>,</w:t>
      </w:r>
      <w:r w:rsidR="009D00E3">
        <w:rPr>
          <w:rFonts w:cs="Times New Roman"/>
          <w:sz w:val="24"/>
          <w:szCs w:val="24"/>
        </w:rPr>
        <w:t xml:space="preserve"> </w:t>
      </w:r>
      <w:r w:rsidRPr="00D15D33">
        <w:rPr>
          <w:rFonts w:cs="Times New Roman"/>
          <w:sz w:val="24"/>
          <w:szCs w:val="24"/>
        </w:rPr>
        <w:t xml:space="preserve">in the Rate Generator model.  </w:t>
      </w:r>
    </w:p>
    <w:p w14:paraId="3674C1E8" w14:textId="71A90FA3" w:rsidR="00407A49" w:rsidRDefault="00407A49" w:rsidP="00407A49"/>
    <w:p w14:paraId="51980C29" w14:textId="1CC66C7E" w:rsidR="00992409" w:rsidRDefault="009D00E3" w:rsidP="00407A49">
      <w:pPr>
        <w:rPr>
          <w:b/>
          <w:sz w:val="24"/>
          <w:szCs w:val="24"/>
        </w:rPr>
      </w:pPr>
      <w:r w:rsidRPr="009D00E3">
        <w:rPr>
          <w:b/>
          <w:sz w:val="24"/>
          <w:szCs w:val="24"/>
        </w:rPr>
        <w:t>Revenue to Cost Ratio Adjustments</w:t>
      </w:r>
    </w:p>
    <w:p w14:paraId="033CED5A" w14:textId="3DC4A7E2" w:rsidR="00044633" w:rsidRDefault="00044633" w:rsidP="00407A49">
      <w:pPr>
        <w:rPr>
          <w:b/>
          <w:sz w:val="24"/>
          <w:szCs w:val="24"/>
        </w:rPr>
      </w:pPr>
      <w:r>
        <w:rPr>
          <w:noProof/>
        </w:rPr>
        <w:drawing>
          <wp:inline distT="0" distB="0" distL="0" distR="0" wp14:anchorId="3C69565A" wp14:editId="5BA5A359">
            <wp:extent cx="5943600" cy="1097915"/>
            <wp:effectExtent l="0" t="0" r="0" b="6985"/>
            <wp:docPr id="5" name="Picture 5"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able&#10;&#10;Description automatically generated"/>
                    <pic:cNvPicPr/>
                  </pic:nvPicPr>
                  <pic:blipFill>
                    <a:blip r:embed="rId14"/>
                    <a:stretch>
                      <a:fillRect/>
                    </a:stretch>
                  </pic:blipFill>
                  <pic:spPr>
                    <a:xfrm>
                      <a:off x="0" y="0"/>
                      <a:ext cx="5943600" cy="1097915"/>
                    </a:xfrm>
                    <a:prstGeom prst="rect">
                      <a:avLst/>
                    </a:prstGeom>
                  </pic:spPr>
                </pic:pic>
              </a:graphicData>
            </a:graphic>
          </wp:inline>
        </w:drawing>
      </w:r>
    </w:p>
    <w:p w14:paraId="53F80D42" w14:textId="77777777" w:rsidR="009D00E3" w:rsidRDefault="009D00E3" w:rsidP="00407A49"/>
    <w:p w14:paraId="6E2183B3" w14:textId="77777777" w:rsidR="00407A49" w:rsidRDefault="00407A49" w:rsidP="00F72F29">
      <w:pPr>
        <w:pStyle w:val="Heading2"/>
        <w:numPr>
          <w:ilvl w:val="1"/>
          <w:numId w:val="1"/>
        </w:numPr>
      </w:pPr>
      <w:bookmarkStart w:id="6" w:name="_Toc110425260"/>
      <w:r>
        <w:t>Rate Design for Residential Electricity Customers</w:t>
      </w:r>
      <w:bookmarkEnd w:id="6"/>
    </w:p>
    <w:p w14:paraId="16C66B5B" w14:textId="77777777" w:rsidR="00407A49" w:rsidRDefault="00407A49" w:rsidP="00F72F29">
      <w:pPr>
        <w:spacing w:after="0"/>
      </w:pPr>
    </w:p>
    <w:p w14:paraId="55114950" w14:textId="77777777" w:rsidR="00F4124F" w:rsidRDefault="00F4124F" w:rsidP="00F72F29">
      <w:pPr>
        <w:spacing w:after="0" w:line="240" w:lineRule="auto"/>
        <w:rPr>
          <w:rFonts w:cs="Times New Roman"/>
          <w:sz w:val="24"/>
          <w:szCs w:val="24"/>
        </w:rPr>
      </w:pPr>
      <w:r w:rsidRPr="00F4124F">
        <w:rPr>
          <w:rFonts w:cs="Times New Roman"/>
          <w:sz w:val="24"/>
          <w:szCs w:val="24"/>
        </w:rPr>
        <w:t>The OEB released Board Policy, EB-2014-0210, A New Rate Design for Residential Electricity Customers. The report required that electricity distributor’s transition to a fully fixed monthly distribution service charge for residential customers over a four</w:t>
      </w:r>
      <w:r>
        <w:rPr>
          <w:rFonts w:cs="Times New Roman"/>
          <w:sz w:val="24"/>
          <w:szCs w:val="24"/>
        </w:rPr>
        <w:t>-</w:t>
      </w:r>
      <w:r w:rsidRPr="00F4124F">
        <w:rPr>
          <w:rFonts w:cs="Times New Roman"/>
          <w:sz w:val="24"/>
          <w:szCs w:val="24"/>
        </w:rPr>
        <w:t xml:space="preserve">year period commencing in 2016. </w:t>
      </w:r>
    </w:p>
    <w:p w14:paraId="1336784D" w14:textId="77777777" w:rsidR="001E3B7C" w:rsidRDefault="001E3B7C" w:rsidP="00F4124F">
      <w:pPr>
        <w:spacing w:after="0" w:line="240" w:lineRule="auto"/>
        <w:rPr>
          <w:rFonts w:cs="Times New Roman"/>
          <w:sz w:val="24"/>
          <w:szCs w:val="24"/>
        </w:rPr>
      </w:pPr>
    </w:p>
    <w:p w14:paraId="2BB1ED94" w14:textId="26C4471A" w:rsidR="001E3B7C" w:rsidRDefault="001E3B7C" w:rsidP="00F4124F">
      <w:pPr>
        <w:spacing w:after="0" w:line="240" w:lineRule="auto"/>
        <w:rPr>
          <w:rFonts w:cs="Times New Roman"/>
          <w:sz w:val="24"/>
          <w:szCs w:val="24"/>
        </w:rPr>
      </w:pPr>
      <w:r>
        <w:rPr>
          <w:rFonts w:cs="Times New Roman"/>
          <w:sz w:val="24"/>
          <w:szCs w:val="24"/>
        </w:rPr>
        <w:t xml:space="preserve">IPC commenced the transition to a fully fixed month distribution charge effective January 1, </w:t>
      </w:r>
      <w:proofErr w:type="gramStart"/>
      <w:r>
        <w:rPr>
          <w:rFonts w:cs="Times New Roman"/>
          <w:sz w:val="24"/>
          <w:szCs w:val="24"/>
        </w:rPr>
        <w:t>2016</w:t>
      </w:r>
      <w:proofErr w:type="gramEnd"/>
      <w:r>
        <w:rPr>
          <w:rFonts w:cs="Times New Roman"/>
          <w:sz w:val="24"/>
          <w:szCs w:val="24"/>
        </w:rPr>
        <w:t xml:space="preserve"> with EB-2015-0081. IPC’s 2016 </w:t>
      </w:r>
      <w:r w:rsidR="00534252">
        <w:rPr>
          <w:rFonts w:cs="Times New Roman"/>
          <w:sz w:val="24"/>
          <w:szCs w:val="24"/>
        </w:rPr>
        <w:t xml:space="preserve">rates </w:t>
      </w:r>
      <w:r>
        <w:rPr>
          <w:rFonts w:cs="Times New Roman"/>
          <w:sz w:val="24"/>
          <w:szCs w:val="24"/>
        </w:rPr>
        <w:t xml:space="preserve">were made interim in 2017 until a Decision was issued on IPC’s COS application </w:t>
      </w:r>
      <w:r w:rsidR="001D143B">
        <w:rPr>
          <w:rFonts w:cs="Times New Roman"/>
          <w:sz w:val="24"/>
          <w:szCs w:val="24"/>
        </w:rPr>
        <w:t>EB-2016-0085</w:t>
      </w:r>
      <w:r w:rsidR="005A66AE">
        <w:rPr>
          <w:rFonts w:cs="Times New Roman"/>
          <w:sz w:val="24"/>
          <w:szCs w:val="24"/>
        </w:rPr>
        <w:t xml:space="preserve"> and no IRM was submitted for 2018. IPC enter</w:t>
      </w:r>
      <w:r w:rsidR="00CC0DF1">
        <w:rPr>
          <w:rFonts w:cs="Times New Roman"/>
          <w:sz w:val="24"/>
          <w:szCs w:val="24"/>
        </w:rPr>
        <w:t>ed</w:t>
      </w:r>
      <w:r w:rsidR="005A66AE">
        <w:rPr>
          <w:rFonts w:cs="Times New Roman"/>
          <w:sz w:val="24"/>
          <w:szCs w:val="24"/>
        </w:rPr>
        <w:t xml:space="preserve"> its </w:t>
      </w:r>
      <w:r w:rsidR="00E265CC">
        <w:rPr>
          <w:rFonts w:cs="Times New Roman"/>
          <w:sz w:val="24"/>
          <w:szCs w:val="24"/>
        </w:rPr>
        <w:t>4th</w:t>
      </w:r>
      <w:r w:rsidR="005A66AE">
        <w:rPr>
          <w:rFonts w:cs="Times New Roman"/>
          <w:sz w:val="24"/>
          <w:szCs w:val="24"/>
        </w:rPr>
        <w:t xml:space="preserve"> </w:t>
      </w:r>
      <w:r w:rsidR="00C876CA">
        <w:rPr>
          <w:rFonts w:cs="Times New Roman"/>
          <w:sz w:val="24"/>
          <w:szCs w:val="24"/>
        </w:rPr>
        <w:t xml:space="preserve">and final </w:t>
      </w:r>
      <w:r w:rsidR="005A66AE">
        <w:rPr>
          <w:rFonts w:cs="Times New Roman"/>
          <w:sz w:val="24"/>
          <w:szCs w:val="24"/>
        </w:rPr>
        <w:t>year of transition for the Rate Design for Residential Electricity Customers</w:t>
      </w:r>
      <w:r w:rsidR="00CC0DF1">
        <w:rPr>
          <w:rFonts w:cs="Times New Roman"/>
          <w:sz w:val="24"/>
          <w:szCs w:val="24"/>
        </w:rPr>
        <w:t xml:space="preserve"> with IRM EB-2019-0047</w:t>
      </w:r>
      <w:r w:rsidR="00C876CA">
        <w:rPr>
          <w:rFonts w:cs="Times New Roman"/>
          <w:sz w:val="24"/>
          <w:szCs w:val="24"/>
        </w:rPr>
        <w:t xml:space="preserve"> rates effective January 1, 2020.</w:t>
      </w:r>
      <w:r w:rsidR="005A66AE">
        <w:rPr>
          <w:rFonts w:cs="Times New Roman"/>
          <w:sz w:val="24"/>
          <w:szCs w:val="24"/>
        </w:rPr>
        <w:t xml:space="preserve"> </w:t>
      </w:r>
    </w:p>
    <w:p w14:paraId="63F404CE" w14:textId="77777777" w:rsidR="00F4124F" w:rsidRPr="00F4124F" w:rsidRDefault="00F4124F" w:rsidP="00F4124F">
      <w:pPr>
        <w:spacing w:after="0" w:line="240" w:lineRule="auto"/>
        <w:rPr>
          <w:rFonts w:cs="Times New Roman"/>
          <w:sz w:val="24"/>
          <w:szCs w:val="24"/>
        </w:rPr>
      </w:pPr>
    </w:p>
    <w:p w14:paraId="3A7E2491" w14:textId="68953BC7" w:rsidR="00B0308F" w:rsidRDefault="00E14453" w:rsidP="00F4124F">
      <w:pPr>
        <w:spacing w:after="0" w:line="240" w:lineRule="auto"/>
        <w:rPr>
          <w:rFonts w:cs="Times New Roman"/>
          <w:sz w:val="24"/>
          <w:szCs w:val="24"/>
        </w:rPr>
      </w:pPr>
      <w:r>
        <w:rPr>
          <w:rFonts w:cs="Times New Roman"/>
          <w:sz w:val="24"/>
          <w:szCs w:val="24"/>
        </w:rPr>
        <w:tab/>
      </w:r>
    </w:p>
    <w:p w14:paraId="4604BD09" w14:textId="036249A5" w:rsidR="00B0308F" w:rsidRDefault="00B0308F" w:rsidP="00F4124F">
      <w:pPr>
        <w:spacing w:after="0" w:line="240" w:lineRule="auto"/>
        <w:rPr>
          <w:rFonts w:cs="Times New Roman"/>
          <w:sz w:val="24"/>
          <w:szCs w:val="24"/>
        </w:rPr>
      </w:pPr>
    </w:p>
    <w:p w14:paraId="6CAFFDA7" w14:textId="13C9E42B" w:rsidR="00B0308F" w:rsidRDefault="00B0308F" w:rsidP="00F4124F">
      <w:pPr>
        <w:spacing w:after="0" w:line="240" w:lineRule="auto"/>
        <w:rPr>
          <w:rFonts w:cs="Times New Roman"/>
          <w:sz w:val="24"/>
          <w:szCs w:val="24"/>
        </w:rPr>
      </w:pPr>
    </w:p>
    <w:p w14:paraId="4342F6D9" w14:textId="5B892F90" w:rsidR="00B0308F" w:rsidRDefault="00B0308F" w:rsidP="00F4124F">
      <w:pPr>
        <w:spacing w:after="0" w:line="240" w:lineRule="auto"/>
        <w:rPr>
          <w:rFonts w:cs="Times New Roman"/>
          <w:sz w:val="24"/>
          <w:szCs w:val="24"/>
        </w:rPr>
      </w:pPr>
    </w:p>
    <w:p w14:paraId="38F29622" w14:textId="07924A58" w:rsidR="00B0308F" w:rsidRDefault="00B0308F" w:rsidP="00F4124F">
      <w:pPr>
        <w:spacing w:after="0" w:line="240" w:lineRule="auto"/>
        <w:rPr>
          <w:rFonts w:cs="Times New Roman"/>
          <w:sz w:val="24"/>
          <w:szCs w:val="24"/>
        </w:rPr>
      </w:pPr>
    </w:p>
    <w:p w14:paraId="123AC872" w14:textId="610FFB1F" w:rsidR="00B0308F" w:rsidRDefault="00B0308F" w:rsidP="00F4124F">
      <w:pPr>
        <w:spacing w:after="0" w:line="240" w:lineRule="auto"/>
        <w:rPr>
          <w:rFonts w:cs="Times New Roman"/>
          <w:sz w:val="24"/>
          <w:szCs w:val="24"/>
        </w:rPr>
      </w:pPr>
    </w:p>
    <w:p w14:paraId="44412189" w14:textId="1DD7E3E3" w:rsidR="00B0308F" w:rsidRDefault="00B0308F" w:rsidP="00F4124F">
      <w:pPr>
        <w:spacing w:after="0" w:line="240" w:lineRule="auto"/>
        <w:rPr>
          <w:rFonts w:cs="Times New Roman"/>
          <w:sz w:val="24"/>
          <w:szCs w:val="24"/>
        </w:rPr>
      </w:pPr>
    </w:p>
    <w:p w14:paraId="7E4E32C2" w14:textId="2D1758CE" w:rsidR="001A07FB" w:rsidRDefault="001A07FB" w:rsidP="00F4124F">
      <w:pPr>
        <w:spacing w:after="0" w:line="240" w:lineRule="auto"/>
        <w:rPr>
          <w:rFonts w:cs="Times New Roman"/>
          <w:sz w:val="24"/>
          <w:szCs w:val="24"/>
        </w:rPr>
      </w:pPr>
    </w:p>
    <w:p w14:paraId="73B6AC2D" w14:textId="30B767B9" w:rsidR="001A07FB" w:rsidRDefault="001A07FB" w:rsidP="00F4124F">
      <w:pPr>
        <w:spacing w:after="0" w:line="240" w:lineRule="auto"/>
        <w:rPr>
          <w:rFonts w:cs="Times New Roman"/>
          <w:sz w:val="24"/>
          <w:szCs w:val="24"/>
        </w:rPr>
      </w:pPr>
    </w:p>
    <w:p w14:paraId="46E94D5B" w14:textId="4701BAB2" w:rsidR="001A07FB" w:rsidRDefault="001A07FB" w:rsidP="00F4124F">
      <w:pPr>
        <w:spacing w:after="0" w:line="240" w:lineRule="auto"/>
        <w:rPr>
          <w:rFonts w:cs="Times New Roman"/>
          <w:sz w:val="24"/>
          <w:szCs w:val="24"/>
        </w:rPr>
      </w:pPr>
    </w:p>
    <w:p w14:paraId="5F0C4E7D" w14:textId="77777777" w:rsidR="001567BA" w:rsidRPr="00F4124F" w:rsidRDefault="001567BA" w:rsidP="00F4124F">
      <w:pPr>
        <w:spacing w:after="0" w:line="240" w:lineRule="auto"/>
        <w:rPr>
          <w:rFonts w:cs="Times New Roman"/>
          <w:sz w:val="24"/>
          <w:szCs w:val="24"/>
        </w:rPr>
      </w:pPr>
    </w:p>
    <w:p w14:paraId="633633E7" w14:textId="4B017CD7" w:rsidR="00407A49" w:rsidRDefault="009C16B7" w:rsidP="00407A49">
      <w:pPr>
        <w:pStyle w:val="Heading2"/>
        <w:numPr>
          <w:ilvl w:val="1"/>
          <w:numId w:val="1"/>
        </w:numPr>
      </w:pPr>
      <w:r>
        <w:br w:type="page"/>
      </w:r>
      <w:bookmarkStart w:id="7" w:name="_Toc110425261"/>
      <w:r w:rsidR="00407A49">
        <w:lastRenderedPageBreak/>
        <w:t>Retail Transmission Service Rates</w:t>
      </w:r>
      <w:bookmarkEnd w:id="7"/>
    </w:p>
    <w:p w14:paraId="3172226D" w14:textId="77777777" w:rsidR="00407A49" w:rsidRDefault="00407A49" w:rsidP="005D5342">
      <w:pPr>
        <w:spacing w:after="0"/>
      </w:pPr>
    </w:p>
    <w:p w14:paraId="029F6C98" w14:textId="1002B4B2" w:rsidR="008A18F8" w:rsidRDefault="008A18F8" w:rsidP="005D5342">
      <w:pPr>
        <w:spacing w:after="0" w:line="240" w:lineRule="auto"/>
        <w:jc w:val="both"/>
        <w:rPr>
          <w:rFonts w:cs="Times New Roman"/>
          <w:sz w:val="24"/>
          <w:szCs w:val="24"/>
        </w:rPr>
      </w:pPr>
      <w:r w:rsidRPr="008A18F8">
        <w:rPr>
          <w:rFonts w:cs="Times New Roman"/>
          <w:sz w:val="24"/>
          <w:szCs w:val="24"/>
        </w:rPr>
        <w:t>IPC has calculated the adjustment to the current retail transmission service rates</w:t>
      </w:r>
      <w:r>
        <w:rPr>
          <w:rFonts w:cs="Times New Roman"/>
          <w:sz w:val="24"/>
          <w:szCs w:val="24"/>
        </w:rPr>
        <w:t xml:space="preserve"> (RTSR) </w:t>
      </w:r>
      <w:r w:rsidRPr="008A18F8">
        <w:rPr>
          <w:rFonts w:cs="Times New Roman"/>
          <w:sz w:val="24"/>
          <w:szCs w:val="24"/>
        </w:rPr>
        <w:t xml:space="preserve">within the Rate Generator model. </w:t>
      </w:r>
      <w:r>
        <w:rPr>
          <w:rFonts w:cs="Times New Roman"/>
          <w:sz w:val="24"/>
          <w:szCs w:val="24"/>
        </w:rPr>
        <w:t xml:space="preserve"> </w:t>
      </w:r>
      <w:r w:rsidR="0072541E">
        <w:rPr>
          <w:rFonts w:cs="Times New Roman"/>
          <w:sz w:val="24"/>
          <w:szCs w:val="24"/>
        </w:rPr>
        <w:t>202</w:t>
      </w:r>
      <w:r w:rsidR="001567BA">
        <w:rPr>
          <w:rFonts w:cs="Times New Roman"/>
          <w:sz w:val="24"/>
          <w:szCs w:val="24"/>
        </w:rPr>
        <w:t>2</w:t>
      </w:r>
      <w:r w:rsidR="00E5237B">
        <w:rPr>
          <w:rFonts w:cs="Times New Roman"/>
          <w:sz w:val="24"/>
          <w:szCs w:val="24"/>
        </w:rPr>
        <w:t xml:space="preserve"> </w:t>
      </w:r>
      <w:r>
        <w:rPr>
          <w:rFonts w:cs="Times New Roman"/>
          <w:sz w:val="24"/>
          <w:szCs w:val="24"/>
        </w:rPr>
        <w:t>RTR rates have been utilized to calculate 20</w:t>
      </w:r>
      <w:r w:rsidR="009C16B7">
        <w:rPr>
          <w:rFonts w:cs="Times New Roman"/>
          <w:sz w:val="24"/>
          <w:szCs w:val="24"/>
        </w:rPr>
        <w:t>2</w:t>
      </w:r>
      <w:r w:rsidR="001567BA">
        <w:rPr>
          <w:rFonts w:cs="Times New Roman"/>
          <w:sz w:val="24"/>
          <w:szCs w:val="24"/>
        </w:rPr>
        <w:t>3</w:t>
      </w:r>
      <w:r>
        <w:rPr>
          <w:rFonts w:cs="Times New Roman"/>
          <w:sz w:val="24"/>
          <w:szCs w:val="24"/>
        </w:rPr>
        <w:t xml:space="preserve"> RTSR </w:t>
      </w:r>
      <w:r w:rsidR="00602D47">
        <w:rPr>
          <w:rFonts w:cs="Times New Roman"/>
          <w:sz w:val="24"/>
          <w:szCs w:val="24"/>
        </w:rPr>
        <w:t>rates.</w:t>
      </w:r>
      <w:r>
        <w:rPr>
          <w:rFonts w:cs="Times New Roman"/>
          <w:sz w:val="24"/>
          <w:szCs w:val="24"/>
        </w:rPr>
        <w:t xml:space="preserve"> </w:t>
      </w:r>
      <w:r w:rsidRPr="008A18F8">
        <w:rPr>
          <w:rFonts w:cs="Times New Roman"/>
          <w:sz w:val="24"/>
          <w:szCs w:val="24"/>
        </w:rPr>
        <w:t xml:space="preserve">IPC acknowledges that once any January 1, </w:t>
      </w:r>
      <w:proofErr w:type="gramStart"/>
      <w:r w:rsidRPr="008A18F8">
        <w:rPr>
          <w:rFonts w:cs="Times New Roman"/>
          <w:sz w:val="24"/>
          <w:szCs w:val="24"/>
        </w:rPr>
        <w:t>20</w:t>
      </w:r>
      <w:r w:rsidR="009C16B7">
        <w:rPr>
          <w:rFonts w:cs="Times New Roman"/>
          <w:sz w:val="24"/>
          <w:szCs w:val="24"/>
        </w:rPr>
        <w:t>2</w:t>
      </w:r>
      <w:r w:rsidR="001567BA">
        <w:rPr>
          <w:rFonts w:cs="Times New Roman"/>
          <w:sz w:val="24"/>
          <w:szCs w:val="24"/>
        </w:rPr>
        <w:t>3</w:t>
      </w:r>
      <w:proofErr w:type="gramEnd"/>
      <w:r>
        <w:rPr>
          <w:rFonts w:cs="Times New Roman"/>
          <w:sz w:val="24"/>
          <w:szCs w:val="24"/>
        </w:rPr>
        <w:t xml:space="preserve"> </w:t>
      </w:r>
      <w:r w:rsidRPr="008A18F8">
        <w:rPr>
          <w:rFonts w:cs="Times New Roman"/>
          <w:sz w:val="24"/>
          <w:szCs w:val="24"/>
        </w:rPr>
        <w:t xml:space="preserve">UTR adjustments have been determined that Board staff will adjust the Rate Generator to incorporate the change. </w:t>
      </w:r>
    </w:p>
    <w:p w14:paraId="3915B127" w14:textId="73D8CFFE" w:rsidR="00602D47" w:rsidRDefault="00364AAC" w:rsidP="008A18F8">
      <w:pPr>
        <w:spacing w:after="0" w:line="240" w:lineRule="auto"/>
        <w:jc w:val="both"/>
        <w:rPr>
          <w:rFonts w:cs="Times New Roman"/>
          <w:sz w:val="24"/>
          <w:szCs w:val="24"/>
        </w:rPr>
      </w:pPr>
      <w:r>
        <w:rPr>
          <w:rFonts w:cs="Times New Roman"/>
          <w:sz w:val="24"/>
          <w:szCs w:val="24"/>
        </w:rPr>
        <w:tab/>
      </w:r>
      <w:r>
        <w:rPr>
          <w:rFonts w:cs="Times New Roman"/>
          <w:sz w:val="24"/>
          <w:szCs w:val="24"/>
        </w:rPr>
        <w:tab/>
      </w:r>
    </w:p>
    <w:p w14:paraId="06033907" w14:textId="4F67BA2A" w:rsidR="00981475" w:rsidRPr="00EE32E5" w:rsidRDefault="0070109D" w:rsidP="00675380">
      <w:pPr>
        <w:spacing w:after="0" w:line="276" w:lineRule="auto"/>
        <w:rPr>
          <w:sz w:val="24"/>
          <w:szCs w:val="24"/>
        </w:rPr>
      </w:pPr>
      <w:r w:rsidRPr="00EE32E5">
        <w:rPr>
          <w:sz w:val="24"/>
          <w:szCs w:val="24"/>
        </w:rPr>
        <w:t>The</w:t>
      </w:r>
      <w:r w:rsidR="00A22A22">
        <w:rPr>
          <w:sz w:val="24"/>
          <w:szCs w:val="24"/>
        </w:rPr>
        <w:t xml:space="preserve"> proposed RTSR Network and Connection and/or Line and Transformation Connection</w:t>
      </w:r>
      <w:r w:rsidR="00A11A75">
        <w:rPr>
          <w:sz w:val="24"/>
          <w:szCs w:val="24"/>
        </w:rPr>
        <w:t xml:space="preserve"> rates </w:t>
      </w:r>
      <w:r w:rsidR="000618DC">
        <w:rPr>
          <w:sz w:val="24"/>
          <w:szCs w:val="24"/>
        </w:rPr>
        <w:t>have</w:t>
      </w:r>
      <w:r w:rsidR="002B3162">
        <w:rPr>
          <w:sz w:val="24"/>
          <w:szCs w:val="24"/>
        </w:rPr>
        <w:t xml:space="preserve"> increased</w:t>
      </w:r>
      <w:r w:rsidR="00A22A22">
        <w:rPr>
          <w:sz w:val="24"/>
          <w:szCs w:val="24"/>
        </w:rPr>
        <w:t xml:space="preserve"> by </w:t>
      </w:r>
      <w:r w:rsidR="003063BE" w:rsidRPr="00E37CC6">
        <w:rPr>
          <w:sz w:val="24"/>
          <w:szCs w:val="24"/>
        </w:rPr>
        <w:t>10.87</w:t>
      </w:r>
      <w:r w:rsidR="002B3162" w:rsidRPr="00E37CC6">
        <w:rPr>
          <w:sz w:val="24"/>
          <w:szCs w:val="24"/>
        </w:rPr>
        <w:t xml:space="preserve">% to </w:t>
      </w:r>
      <w:r w:rsidR="001567BA" w:rsidRPr="00E37CC6">
        <w:rPr>
          <w:sz w:val="24"/>
          <w:szCs w:val="24"/>
        </w:rPr>
        <w:t>31.75</w:t>
      </w:r>
      <w:r w:rsidR="00453B74" w:rsidRPr="00E37CC6">
        <w:rPr>
          <w:sz w:val="24"/>
          <w:szCs w:val="24"/>
        </w:rPr>
        <w:t>%</w:t>
      </w:r>
      <w:r w:rsidR="00A22A22" w:rsidRPr="00E37CC6">
        <w:rPr>
          <w:sz w:val="24"/>
          <w:szCs w:val="24"/>
        </w:rPr>
        <w:t xml:space="preserve"> from the current OEB approved rates.  </w:t>
      </w:r>
      <w:r w:rsidR="002B3162" w:rsidRPr="00E37CC6">
        <w:rPr>
          <w:sz w:val="24"/>
          <w:szCs w:val="24"/>
        </w:rPr>
        <w:t>IPC’s cost of power in 202</w:t>
      </w:r>
      <w:r w:rsidR="00E37CC6" w:rsidRPr="00E37CC6">
        <w:rPr>
          <w:sz w:val="24"/>
          <w:szCs w:val="24"/>
        </w:rPr>
        <w:t>1</w:t>
      </w:r>
      <w:r w:rsidR="002B3162" w:rsidRPr="00E37CC6">
        <w:rPr>
          <w:sz w:val="24"/>
          <w:szCs w:val="24"/>
        </w:rPr>
        <w:t xml:space="preserve"> </w:t>
      </w:r>
      <w:r w:rsidRPr="00E37CC6">
        <w:rPr>
          <w:sz w:val="24"/>
          <w:szCs w:val="24"/>
        </w:rPr>
        <w:t>increased due to</w:t>
      </w:r>
      <w:r w:rsidR="002B3162" w:rsidRPr="00E37CC6">
        <w:rPr>
          <w:sz w:val="24"/>
          <w:szCs w:val="24"/>
        </w:rPr>
        <w:t xml:space="preserve"> a higher volume of consumption</w:t>
      </w:r>
      <w:r w:rsidR="00E14453" w:rsidRPr="00E37CC6">
        <w:rPr>
          <w:sz w:val="24"/>
          <w:szCs w:val="24"/>
        </w:rPr>
        <w:t xml:space="preserve"> than the prior year, as well as </w:t>
      </w:r>
      <w:r w:rsidR="00364AAC" w:rsidRPr="00E37CC6">
        <w:rPr>
          <w:sz w:val="24"/>
          <w:szCs w:val="24"/>
        </w:rPr>
        <w:t>double peak billing from Hydro One.</w:t>
      </w:r>
    </w:p>
    <w:p w14:paraId="1835E3BA" w14:textId="77777777" w:rsidR="00407A49" w:rsidRDefault="00407A49" w:rsidP="00675380">
      <w:pPr>
        <w:spacing w:after="0" w:line="276" w:lineRule="auto"/>
      </w:pPr>
    </w:p>
    <w:p w14:paraId="5B92C503" w14:textId="4CF4455E" w:rsidR="001567BA" w:rsidRDefault="008A18F8" w:rsidP="00675380">
      <w:pPr>
        <w:spacing w:after="0"/>
        <w:rPr>
          <w:b/>
          <w:sz w:val="24"/>
          <w:szCs w:val="24"/>
        </w:rPr>
      </w:pPr>
      <w:r w:rsidRPr="00EE32E5">
        <w:rPr>
          <w:b/>
          <w:sz w:val="24"/>
          <w:szCs w:val="24"/>
        </w:rPr>
        <w:t>Proposed 20</w:t>
      </w:r>
      <w:r w:rsidR="00E5237B" w:rsidRPr="00EE32E5">
        <w:rPr>
          <w:b/>
          <w:sz w:val="24"/>
          <w:szCs w:val="24"/>
        </w:rPr>
        <w:t>2</w:t>
      </w:r>
      <w:r w:rsidR="001567BA">
        <w:rPr>
          <w:b/>
          <w:sz w:val="24"/>
          <w:szCs w:val="24"/>
        </w:rPr>
        <w:t>3</w:t>
      </w:r>
      <w:r w:rsidRPr="00EE32E5">
        <w:rPr>
          <w:b/>
          <w:sz w:val="24"/>
          <w:szCs w:val="24"/>
        </w:rPr>
        <w:t xml:space="preserve"> RTSR</w:t>
      </w:r>
    </w:p>
    <w:p w14:paraId="03DA8B03" w14:textId="05592D87" w:rsidR="001567BA" w:rsidRPr="008A18F8" w:rsidRDefault="001567BA" w:rsidP="00675380">
      <w:pPr>
        <w:spacing w:after="0"/>
        <w:rPr>
          <w:b/>
          <w:sz w:val="24"/>
          <w:szCs w:val="24"/>
        </w:rPr>
      </w:pPr>
      <w:r>
        <w:rPr>
          <w:noProof/>
        </w:rPr>
        <w:drawing>
          <wp:inline distT="0" distB="0" distL="0" distR="0" wp14:anchorId="493455E8" wp14:editId="63E70066">
            <wp:extent cx="5943600" cy="1574800"/>
            <wp:effectExtent l="0" t="0" r="0" b="6350"/>
            <wp:docPr id="16" name="Picture 16"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able&#10;&#10;Description automatically generated"/>
                    <pic:cNvPicPr/>
                  </pic:nvPicPr>
                  <pic:blipFill>
                    <a:blip r:embed="rId15"/>
                    <a:stretch>
                      <a:fillRect/>
                    </a:stretch>
                  </pic:blipFill>
                  <pic:spPr>
                    <a:xfrm>
                      <a:off x="0" y="0"/>
                      <a:ext cx="5943600" cy="1574800"/>
                    </a:xfrm>
                    <a:prstGeom prst="rect">
                      <a:avLst/>
                    </a:prstGeom>
                  </pic:spPr>
                </pic:pic>
              </a:graphicData>
            </a:graphic>
          </wp:inline>
        </w:drawing>
      </w:r>
    </w:p>
    <w:p w14:paraId="2DF252FA" w14:textId="5A285058" w:rsidR="0072541E" w:rsidRDefault="0072541E" w:rsidP="00675380">
      <w:pPr>
        <w:spacing w:after="0"/>
        <w:rPr>
          <w:noProof/>
          <w:lang w:val="en-CA" w:eastAsia="en-CA"/>
        </w:rPr>
      </w:pPr>
    </w:p>
    <w:p w14:paraId="3BC5774F" w14:textId="77777777" w:rsidR="0072541E" w:rsidRDefault="0072541E" w:rsidP="00675380">
      <w:pPr>
        <w:spacing w:after="0"/>
        <w:rPr>
          <w:noProof/>
          <w:lang w:val="en-CA" w:eastAsia="en-CA"/>
        </w:rPr>
      </w:pPr>
    </w:p>
    <w:p w14:paraId="1E2F94D0" w14:textId="77777777" w:rsidR="0072541E" w:rsidRDefault="0072541E" w:rsidP="00675380">
      <w:pPr>
        <w:spacing w:after="0"/>
        <w:rPr>
          <w:noProof/>
          <w:lang w:val="en-CA" w:eastAsia="en-CA"/>
        </w:rPr>
      </w:pPr>
    </w:p>
    <w:p w14:paraId="577B166D" w14:textId="77777777" w:rsidR="0072541E" w:rsidRDefault="0072541E" w:rsidP="00675380">
      <w:pPr>
        <w:spacing w:after="0"/>
        <w:rPr>
          <w:noProof/>
          <w:lang w:val="en-CA" w:eastAsia="en-CA"/>
        </w:rPr>
      </w:pPr>
    </w:p>
    <w:p w14:paraId="09FB3BF2" w14:textId="77777777" w:rsidR="0072541E" w:rsidRDefault="0072541E" w:rsidP="00675380">
      <w:pPr>
        <w:spacing w:after="0"/>
        <w:rPr>
          <w:noProof/>
          <w:lang w:val="en-CA" w:eastAsia="en-CA"/>
        </w:rPr>
      </w:pPr>
    </w:p>
    <w:p w14:paraId="61704F3D" w14:textId="77777777" w:rsidR="0072541E" w:rsidRDefault="0072541E" w:rsidP="00675380">
      <w:pPr>
        <w:spacing w:after="0"/>
        <w:rPr>
          <w:noProof/>
          <w:lang w:val="en-CA" w:eastAsia="en-CA"/>
        </w:rPr>
      </w:pPr>
    </w:p>
    <w:p w14:paraId="0225A6FA" w14:textId="77777777" w:rsidR="0072541E" w:rsidRDefault="0072541E" w:rsidP="00675380">
      <w:pPr>
        <w:spacing w:after="0"/>
        <w:rPr>
          <w:noProof/>
          <w:lang w:val="en-CA" w:eastAsia="en-CA"/>
        </w:rPr>
      </w:pPr>
    </w:p>
    <w:p w14:paraId="203768DC" w14:textId="77777777" w:rsidR="0072541E" w:rsidRDefault="0072541E" w:rsidP="00675380">
      <w:pPr>
        <w:spacing w:after="0"/>
        <w:rPr>
          <w:noProof/>
          <w:lang w:val="en-CA" w:eastAsia="en-CA"/>
        </w:rPr>
      </w:pPr>
    </w:p>
    <w:p w14:paraId="7F32354F" w14:textId="54185246" w:rsidR="002B3162" w:rsidRDefault="002B3162" w:rsidP="00675380">
      <w:pPr>
        <w:spacing w:after="0"/>
        <w:rPr>
          <w:noProof/>
          <w:lang w:val="en-CA" w:eastAsia="en-CA"/>
        </w:rPr>
      </w:pPr>
    </w:p>
    <w:p w14:paraId="2B5CAF73" w14:textId="5D921F71" w:rsidR="002B3162" w:rsidRDefault="002B3162" w:rsidP="00675380">
      <w:pPr>
        <w:spacing w:after="0"/>
        <w:rPr>
          <w:noProof/>
          <w:lang w:val="en-CA" w:eastAsia="en-CA"/>
        </w:rPr>
      </w:pPr>
    </w:p>
    <w:p w14:paraId="2901F5FC" w14:textId="77777777" w:rsidR="00675380" w:rsidRDefault="00675380" w:rsidP="00675380">
      <w:pPr>
        <w:spacing w:after="0"/>
      </w:pPr>
    </w:p>
    <w:p w14:paraId="2244AAFB" w14:textId="77777777" w:rsidR="00675380" w:rsidRDefault="00675380" w:rsidP="00675380">
      <w:pPr>
        <w:spacing w:after="0"/>
      </w:pPr>
    </w:p>
    <w:p w14:paraId="5AACAF23" w14:textId="77777777" w:rsidR="00675380" w:rsidRDefault="00675380" w:rsidP="00675380">
      <w:pPr>
        <w:spacing w:after="0"/>
      </w:pPr>
    </w:p>
    <w:p w14:paraId="52AB1972" w14:textId="77777777" w:rsidR="00675380" w:rsidRDefault="00675380" w:rsidP="00675380">
      <w:pPr>
        <w:spacing w:after="0"/>
      </w:pPr>
    </w:p>
    <w:p w14:paraId="2073C2B3" w14:textId="77777777" w:rsidR="00675380" w:rsidRDefault="00675380" w:rsidP="00675380">
      <w:pPr>
        <w:spacing w:after="0"/>
      </w:pPr>
    </w:p>
    <w:p w14:paraId="606656E5" w14:textId="77777777" w:rsidR="00EA304C" w:rsidRDefault="00EA304C" w:rsidP="00675380">
      <w:pPr>
        <w:spacing w:after="0"/>
      </w:pPr>
    </w:p>
    <w:p w14:paraId="7005BF67" w14:textId="77777777" w:rsidR="00EA304C" w:rsidRDefault="00EA304C" w:rsidP="00675380">
      <w:pPr>
        <w:spacing w:after="0"/>
      </w:pPr>
    </w:p>
    <w:p w14:paraId="0E91A6F8" w14:textId="20802B31" w:rsidR="009C16B7" w:rsidRDefault="009C16B7" w:rsidP="00675380">
      <w:pPr>
        <w:spacing w:after="0"/>
      </w:pPr>
      <w:r>
        <w:br w:type="page"/>
      </w:r>
    </w:p>
    <w:p w14:paraId="04BF3A7C" w14:textId="77777777" w:rsidR="00407A49" w:rsidRDefault="00407A49" w:rsidP="00483629">
      <w:pPr>
        <w:pStyle w:val="Heading2"/>
        <w:numPr>
          <w:ilvl w:val="1"/>
          <w:numId w:val="1"/>
        </w:numPr>
      </w:pPr>
      <w:bookmarkStart w:id="8" w:name="_Toc110425262"/>
      <w:r>
        <w:lastRenderedPageBreak/>
        <w:t>Group 1 Deferral and Variance Account Balances</w:t>
      </w:r>
      <w:bookmarkEnd w:id="8"/>
    </w:p>
    <w:p w14:paraId="373357FA" w14:textId="77777777" w:rsidR="00F04551" w:rsidRDefault="00F04551" w:rsidP="00483629">
      <w:pPr>
        <w:spacing w:after="0"/>
      </w:pPr>
    </w:p>
    <w:p w14:paraId="47C2DCC0" w14:textId="6BCB8179" w:rsidR="00B039BB" w:rsidRPr="00A30E7F" w:rsidRDefault="00602D47" w:rsidP="00483629">
      <w:pPr>
        <w:spacing w:after="0"/>
        <w:rPr>
          <w:rFonts w:cs="Times New Roman"/>
          <w:sz w:val="24"/>
          <w:szCs w:val="24"/>
        </w:rPr>
      </w:pPr>
      <w:r w:rsidRPr="00A30E7F">
        <w:rPr>
          <w:sz w:val="24"/>
          <w:szCs w:val="24"/>
        </w:rPr>
        <w:t xml:space="preserve">IPC </w:t>
      </w:r>
      <w:r w:rsidRPr="00A30E7F">
        <w:rPr>
          <w:rFonts w:cs="Times New Roman"/>
          <w:sz w:val="24"/>
          <w:szCs w:val="24"/>
        </w:rPr>
        <w:t>has completed the DVA worksheets included in the 20</w:t>
      </w:r>
      <w:r w:rsidR="00C47B99" w:rsidRPr="00A30E7F">
        <w:rPr>
          <w:rFonts w:cs="Times New Roman"/>
          <w:sz w:val="24"/>
          <w:szCs w:val="24"/>
        </w:rPr>
        <w:t>2</w:t>
      </w:r>
      <w:r w:rsidR="00797DC4">
        <w:rPr>
          <w:rFonts w:cs="Times New Roman"/>
          <w:sz w:val="24"/>
          <w:szCs w:val="24"/>
        </w:rPr>
        <w:t>3</w:t>
      </w:r>
      <w:r w:rsidR="00C47B99" w:rsidRPr="00A30E7F">
        <w:rPr>
          <w:rFonts w:cs="Times New Roman"/>
          <w:sz w:val="24"/>
          <w:szCs w:val="24"/>
        </w:rPr>
        <w:t xml:space="preserve"> </w:t>
      </w:r>
      <w:r w:rsidRPr="00A30E7F">
        <w:rPr>
          <w:rFonts w:cs="Times New Roman"/>
          <w:sz w:val="24"/>
          <w:szCs w:val="24"/>
        </w:rPr>
        <w:t xml:space="preserve">Rate Generator model. The receivable balance for Group 1 accounts </w:t>
      </w:r>
      <w:r w:rsidRPr="0022552D">
        <w:rPr>
          <w:rFonts w:cs="Times New Roman"/>
          <w:sz w:val="24"/>
          <w:szCs w:val="24"/>
        </w:rPr>
        <w:t xml:space="preserve">is </w:t>
      </w:r>
      <w:r w:rsidR="002A075C" w:rsidRPr="0022552D">
        <w:rPr>
          <w:rFonts w:cs="Times New Roman"/>
          <w:sz w:val="24"/>
          <w:szCs w:val="24"/>
        </w:rPr>
        <w:t>$</w:t>
      </w:r>
      <w:r w:rsidR="00503433">
        <w:rPr>
          <w:rFonts w:cs="Times New Roman"/>
          <w:sz w:val="24"/>
          <w:szCs w:val="24"/>
        </w:rPr>
        <w:t>3,256,736</w:t>
      </w:r>
      <w:r w:rsidR="002605E5" w:rsidRPr="00A30E7F">
        <w:rPr>
          <w:rFonts w:cs="Times New Roman"/>
          <w:sz w:val="24"/>
          <w:szCs w:val="24"/>
        </w:rPr>
        <w:t>,</w:t>
      </w:r>
      <w:r w:rsidR="00C47B99" w:rsidRPr="00A30E7F">
        <w:rPr>
          <w:rFonts w:cs="Times New Roman"/>
          <w:sz w:val="24"/>
          <w:szCs w:val="24"/>
        </w:rPr>
        <w:t xml:space="preserve"> excluding Global Adjustment. </w:t>
      </w:r>
    </w:p>
    <w:p w14:paraId="594B68D9" w14:textId="0F9CA463" w:rsidR="00B23E32" w:rsidRDefault="00B23E32" w:rsidP="00B23E32">
      <w:pPr>
        <w:rPr>
          <w:rFonts w:cs="Times New Roman"/>
          <w:sz w:val="24"/>
          <w:szCs w:val="24"/>
        </w:rPr>
      </w:pPr>
      <w:r w:rsidRPr="00A30E7F">
        <w:rPr>
          <w:rFonts w:cs="Times New Roman"/>
          <w:sz w:val="24"/>
          <w:szCs w:val="24"/>
        </w:rPr>
        <w:t>The following Table provides a breakdown of the Group 1 accounts:</w:t>
      </w:r>
    </w:p>
    <w:p w14:paraId="075B2FA7" w14:textId="0F8F78E1" w:rsidR="00E96714" w:rsidRDefault="00E96714" w:rsidP="00B23E32">
      <w:pPr>
        <w:rPr>
          <w:rFonts w:cs="Times New Roman"/>
          <w:sz w:val="24"/>
          <w:szCs w:val="24"/>
        </w:rPr>
      </w:pPr>
      <w:r>
        <w:rPr>
          <w:noProof/>
        </w:rPr>
        <w:drawing>
          <wp:inline distT="0" distB="0" distL="0" distR="0" wp14:anchorId="0E1D02FE" wp14:editId="71BB16D4">
            <wp:extent cx="5943600" cy="1998345"/>
            <wp:effectExtent l="0" t="0" r="0" b="0"/>
            <wp:docPr id="6" name="Picture 6"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table, Excel&#10;&#10;Description automatically generated"/>
                    <pic:cNvPicPr/>
                  </pic:nvPicPr>
                  <pic:blipFill>
                    <a:blip r:embed="rId16"/>
                    <a:stretch>
                      <a:fillRect/>
                    </a:stretch>
                  </pic:blipFill>
                  <pic:spPr>
                    <a:xfrm>
                      <a:off x="0" y="0"/>
                      <a:ext cx="5943600" cy="1998345"/>
                    </a:xfrm>
                    <a:prstGeom prst="rect">
                      <a:avLst/>
                    </a:prstGeom>
                  </pic:spPr>
                </pic:pic>
              </a:graphicData>
            </a:graphic>
          </wp:inline>
        </w:drawing>
      </w:r>
    </w:p>
    <w:p w14:paraId="0334C54E" w14:textId="5DBFBF80" w:rsidR="00B23E32" w:rsidRPr="008F412D" w:rsidRDefault="00B23E32" w:rsidP="00483629">
      <w:pPr>
        <w:spacing w:after="0"/>
        <w:rPr>
          <w:sz w:val="24"/>
          <w:szCs w:val="24"/>
        </w:rPr>
      </w:pPr>
      <w:r w:rsidRPr="008F412D">
        <w:rPr>
          <w:rFonts w:cs="Times New Roman"/>
          <w:sz w:val="24"/>
          <w:szCs w:val="24"/>
        </w:rPr>
        <w:t>The threshold test resulting f</w:t>
      </w:r>
      <w:r w:rsidR="005C6D94">
        <w:rPr>
          <w:rFonts w:cs="Times New Roman"/>
          <w:sz w:val="24"/>
          <w:szCs w:val="24"/>
        </w:rPr>
        <w:t>rom the Group 1 balance is $0.</w:t>
      </w:r>
      <w:r w:rsidR="00611C43">
        <w:rPr>
          <w:rFonts w:cs="Times New Roman"/>
          <w:sz w:val="24"/>
          <w:szCs w:val="24"/>
        </w:rPr>
        <w:t>0</w:t>
      </w:r>
      <w:r w:rsidR="0022552D">
        <w:rPr>
          <w:rFonts w:cs="Times New Roman"/>
          <w:sz w:val="24"/>
          <w:szCs w:val="24"/>
        </w:rPr>
        <w:t>116</w:t>
      </w:r>
      <w:r w:rsidRPr="008F412D">
        <w:rPr>
          <w:rFonts w:cs="Times New Roman"/>
          <w:sz w:val="24"/>
          <w:szCs w:val="24"/>
        </w:rPr>
        <w:t>. As this meets the threshold limit</w:t>
      </w:r>
      <w:r w:rsidR="00395DA4">
        <w:rPr>
          <w:rFonts w:cs="Times New Roman"/>
          <w:sz w:val="24"/>
          <w:szCs w:val="24"/>
        </w:rPr>
        <w:t>,</w:t>
      </w:r>
      <w:r w:rsidRPr="008F412D">
        <w:rPr>
          <w:rFonts w:cs="Times New Roman"/>
          <w:sz w:val="24"/>
          <w:szCs w:val="24"/>
        </w:rPr>
        <w:t xml:space="preserve"> IPC is requesting a </w:t>
      </w:r>
      <w:r w:rsidR="00A3140F">
        <w:rPr>
          <w:rFonts w:cs="Times New Roman"/>
          <w:sz w:val="24"/>
          <w:szCs w:val="24"/>
        </w:rPr>
        <w:t>one</w:t>
      </w:r>
      <w:r w:rsidRPr="008F412D">
        <w:rPr>
          <w:rFonts w:cs="Times New Roman"/>
          <w:sz w:val="24"/>
          <w:szCs w:val="24"/>
        </w:rPr>
        <w:t xml:space="preserve">-year disposition (or 12 months) on the Group 1 deferral/variance </w:t>
      </w:r>
      <w:r w:rsidRPr="00B627D5">
        <w:rPr>
          <w:rFonts w:cs="Times New Roman"/>
          <w:sz w:val="24"/>
          <w:szCs w:val="24"/>
        </w:rPr>
        <w:t>accounts.</w:t>
      </w:r>
    </w:p>
    <w:p w14:paraId="1A81FBC8" w14:textId="77777777" w:rsidR="00B23E32" w:rsidRPr="008F412D" w:rsidRDefault="00B23E32" w:rsidP="00483629">
      <w:pPr>
        <w:spacing w:after="0"/>
        <w:rPr>
          <w:sz w:val="24"/>
          <w:szCs w:val="24"/>
        </w:rPr>
      </w:pPr>
    </w:p>
    <w:p w14:paraId="07A4F537" w14:textId="226858A0" w:rsidR="00B23E32" w:rsidRDefault="00B23E32" w:rsidP="00483629">
      <w:pPr>
        <w:spacing w:after="0"/>
        <w:rPr>
          <w:sz w:val="24"/>
          <w:szCs w:val="24"/>
        </w:rPr>
      </w:pPr>
      <w:r w:rsidRPr="008F412D">
        <w:rPr>
          <w:sz w:val="24"/>
          <w:szCs w:val="24"/>
        </w:rPr>
        <w:t>The resulting Deferral/Variance Account Rate Riders by rate class for the 202</w:t>
      </w:r>
      <w:r w:rsidR="0022552D">
        <w:rPr>
          <w:sz w:val="24"/>
          <w:szCs w:val="24"/>
        </w:rPr>
        <w:t>3</w:t>
      </w:r>
      <w:r w:rsidRPr="008F412D">
        <w:rPr>
          <w:sz w:val="24"/>
          <w:szCs w:val="24"/>
        </w:rPr>
        <w:t xml:space="preserve"> DVA is as follows, based on a 12- month disposal:</w:t>
      </w:r>
    </w:p>
    <w:p w14:paraId="181CC560" w14:textId="47FA40B9" w:rsidR="005B68DB" w:rsidRDefault="005B68DB" w:rsidP="00483629">
      <w:pPr>
        <w:spacing w:after="0"/>
        <w:rPr>
          <w:sz w:val="24"/>
          <w:szCs w:val="24"/>
        </w:rPr>
      </w:pPr>
    </w:p>
    <w:p w14:paraId="6691D06C" w14:textId="6B889263" w:rsidR="008257CE" w:rsidRDefault="008257CE" w:rsidP="00483629">
      <w:pPr>
        <w:spacing w:after="0"/>
        <w:rPr>
          <w:sz w:val="24"/>
          <w:szCs w:val="24"/>
        </w:rPr>
      </w:pPr>
      <w:r>
        <w:rPr>
          <w:noProof/>
        </w:rPr>
        <w:drawing>
          <wp:inline distT="0" distB="0" distL="0" distR="0" wp14:anchorId="7164E124" wp14:editId="39337D96">
            <wp:extent cx="5943600" cy="1102360"/>
            <wp:effectExtent l="0" t="0" r="0" b="0"/>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7"/>
                    <a:stretch>
                      <a:fillRect/>
                    </a:stretch>
                  </pic:blipFill>
                  <pic:spPr>
                    <a:xfrm>
                      <a:off x="0" y="0"/>
                      <a:ext cx="5943600" cy="1102360"/>
                    </a:xfrm>
                    <a:prstGeom prst="rect">
                      <a:avLst/>
                    </a:prstGeom>
                  </pic:spPr>
                </pic:pic>
              </a:graphicData>
            </a:graphic>
          </wp:inline>
        </w:drawing>
      </w:r>
    </w:p>
    <w:p w14:paraId="4704259B" w14:textId="3CF99BD7" w:rsidR="00986D2D" w:rsidRPr="008F412D" w:rsidRDefault="00986D2D" w:rsidP="008257CE">
      <w:pPr>
        <w:spacing w:after="0"/>
        <w:rPr>
          <w:sz w:val="24"/>
          <w:szCs w:val="24"/>
        </w:rPr>
      </w:pPr>
    </w:p>
    <w:p w14:paraId="69DFAAB3" w14:textId="599C01DC" w:rsidR="00B23E32" w:rsidRDefault="00D07B5C" w:rsidP="008257CE">
      <w:pPr>
        <w:spacing w:after="0"/>
        <w:rPr>
          <w:noProof/>
          <w:lang w:val="en-CA" w:eastAsia="en-CA"/>
        </w:rPr>
      </w:pPr>
      <w:r>
        <w:rPr>
          <w:noProof/>
          <w:lang w:val="en-CA" w:eastAsia="en-CA"/>
        </w:rPr>
        <w:t xml:space="preserve"> </w:t>
      </w:r>
    </w:p>
    <w:p w14:paraId="51004071" w14:textId="0DFC3596" w:rsidR="00930BD2" w:rsidRDefault="00930BD2" w:rsidP="008257CE">
      <w:pPr>
        <w:spacing w:after="0"/>
        <w:rPr>
          <w:noProof/>
          <w:lang w:val="en-CA" w:eastAsia="en-CA"/>
        </w:rPr>
      </w:pPr>
    </w:p>
    <w:p w14:paraId="1FA073C4" w14:textId="77777777" w:rsidR="00930BD2" w:rsidRDefault="00930BD2" w:rsidP="008257CE">
      <w:pPr>
        <w:spacing w:after="0"/>
        <w:rPr>
          <w:sz w:val="24"/>
          <w:szCs w:val="24"/>
        </w:rPr>
      </w:pPr>
    </w:p>
    <w:p w14:paraId="6A864371" w14:textId="44545C1F" w:rsidR="00D07B5C" w:rsidRDefault="00D07B5C" w:rsidP="008257CE">
      <w:pPr>
        <w:spacing w:after="0"/>
        <w:rPr>
          <w:sz w:val="24"/>
          <w:szCs w:val="24"/>
        </w:rPr>
      </w:pPr>
    </w:p>
    <w:p w14:paraId="735EDD9C" w14:textId="4C7749CA" w:rsidR="00483629" w:rsidRDefault="00483629" w:rsidP="008257CE">
      <w:pPr>
        <w:spacing w:after="0"/>
        <w:rPr>
          <w:sz w:val="24"/>
          <w:szCs w:val="24"/>
        </w:rPr>
      </w:pPr>
    </w:p>
    <w:p w14:paraId="17569863" w14:textId="2939E906" w:rsidR="00483629" w:rsidRDefault="00483629" w:rsidP="005B68DB">
      <w:pPr>
        <w:spacing w:after="0"/>
        <w:rPr>
          <w:sz w:val="24"/>
          <w:szCs w:val="24"/>
        </w:rPr>
      </w:pPr>
    </w:p>
    <w:p w14:paraId="2DAD5702" w14:textId="0A312BBB" w:rsidR="00483629" w:rsidRDefault="00483629" w:rsidP="005B68DB">
      <w:pPr>
        <w:spacing w:after="0"/>
        <w:rPr>
          <w:sz w:val="24"/>
          <w:szCs w:val="24"/>
        </w:rPr>
      </w:pPr>
    </w:p>
    <w:p w14:paraId="1B67691F" w14:textId="1939C073" w:rsidR="005B68DB" w:rsidRDefault="00402B23" w:rsidP="005B68DB">
      <w:pPr>
        <w:spacing w:after="0"/>
        <w:rPr>
          <w:sz w:val="24"/>
          <w:szCs w:val="24"/>
        </w:rPr>
      </w:pPr>
      <w:r>
        <w:rPr>
          <w:sz w:val="24"/>
          <w:szCs w:val="24"/>
        </w:rPr>
        <w:t xml:space="preserve"> </w:t>
      </w:r>
    </w:p>
    <w:p w14:paraId="5C6CBEEF" w14:textId="77777777" w:rsidR="008257CE" w:rsidRDefault="008257CE" w:rsidP="00F04551">
      <w:pPr>
        <w:rPr>
          <w:sz w:val="24"/>
          <w:szCs w:val="24"/>
        </w:rPr>
      </w:pPr>
    </w:p>
    <w:p w14:paraId="1C622D16" w14:textId="77777777" w:rsidR="00FF5694" w:rsidRPr="003C3EB9" w:rsidRDefault="00FF5694" w:rsidP="00FF5694">
      <w:pPr>
        <w:rPr>
          <w:b/>
          <w:sz w:val="24"/>
          <w:szCs w:val="24"/>
        </w:rPr>
      </w:pPr>
      <w:r w:rsidRPr="003C3EB9">
        <w:rPr>
          <w:b/>
          <w:sz w:val="24"/>
          <w:szCs w:val="24"/>
        </w:rPr>
        <w:lastRenderedPageBreak/>
        <w:t>Adjustments of Deferral and Variance Accounts</w:t>
      </w:r>
    </w:p>
    <w:p w14:paraId="6ACE38D8" w14:textId="231ABA19" w:rsidR="00EA059A" w:rsidRDefault="00FF5694" w:rsidP="00EA059A">
      <w:pPr>
        <w:rPr>
          <w:sz w:val="24"/>
          <w:szCs w:val="24"/>
        </w:rPr>
      </w:pPr>
      <w:r w:rsidRPr="003C3EB9">
        <w:rPr>
          <w:sz w:val="24"/>
          <w:szCs w:val="24"/>
        </w:rPr>
        <w:t>The principal adjustments in the EB-202</w:t>
      </w:r>
      <w:r w:rsidR="00C159E7">
        <w:rPr>
          <w:sz w:val="24"/>
          <w:szCs w:val="24"/>
        </w:rPr>
        <w:t>2</w:t>
      </w:r>
      <w:r w:rsidRPr="003C3EB9">
        <w:rPr>
          <w:sz w:val="24"/>
          <w:szCs w:val="24"/>
        </w:rPr>
        <w:t>-00</w:t>
      </w:r>
      <w:r w:rsidR="00515A90" w:rsidRPr="003C3EB9">
        <w:rPr>
          <w:sz w:val="24"/>
          <w:szCs w:val="24"/>
        </w:rPr>
        <w:t>4</w:t>
      </w:r>
      <w:r w:rsidRPr="003C3EB9">
        <w:rPr>
          <w:sz w:val="24"/>
          <w:szCs w:val="24"/>
        </w:rPr>
        <w:t xml:space="preserve">3 submission </w:t>
      </w:r>
      <w:r w:rsidR="00515A90" w:rsidRPr="003C3EB9">
        <w:rPr>
          <w:sz w:val="24"/>
          <w:szCs w:val="24"/>
        </w:rPr>
        <w:t xml:space="preserve">include the current year CT 148 true-up of GA charges based on actual RPP volumes in the amount of </w:t>
      </w:r>
      <w:r w:rsidR="0078459B">
        <w:rPr>
          <w:sz w:val="24"/>
          <w:szCs w:val="24"/>
        </w:rPr>
        <w:t>(</w:t>
      </w:r>
      <w:r w:rsidR="00515A90" w:rsidRPr="003C3EB9">
        <w:rPr>
          <w:sz w:val="24"/>
          <w:szCs w:val="24"/>
        </w:rPr>
        <w:t>$46,437</w:t>
      </w:r>
      <w:r w:rsidR="0078459B">
        <w:rPr>
          <w:sz w:val="24"/>
          <w:szCs w:val="24"/>
        </w:rPr>
        <w:t>)</w:t>
      </w:r>
      <w:r w:rsidR="00515A90" w:rsidRPr="003C3EB9">
        <w:rPr>
          <w:sz w:val="24"/>
          <w:szCs w:val="24"/>
        </w:rPr>
        <w:t>, as well as the CT 1142/142 true-up based on actuals in the amount of ($12</w:t>
      </w:r>
      <w:r w:rsidR="0078459B">
        <w:rPr>
          <w:sz w:val="24"/>
          <w:szCs w:val="24"/>
        </w:rPr>
        <w:t>1</w:t>
      </w:r>
      <w:r w:rsidR="00515A90" w:rsidRPr="003C3EB9">
        <w:rPr>
          <w:sz w:val="24"/>
          <w:szCs w:val="24"/>
        </w:rPr>
        <w:t>,</w:t>
      </w:r>
      <w:r w:rsidR="0078459B">
        <w:rPr>
          <w:sz w:val="24"/>
          <w:szCs w:val="24"/>
        </w:rPr>
        <w:t>109</w:t>
      </w:r>
      <w:r w:rsidR="00515A90" w:rsidRPr="003C3EB9">
        <w:rPr>
          <w:sz w:val="24"/>
          <w:szCs w:val="24"/>
        </w:rPr>
        <w:t xml:space="preserve">).  </w:t>
      </w:r>
      <w:r w:rsidR="00EA059A" w:rsidRPr="004E35B4">
        <w:rPr>
          <w:sz w:val="24"/>
          <w:szCs w:val="24"/>
        </w:rPr>
        <w:t xml:space="preserve">Please note, </w:t>
      </w:r>
      <w:r w:rsidR="00EA059A">
        <w:rPr>
          <w:sz w:val="24"/>
          <w:szCs w:val="24"/>
        </w:rPr>
        <w:t xml:space="preserve">the </w:t>
      </w:r>
      <w:r w:rsidR="00EA059A" w:rsidRPr="004E35B4">
        <w:rPr>
          <w:sz w:val="24"/>
          <w:szCs w:val="24"/>
        </w:rPr>
        <w:t>prior year principal adjustments have not been included in the</w:t>
      </w:r>
      <w:r w:rsidR="00EA059A">
        <w:rPr>
          <w:sz w:val="24"/>
          <w:szCs w:val="24"/>
        </w:rPr>
        <w:t xml:space="preserve"> current year’s </w:t>
      </w:r>
      <w:r w:rsidR="00EA059A" w:rsidRPr="004E35B4">
        <w:rPr>
          <w:sz w:val="24"/>
          <w:szCs w:val="24"/>
        </w:rPr>
        <w:t>principal adjustment column</w:t>
      </w:r>
      <w:r w:rsidR="00EA059A">
        <w:rPr>
          <w:sz w:val="24"/>
          <w:szCs w:val="24"/>
        </w:rPr>
        <w:t xml:space="preserve"> (</w:t>
      </w:r>
      <w:proofErr w:type="gramStart"/>
      <w:r w:rsidR="00CB0203">
        <w:rPr>
          <w:sz w:val="24"/>
          <w:szCs w:val="24"/>
        </w:rPr>
        <w:t>i.e.</w:t>
      </w:r>
      <w:proofErr w:type="gramEnd"/>
      <w:r w:rsidR="00CB0203">
        <w:rPr>
          <w:sz w:val="24"/>
          <w:szCs w:val="24"/>
        </w:rPr>
        <w:t xml:space="preserve"> </w:t>
      </w:r>
      <w:r w:rsidR="00EA059A">
        <w:rPr>
          <w:sz w:val="24"/>
          <w:szCs w:val="24"/>
        </w:rPr>
        <w:t>rate generator model)</w:t>
      </w:r>
      <w:r w:rsidR="00EA059A" w:rsidRPr="004E35B4">
        <w:rPr>
          <w:sz w:val="24"/>
          <w:szCs w:val="24"/>
        </w:rPr>
        <w:t>, as they have been accounted for in the disposition amounts recorded during 2022.  Including them as a reversal in the current year’s balance would duplicate the amounts.</w:t>
      </w:r>
    </w:p>
    <w:p w14:paraId="17970039" w14:textId="4C1A3B02" w:rsidR="00DA11EA" w:rsidRPr="004E35B4" w:rsidRDefault="00DA11EA" w:rsidP="00EA059A">
      <w:pPr>
        <w:rPr>
          <w:sz w:val="24"/>
          <w:szCs w:val="24"/>
        </w:rPr>
      </w:pPr>
      <w:r>
        <w:rPr>
          <w:sz w:val="24"/>
          <w:szCs w:val="24"/>
        </w:rPr>
        <w:t>Please note, there have no adjustments made to balances previously approved by the OEB on a final basis.</w:t>
      </w:r>
    </w:p>
    <w:p w14:paraId="6F82446B" w14:textId="37062C76" w:rsidR="00DE6FBF" w:rsidRPr="003C3EB9" w:rsidRDefault="00DE6FBF" w:rsidP="00DE6FBF">
      <w:pPr>
        <w:rPr>
          <w:sz w:val="24"/>
          <w:szCs w:val="24"/>
        </w:rPr>
      </w:pPr>
      <w:r w:rsidRPr="003C3EB9">
        <w:rPr>
          <w:sz w:val="24"/>
          <w:szCs w:val="24"/>
        </w:rPr>
        <w:t>Please refer to the following file for detailed calculations of the variance:</w:t>
      </w:r>
    </w:p>
    <w:p w14:paraId="33090A80" w14:textId="2D6FDF95" w:rsidR="00DE6FBF" w:rsidRPr="00E229A2" w:rsidRDefault="00DE6FBF" w:rsidP="00FF5694">
      <w:pPr>
        <w:pStyle w:val="ListParagraph"/>
        <w:numPr>
          <w:ilvl w:val="0"/>
          <w:numId w:val="17"/>
        </w:numPr>
        <w:rPr>
          <w:sz w:val="24"/>
          <w:szCs w:val="24"/>
        </w:rPr>
      </w:pPr>
      <w:r w:rsidRPr="00E229A2">
        <w:rPr>
          <w:sz w:val="24"/>
          <w:szCs w:val="24"/>
        </w:rPr>
        <w:t>InnPower_202</w:t>
      </w:r>
      <w:r w:rsidR="00E229A2" w:rsidRPr="00E229A2">
        <w:rPr>
          <w:sz w:val="24"/>
          <w:szCs w:val="24"/>
        </w:rPr>
        <w:t>3</w:t>
      </w:r>
      <w:r w:rsidRPr="00E229A2">
        <w:rPr>
          <w:sz w:val="24"/>
          <w:szCs w:val="24"/>
        </w:rPr>
        <w:t>_EB-202</w:t>
      </w:r>
      <w:r w:rsidR="00E229A2" w:rsidRPr="00E229A2">
        <w:rPr>
          <w:sz w:val="24"/>
          <w:szCs w:val="24"/>
        </w:rPr>
        <w:t>2</w:t>
      </w:r>
      <w:r w:rsidRPr="00E229A2">
        <w:rPr>
          <w:sz w:val="24"/>
          <w:szCs w:val="24"/>
        </w:rPr>
        <w:t>-00</w:t>
      </w:r>
      <w:r w:rsidR="00E229A2" w:rsidRPr="00E229A2">
        <w:rPr>
          <w:sz w:val="24"/>
          <w:szCs w:val="24"/>
        </w:rPr>
        <w:t>43</w:t>
      </w:r>
      <w:r w:rsidRPr="00E229A2">
        <w:rPr>
          <w:sz w:val="24"/>
          <w:szCs w:val="24"/>
        </w:rPr>
        <w:t>_Principal_Adjustments</w:t>
      </w:r>
      <w:r w:rsidR="00CB0203">
        <w:rPr>
          <w:sz w:val="24"/>
          <w:szCs w:val="24"/>
        </w:rPr>
        <w:t>_20220803</w:t>
      </w:r>
    </w:p>
    <w:p w14:paraId="2EA94492" w14:textId="77777777" w:rsidR="00FF5694" w:rsidRPr="00D07B5C" w:rsidRDefault="00FF5694" w:rsidP="00F04551">
      <w:pPr>
        <w:rPr>
          <w:sz w:val="24"/>
          <w:szCs w:val="24"/>
        </w:rPr>
      </w:pPr>
    </w:p>
    <w:p w14:paraId="38507D06" w14:textId="3B7B0262" w:rsidR="00F6587A" w:rsidRPr="003406B0" w:rsidRDefault="00F6587A" w:rsidP="00D33F7D">
      <w:pPr>
        <w:pStyle w:val="Heading3"/>
      </w:pPr>
      <w:bookmarkStart w:id="9" w:name="_Toc110425263"/>
      <w:r w:rsidRPr="003406B0">
        <w:t>2.5.1 1595 Analysis</w:t>
      </w:r>
      <w:bookmarkEnd w:id="9"/>
    </w:p>
    <w:p w14:paraId="02D9176A" w14:textId="77777777" w:rsidR="00F6587A" w:rsidRPr="00930BD2" w:rsidRDefault="00F6587A" w:rsidP="00D33F7D">
      <w:pPr>
        <w:spacing w:after="0"/>
        <w:rPr>
          <w:sz w:val="24"/>
          <w:szCs w:val="24"/>
          <w:highlight w:val="yellow"/>
        </w:rPr>
      </w:pPr>
    </w:p>
    <w:p w14:paraId="2CACF185" w14:textId="1FD73EB7" w:rsidR="00C42675" w:rsidRDefault="00C42675" w:rsidP="00C42675">
      <w:pPr>
        <w:spacing w:after="0"/>
        <w:rPr>
          <w:sz w:val="24"/>
          <w:szCs w:val="24"/>
        </w:rPr>
      </w:pPr>
      <w:r>
        <w:rPr>
          <w:sz w:val="24"/>
          <w:szCs w:val="24"/>
        </w:rPr>
        <w:t>IPC is</w:t>
      </w:r>
      <w:r w:rsidR="00586599">
        <w:rPr>
          <w:sz w:val="24"/>
          <w:szCs w:val="24"/>
        </w:rPr>
        <w:t xml:space="preserve"> seeking disposition of the 1595 (2019) account </w:t>
      </w:r>
      <w:r w:rsidR="003406B0">
        <w:rPr>
          <w:sz w:val="24"/>
          <w:szCs w:val="24"/>
        </w:rPr>
        <w:t xml:space="preserve">in the amount of $25,243 </w:t>
      </w:r>
      <w:r w:rsidR="00586599">
        <w:rPr>
          <w:sz w:val="24"/>
          <w:szCs w:val="24"/>
        </w:rPr>
        <w:t xml:space="preserve">for the </w:t>
      </w:r>
      <w:r w:rsidR="00A2131C">
        <w:rPr>
          <w:sz w:val="24"/>
          <w:szCs w:val="24"/>
        </w:rPr>
        <w:t xml:space="preserve">residual </w:t>
      </w:r>
      <w:r w:rsidR="00586599">
        <w:rPr>
          <w:sz w:val="24"/>
          <w:szCs w:val="24"/>
        </w:rPr>
        <w:t>2017</w:t>
      </w:r>
      <w:r w:rsidR="000E208E">
        <w:rPr>
          <w:sz w:val="24"/>
          <w:szCs w:val="24"/>
        </w:rPr>
        <w:t xml:space="preserve"> DVA account</w:t>
      </w:r>
      <w:r w:rsidR="00586599">
        <w:rPr>
          <w:sz w:val="24"/>
          <w:szCs w:val="24"/>
        </w:rPr>
        <w:t xml:space="preserve"> balance approved for disposition.  Please note, IPC recorded a separate 1595 (2019) account in the amount of $</w:t>
      </w:r>
      <w:r w:rsidR="00DF609F">
        <w:rPr>
          <w:sz w:val="24"/>
          <w:szCs w:val="24"/>
        </w:rPr>
        <w:t>124,287</w:t>
      </w:r>
      <w:r w:rsidR="00DD7C5F">
        <w:rPr>
          <w:sz w:val="24"/>
          <w:szCs w:val="24"/>
        </w:rPr>
        <w:t xml:space="preserve"> for an over-refunded balance (see background below)</w:t>
      </w:r>
      <w:r w:rsidR="00142148">
        <w:rPr>
          <w:sz w:val="24"/>
          <w:szCs w:val="24"/>
        </w:rPr>
        <w:t xml:space="preserve">, which was approved for disposition in </w:t>
      </w:r>
      <w:r w:rsidR="00142148" w:rsidRPr="00D33F7D">
        <w:rPr>
          <w:sz w:val="24"/>
          <w:szCs w:val="24"/>
        </w:rPr>
        <w:t>EB-2020-0033</w:t>
      </w:r>
      <w:r w:rsidR="00DD7C5F">
        <w:rPr>
          <w:sz w:val="24"/>
          <w:szCs w:val="24"/>
        </w:rPr>
        <w:t>.</w:t>
      </w:r>
      <w:r w:rsidR="00A2131C">
        <w:rPr>
          <w:sz w:val="24"/>
          <w:szCs w:val="24"/>
        </w:rPr>
        <w:t xml:space="preserve">  </w:t>
      </w:r>
      <w:r w:rsidR="00142148">
        <w:rPr>
          <w:sz w:val="24"/>
          <w:szCs w:val="24"/>
        </w:rPr>
        <w:t xml:space="preserve">As the rate riders for the 2017 DVA account balance expired in May 2020, </w:t>
      </w:r>
      <w:r w:rsidR="003406B0">
        <w:rPr>
          <w:sz w:val="24"/>
          <w:szCs w:val="24"/>
        </w:rPr>
        <w:t>it</w:t>
      </w:r>
      <w:r w:rsidR="000E208E">
        <w:rPr>
          <w:sz w:val="24"/>
          <w:szCs w:val="24"/>
        </w:rPr>
        <w:t xml:space="preserve"> was not eligible for disposition</w:t>
      </w:r>
      <w:r w:rsidR="00551E0B">
        <w:rPr>
          <w:sz w:val="24"/>
          <w:szCs w:val="24"/>
        </w:rPr>
        <w:t xml:space="preserve"> in the EB-2020-033 application</w:t>
      </w:r>
      <w:r w:rsidR="00E229A2">
        <w:rPr>
          <w:sz w:val="24"/>
          <w:szCs w:val="24"/>
        </w:rPr>
        <w:t>.</w:t>
      </w:r>
      <w:r w:rsidR="003406B0">
        <w:rPr>
          <w:sz w:val="24"/>
          <w:szCs w:val="24"/>
        </w:rPr>
        <w:t xml:space="preserve"> </w:t>
      </w:r>
      <w:r w:rsidR="00586F05">
        <w:rPr>
          <w:sz w:val="24"/>
          <w:szCs w:val="24"/>
        </w:rPr>
        <w:t xml:space="preserve">Therefore, no request has been submitted to dispose of the balance in previous applications.  </w:t>
      </w:r>
    </w:p>
    <w:p w14:paraId="63CCD86C" w14:textId="77777777" w:rsidR="00C42675" w:rsidRDefault="00C42675" w:rsidP="00D33F7D">
      <w:pPr>
        <w:spacing w:after="0"/>
        <w:rPr>
          <w:b/>
          <w:sz w:val="24"/>
          <w:szCs w:val="24"/>
        </w:rPr>
      </w:pPr>
    </w:p>
    <w:p w14:paraId="7EA425BA" w14:textId="6755DB59" w:rsidR="00781C81" w:rsidRPr="00D33F7D" w:rsidRDefault="00C42675" w:rsidP="003406B0">
      <w:pPr>
        <w:rPr>
          <w:b/>
          <w:sz w:val="24"/>
          <w:szCs w:val="24"/>
        </w:rPr>
      </w:pPr>
      <w:r>
        <w:rPr>
          <w:b/>
          <w:sz w:val="24"/>
          <w:szCs w:val="24"/>
        </w:rPr>
        <w:t>Background</w:t>
      </w:r>
    </w:p>
    <w:p w14:paraId="7FBA1559" w14:textId="3D680BD9" w:rsidR="00D46090" w:rsidRPr="00D33F7D" w:rsidRDefault="00781C81" w:rsidP="003406B0">
      <w:pPr>
        <w:rPr>
          <w:sz w:val="24"/>
          <w:szCs w:val="24"/>
        </w:rPr>
      </w:pPr>
      <w:r w:rsidRPr="00D33F7D">
        <w:rPr>
          <w:sz w:val="24"/>
          <w:szCs w:val="24"/>
        </w:rPr>
        <w:t>In the Decision and Rate Order EB-20</w:t>
      </w:r>
      <w:r w:rsidR="00D46090" w:rsidRPr="00D33F7D">
        <w:rPr>
          <w:sz w:val="24"/>
          <w:szCs w:val="24"/>
        </w:rPr>
        <w:t>16</w:t>
      </w:r>
      <w:r w:rsidRPr="00D33F7D">
        <w:rPr>
          <w:sz w:val="24"/>
          <w:szCs w:val="24"/>
        </w:rPr>
        <w:t>-00</w:t>
      </w:r>
      <w:r w:rsidR="00D46090" w:rsidRPr="00D33F7D">
        <w:rPr>
          <w:sz w:val="24"/>
          <w:szCs w:val="24"/>
        </w:rPr>
        <w:t>85</w:t>
      </w:r>
      <w:r w:rsidRPr="00D33F7D">
        <w:rPr>
          <w:sz w:val="24"/>
          <w:szCs w:val="24"/>
        </w:rPr>
        <w:t xml:space="preserve">, </w:t>
      </w:r>
      <w:r w:rsidR="00D46090" w:rsidRPr="00D33F7D">
        <w:rPr>
          <w:sz w:val="24"/>
          <w:szCs w:val="24"/>
        </w:rPr>
        <w:t xml:space="preserve">the OEB found that IPC incorrectly continued to charge its rate riders after the approved expiry dates.  In a letter dated January 9, 2018, the OEB indicated that it expected InnPower to end its rate riders effective December 31, 2017, which included the Rate Rider for Disposition of Capital </w:t>
      </w:r>
      <w:r w:rsidR="00D46090" w:rsidRPr="005B2062">
        <w:rPr>
          <w:sz w:val="24"/>
          <w:szCs w:val="24"/>
        </w:rPr>
        <w:t>Gains</w:t>
      </w:r>
      <w:r w:rsidR="00C41B0E" w:rsidRPr="005B2062">
        <w:rPr>
          <w:sz w:val="24"/>
          <w:szCs w:val="24"/>
        </w:rPr>
        <w:t xml:space="preserve"> (see Appendix </w:t>
      </w:r>
      <w:r w:rsidR="005B2062" w:rsidRPr="005B2062">
        <w:rPr>
          <w:sz w:val="24"/>
          <w:szCs w:val="24"/>
        </w:rPr>
        <w:t>A</w:t>
      </w:r>
      <w:r w:rsidR="00C41B0E" w:rsidRPr="005B2062">
        <w:rPr>
          <w:sz w:val="24"/>
          <w:szCs w:val="24"/>
        </w:rPr>
        <w:t>)</w:t>
      </w:r>
      <w:r w:rsidR="00D46090" w:rsidRPr="005B2062">
        <w:rPr>
          <w:sz w:val="24"/>
          <w:szCs w:val="24"/>
        </w:rPr>
        <w:t>.  To</w:t>
      </w:r>
      <w:r w:rsidR="00D46090" w:rsidRPr="00D33F7D">
        <w:rPr>
          <w:sz w:val="24"/>
          <w:szCs w:val="24"/>
        </w:rPr>
        <w:t xml:space="preserve"> address the issue, the OEB directed IPC to transfer the over-refunded balances with respect to capital gains to a sub account in Account 1595 for </w:t>
      </w:r>
      <w:r w:rsidR="00D46090" w:rsidRPr="00E63ADB">
        <w:rPr>
          <w:sz w:val="24"/>
          <w:szCs w:val="24"/>
        </w:rPr>
        <w:t>future disposition</w:t>
      </w:r>
      <w:r w:rsidR="002D60A7" w:rsidRPr="00E63ADB">
        <w:rPr>
          <w:sz w:val="24"/>
          <w:szCs w:val="24"/>
        </w:rPr>
        <w:t xml:space="preserve"> in a subsequent IRM application</w:t>
      </w:r>
      <w:r w:rsidR="00C41B0E" w:rsidRPr="00E63ADB">
        <w:rPr>
          <w:sz w:val="24"/>
          <w:szCs w:val="24"/>
        </w:rPr>
        <w:t xml:space="preserve"> (see Appendix </w:t>
      </w:r>
      <w:r w:rsidR="005B2062" w:rsidRPr="00E63ADB">
        <w:rPr>
          <w:sz w:val="24"/>
          <w:szCs w:val="24"/>
        </w:rPr>
        <w:t>B</w:t>
      </w:r>
      <w:r w:rsidR="00C41B0E" w:rsidRPr="00E63ADB">
        <w:rPr>
          <w:sz w:val="24"/>
          <w:szCs w:val="24"/>
        </w:rPr>
        <w:t>: Section 3.13 of EB-2016-0085)</w:t>
      </w:r>
      <w:r w:rsidR="00D46090" w:rsidRPr="00E63ADB">
        <w:rPr>
          <w:sz w:val="24"/>
          <w:szCs w:val="24"/>
        </w:rPr>
        <w:t>.</w:t>
      </w:r>
      <w:r w:rsidR="00D46090" w:rsidRPr="00D33F7D">
        <w:rPr>
          <w:sz w:val="24"/>
          <w:szCs w:val="24"/>
        </w:rPr>
        <w:t xml:space="preserve">  </w:t>
      </w:r>
    </w:p>
    <w:p w14:paraId="69A8F2C6" w14:textId="6BC19A88" w:rsidR="002B1137" w:rsidRPr="00D33F7D" w:rsidRDefault="002D60A7" w:rsidP="003406B0">
      <w:pPr>
        <w:spacing w:after="0"/>
        <w:rPr>
          <w:sz w:val="24"/>
          <w:szCs w:val="24"/>
        </w:rPr>
      </w:pPr>
      <w:r w:rsidRPr="00D33F7D">
        <w:rPr>
          <w:sz w:val="24"/>
          <w:szCs w:val="24"/>
        </w:rPr>
        <w:t xml:space="preserve">Instead, IPC’s </w:t>
      </w:r>
      <w:r w:rsidR="00D46090" w:rsidRPr="00D33F7D">
        <w:rPr>
          <w:sz w:val="24"/>
          <w:szCs w:val="24"/>
        </w:rPr>
        <w:t xml:space="preserve">assumption </w:t>
      </w:r>
      <w:r w:rsidRPr="00D33F7D">
        <w:rPr>
          <w:sz w:val="24"/>
          <w:szCs w:val="24"/>
        </w:rPr>
        <w:t xml:space="preserve">was to record </w:t>
      </w:r>
      <w:r w:rsidR="00D46090" w:rsidRPr="00D33F7D">
        <w:rPr>
          <w:sz w:val="24"/>
          <w:szCs w:val="24"/>
        </w:rPr>
        <w:t>the over-refunded balance to a Group 2 DVA account</w:t>
      </w:r>
      <w:r w:rsidRPr="00D33F7D">
        <w:rPr>
          <w:sz w:val="24"/>
          <w:szCs w:val="24"/>
        </w:rPr>
        <w:t xml:space="preserve">, to </w:t>
      </w:r>
      <w:r w:rsidR="00D46090" w:rsidRPr="00D33F7D">
        <w:rPr>
          <w:sz w:val="24"/>
          <w:szCs w:val="24"/>
        </w:rPr>
        <w:t>be disposed in a future Cost of Service app</w:t>
      </w:r>
      <w:r w:rsidRPr="00D33F7D">
        <w:rPr>
          <w:sz w:val="24"/>
          <w:szCs w:val="24"/>
        </w:rPr>
        <w:t xml:space="preserve">lication.  </w:t>
      </w:r>
      <w:r w:rsidR="002177D6" w:rsidRPr="00D33F7D">
        <w:rPr>
          <w:sz w:val="24"/>
          <w:szCs w:val="24"/>
        </w:rPr>
        <w:t>IPC has since transferred the balance into a 1595 account and</w:t>
      </w:r>
      <w:r w:rsidR="00D22777" w:rsidRPr="00D33F7D">
        <w:rPr>
          <w:sz w:val="24"/>
          <w:szCs w:val="24"/>
        </w:rPr>
        <w:t xml:space="preserve"> was granted</w:t>
      </w:r>
      <w:r w:rsidR="002177D6" w:rsidRPr="00D33F7D">
        <w:rPr>
          <w:sz w:val="24"/>
          <w:szCs w:val="24"/>
        </w:rPr>
        <w:t xml:space="preserve"> disposition in the amount of $124,287</w:t>
      </w:r>
      <w:r w:rsidR="00D22777" w:rsidRPr="00D33F7D">
        <w:rPr>
          <w:sz w:val="24"/>
          <w:szCs w:val="24"/>
        </w:rPr>
        <w:t xml:space="preserve"> in EB-2020-0033</w:t>
      </w:r>
      <w:r w:rsidR="002177D6" w:rsidRPr="00D33F7D">
        <w:rPr>
          <w:sz w:val="24"/>
          <w:szCs w:val="24"/>
        </w:rPr>
        <w:t xml:space="preserve">.  </w:t>
      </w:r>
    </w:p>
    <w:p w14:paraId="5EB63E7F" w14:textId="77777777" w:rsidR="00F6587A" w:rsidRDefault="00F6587A" w:rsidP="00930BD2">
      <w:pPr>
        <w:pStyle w:val="Heading3"/>
      </w:pPr>
      <w:bookmarkStart w:id="10" w:name="_Toc110425264"/>
      <w:r>
        <w:lastRenderedPageBreak/>
        <w:t>2.5.2 Wholesale Market Participants</w:t>
      </w:r>
      <w:bookmarkEnd w:id="10"/>
    </w:p>
    <w:p w14:paraId="1088680E" w14:textId="77777777" w:rsidR="00EE09A1" w:rsidRDefault="00EE09A1" w:rsidP="00930BD2">
      <w:pPr>
        <w:spacing w:after="0"/>
      </w:pPr>
    </w:p>
    <w:p w14:paraId="0FC1F499" w14:textId="00FD1B47" w:rsidR="00981475" w:rsidRDefault="00EE09A1" w:rsidP="00930BD2">
      <w:pPr>
        <w:spacing w:after="0"/>
        <w:rPr>
          <w:sz w:val="24"/>
          <w:szCs w:val="24"/>
        </w:rPr>
      </w:pPr>
      <w:r w:rsidRPr="00EE09A1">
        <w:rPr>
          <w:sz w:val="24"/>
          <w:szCs w:val="24"/>
        </w:rPr>
        <w:t>At the time of submission</w:t>
      </w:r>
      <w:r>
        <w:rPr>
          <w:sz w:val="24"/>
          <w:szCs w:val="24"/>
        </w:rPr>
        <w:t>,</w:t>
      </w:r>
      <w:r w:rsidRPr="00EE09A1">
        <w:rPr>
          <w:sz w:val="24"/>
          <w:szCs w:val="24"/>
        </w:rPr>
        <w:t xml:space="preserve"> IPC has no wholesale market participants.</w:t>
      </w:r>
    </w:p>
    <w:p w14:paraId="090C367F" w14:textId="77777777" w:rsidR="00442CCD" w:rsidRDefault="00442CCD" w:rsidP="00930BD2">
      <w:pPr>
        <w:spacing w:after="0"/>
        <w:rPr>
          <w:sz w:val="24"/>
          <w:szCs w:val="24"/>
        </w:rPr>
      </w:pPr>
    </w:p>
    <w:p w14:paraId="286CE3B0" w14:textId="77777777" w:rsidR="00F6587A" w:rsidRPr="00EE09A1" w:rsidRDefault="00F6587A" w:rsidP="00930BD2">
      <w:pPr>
        <w:pStyle w:val="Heading3"/>
      </w:pPr>
      <w:bookmarkStart w:id="11" w:name="_Toc110425265"/>
      <w:r>
        <w:t>2.5.3 Global Adjustment</w:t>
      </w:r>
      <w:bookmarkEnd w:id="11"/>
    </w:p>
    <w:p w14:paraId="228C69B3" w14:textId="77777777" w:rsidR="00930BD2" w:rsidRDefault="00930BD2" w:rsidP="00930BD2">
      <w:pPr>
        <w:spacing w:after="0"/>
        <w:rPr>
          <w:b/>
          <w:sz w:val="24"/>
          <w:szCs w:val="24"/>
        </w:rPr>
      </w:pPr>
    </w:p>
    <w:p w14:paraId="4652125B" w14:textId="2312C7EC" w:rsidR="00FC7F92" w:rsidRPr="00FC7F92" w:rsidRDefault="00FC7F92" w:rsidP="00B97208">
      <w:pPr>
        <w:rPr>
          <w:b/>
          <w:sz w:val="24"/>
          <w:szCs w:val="24"/>
        </w:rPr>
      </w:pPr>
      <w:r w:rsidRPr="00FC7F92">
        <w:rPr>
          <w:b/>
          <w:sz w:val="24"/>
          <w:szCs w:val="24"/>
        </w:rPr>
        <w:t>Class A – Class B Customers</w:t>
      </w:r>
    </w:p>
    <w:p w14:paraId="55970FE3" w14:textId="5AF92DD6" w:rsidR="00EE09A1" w:rsidRDefault="00EE09A1" w:rsidP="00B97208">
      <w:pPr>
        <w:rPr>
          <w:sz w:val="24"/>
          <w:szCs w:val="24"/>
        </w:rPr>
      </w:pPr>
      <w:r>
        <w:rPr>
          <w:sz w:val="24"/>
          <w:szCs w:val="24"/>
        </w:rPr>
        <w:t>I</w:t>
      </w:r>
      <w:r w:rsidR="005E471B">
        <w:rPr>
          <w:sz w:val="24"/>
          <w:szCs w:val="24"/>
        </w:rPr>
        <w:t>PC</w:t>
      </w:r>
      <w:r>
        <w:rPr>
          <w:sz w:val="24"/>
          <w:szCs w:val="24"/>
        </w:rPr>
        <w:t xml:space="preserve"> </w:t>
      </w:r>
      <w:r w:rsidR="00BD5034">
        <w:rPr>
          <w:sz w:val="24"/>
          <w:szCs w:val="24"/>
        </w:rPr>
        <w:t>did not have any customers transition</w:t>
      </w:r>
      <w:r w:rsidR="00CF0953">
        <w:rPr>
          <w:sz w:val="24"/>
          <w:szCs w:val="24"/>
        </w:rPr>
        <w:t xml:space="preserve"> between Class A and Class B</w:t>
      </w:r>
      <w:r w:rsidR="00BD5034">
        <w:rPr>
          <w:sz w:val="24"/>
          <w:szCs w:val="24"/>
        </w:rPr>
        <w:t xml:space="preserve"> during the period account 1589 GA or 1580 sub-account CBR B balance accumulated</w:t>
      </w:r>
      <w:r w:rsidR="00CF0953">
        <w:rPr>
          <w:sz w:val="24"/>
          <w:szCs w:val="24"/>
        </w:rPr>
        <w:t xml:space="preserve"> (</w:t>
      </w:r>
      <w:proofErr w:type="gramStart"/>
      <w:r w:rsidR="00CF0953">
        <w:rPr>
          <w:sz w:val="24"/>
          <w:szCs w:val="24"/>
        </w:rPr>
        <w:t>i.e.</w:t>
      </w:r>
      <w:proofErr w:type="gramEnd"/>
      <w:r w:rsidR="00CF0953">
        <w:rPr>
          <w:sz w:val="24"/>
          <w:szCs w:val="24"/>
        </w:rPr>
        <w:t xml:space="preserve"> from</w:t>
      </w:r>
      <w:r w:rsidR="00BD5034">
        <w:rPr>
          <w:sz w:val="24"/>
          <w:szCs w:val="24"/>
        </w:rPr>
        <w:t xml:space="preserve"> 20</w:t>
      </w:r>
      <w:r w:rsidR="00930BD2">
        <w:rPr>
          <w:sz w:val="24"/>
          <w:szCs w:val="24"/>
        </w:rPr>
        <w:t>20</w:t>
      </w:r>
      <w:r w:rsidR="00BD5034">
        <w:rPr>
          <w:sz w:val="24"/>
          <w:szCs w:val="24"/>
        </w:rPr>
        <w:t xml:space="preserve"> when the account balance was disposed to the end of 202</w:t>
      </w:r>
      <w:r w:rsidR="00930BD2">
        <w:rPr>
          <w:sz w:val="24"/>
          <w:szCs w:val="24"/>
        </w:rPr>
        <w:t>1</w:t>
      </w:r>
      <w:r w:rsidR="00BD5034">
        <w:rPr>
          <w:sz w:val="24"/>
          <w:szCs w:val="24"/>
        </w:rPr>
        <w:t>)</w:t>
      </w:r>
      <w:r>
        <w:rPr>
          <w:sz w:val="24"/>
          <w:szCs w:val="24"/>
        </w:rPr>
        <w:t xml:space="preserve">. </w:t>
      </w:r>
      <w:r w:rsidR="00FC7F92">
        <w:rPr>
          <w:sz w:val="24"/>
          <w:szCs w:val="24"/>
        </w:rPr>
        <w:t xml:space="preserve"> </w:t>
      </w:r>
    </w:p>
    <w:p w14:paraId="397CB067" w14:textId="31EDE871" w:rsidR="00A8292B" w:rsidRDefault="00A8292B" w:rsidP="00930BD2">
      <w:pPr>
        <w:spacing w:after="0"/>
        <w:rPr>
          <w:b/>
          <w:sz w:val="24"/>
          <w:szCs w:val="24"/>
        </w:rPr>
      </w:pPr>
    </w:p>
    <w:p w14:paraId="09819CB7" w14:textId="77777777" w:rsidR="00FC7F92" w:rsidRPr="00FC7F92" w:rsidRDefault="00FC7F92" w:rsidP="00B97208">
      <w:pPr>
        <w:rPr>
          <w:b/>
          <w:sz w:val="24"/>
          <w:szCs w:val="24"/>
        </w:rPr>
      </w:pPr>
      <w:r w:rsidRPr="00FC7F92">
        <w:rPr>
          <w:b/>
          <w:sz w:val="24"/>
          <w:szCs w:val="24"/>
        </w:rPr>
        <w:t>Global Adjustment</w:t>
      </w:r>
    </w:p>
    <w:p w14:paraId="2B06E0E9" w14:textId="77777777" w:rsidR="002E1988" w:rsidRDefault="00446C1B" w:rsidP="00E229A2">
      <w:pPr>
        <w:spacing w:after="0"/>
        <w:rPr>
          <w:sz w:val="24"/>
          <w:szCs w:val="24"/>
        </w:rPr>
      </w:pPr>
      <w:r w:rsidRPr="008D77DC">
        <w:rPr>
          <w:sz w:val="24"/>
          <w:szCs w:val="24"/>
        </w:rPr>
        <w:t xml:space="preserve">IPC has implemented robust processes and internal controls for the preparation, review, verification and oversight of account balances being proposed for disposition, that are in line with the OEB’s February 21, </w:t>
      </w:r>
      <w:proofErr w:type="gramStart"/>
      <w:r w:rsidRPr="008D77DC">
        <w:rPr>
          <w:sz w:val="24"/>
          <w:szCs w:val="24"/>
        </w:rPr>
        <w:t>2019</w:t>
      </w:r>
      <w:proofErr w:type="gramEnd"/>
      <w:r w:rsidRPr="008D77DC">
        <w:rPr>
          <w:sz w:val="24"/>
          <w:szCs w:val="24"/>
        </w:rPr>
        <w:t xml:space="preserve"> guidance.</w:t>
      </w:r>
      <w:r>
        <w:rPr>
          <w:sz w:val="24"/>
          <w:szCs w:val="24"/>
        </w:rPr>
        <w:t xml:space="preserve"> </w:t>
      </w:r>
    </w:p>
    <w:p w14:paraId="062BE19D" w14:textId="47588C30" w:rsidR="00446C1B" w:rsidRDefault="00446C1B" w:rsidP="00E229A2">
      <w:pPr>
        <w:spacing w:after="0"/>
        <w:rPr>
          <w:sz w:val="24"/>
          <w:szCs w:val="24"/>
        </w:rPr>
      </w:pPr>
      <w:r>
        <w:rPr>
          <w:sz w:val="24"/>
          <w:szCs w:val="24"/>
        </w:rPr>
        <w:t xml:space="preserve"> </w:t>
      </w:r>
    </w:p>
    <w:p w14:paraId="22CFAA93" w14:textId="288B80D7" w:rsidR="0072700B" w:rsidRDefault="0072700B" w:rsidP="00E229A2">
      <w:pPr>
        <w:spacing w:after="0"/>
        <w:rPr>
          <w:sz w:val="24"/>
          <w:szCs w:val="24"/>
        </w:rPr>
      </w:pPr>
      <w:r>
        <w:rPr>
          <w:sz w:val="24"/>
          <w:szCs w:val="24"/>
        </w:rPr>
        <w:t>As directed, IPC has undertaken and completed the GA Analysis Work form wit</w:t>
      </w:r>
      <w:r w:rsidR="00F749C3">
        <w:rPr>
          <w:sz w:val="24"/>
          <w:szCs w:val="24"/>
        </w:rPr>
        <w:t>h this application for the year 202</w:t>
      </w:r>
      <w:r w:rsidR="00B354A6">
        <w:rPr>
          <w:sz w:val="24"/>
          <w:szCs w:val="24"/>
        </w:rPr>
        <w:t>1</w:t>
      </w:r>
      <w:r w:rsidR="00C473D2">
        <w:rPr>
          <w:sz w:val="24"/>
          <w:szCs w:val="24"/>
        </w:rPr>
        <w:t xml:space="preserve">, </w:t>
      </w:r>
      <w:r w:rsidR="00C473D2" w:rsidRPr="003406B0">
        <w:rPr>
          <w:sz w:val="24"/>
          <w:szCs w:val="24"/>
        </w:rPr>
        <w:t>which include</w:t>
      </w:r>
      <w:r w:rsidRPr="003406B0">
        <w:rPr>
          <w:sz w:val="24"/>
          <w:szCs w:val="24"/>
        </w:rPr>
        <w:t xml:space="preserve"> the above-mentioned principal adjustments.  The resulting variance of Unresolved Difference as percentage of Expected GA payments</w:t>
      </w:r>
      <w:r w:rsidRPr="00694624">
        <w:rPr>
          <w:sz w:val="24"/>
          <w:szCs w:val="24"/>
        </w:rPr>
        <w:t xml:space="preserve"> to IESO for </w:t>
      </w:r>
      <w:r w:rsidR="00F749C3" w:rsidRPr="00694624">
        <w:rPr>
          <w:sz w:val="24"/>
          <w:szCs w:val="24"/>
        </w:rPr>
        <w:t>202</w:t>
      </w:r>
      <w:r w:rsidR="00B354A6" w:rsidRPr="00694624">
        <w:rPr>
          <w:sz w:val="24"/>
          <w:szCs w:val="24"/>
        </w:rPr>
        <w:t>1</w:t>
      </w:r>
      <w:r w:rsidR="00F749C3" w:rsidRPr="00694624">
        <w:rPr>
          <w:sz w:val="24"/>
          <w:szCs w:val="24"/>
        </w:rPr>
        <w:t xml:space="preserve"> is 0.</w:t>
      </w:r>
      <w:r w:rsidR="00694624" w:rsidRPr="00694624">
        <w:rPr>
          <w:sz w:val="24"/>
          <w:szCs w:val="24"/>
        </w:rPr>
        <w:t>0</w:t>
      </w:r>
      <w:r w:rsidR="00F749C3" w:rsidRPr="00694624">
        <w:rPr>
          <w:sz w:val="24"/>
          <w:szCs w:val="24"/>
        </w:rPr>
        <w:t>%</w:t>
      </w:r>
      <w:r w:rsidR="00411333">
        <w:rPr>
          <w:sz w:val="24"/>
          <w:szCs w:val="24"/>
        </w:rPr>
        <w:t>.</w:t>
      </w:r>
    </w:p>
    <w:p w14:paraId="0ADA928C" w14:textId="77777777" w:rsidR="00411333" w:rsidRDefault="00411333" w:rsidP="00411333">
      <w:pPr>
        <w:spacing w:after="0"/>
        <w:rPr>
          <w:sz w:val="24"/>
          <w:szCs w:val="24"/>
        </w:rPr>
      </w:pPr>
    </w:p>
    <w:p w14:paraId="11D900A5" w14:textId="65AC223C" w:rsidR="00971FF7" w:rsidRDefault="00B354A6" w:rsidP="00411333">
      <w:pPr>
        <w:pStyle w:val="Default"/>
        <w:rPr>
          <w:rFonts w:asciiTheme="minorHAnsi" w:hAnsiTheme="minorHAnsi" w:cstheme="minorHAnsi"/>
        </w:rPr>
      </w:pPr>
      <w:r w:rsidRPr="00971FF7">
        <w:rPr>
          <w:rFonts w:asciiTheme="minorHAnsi" w:hAnsiTheme="minorHAnsi" w:cstheme="minorHAnsi"/>
        </w:rPr>
        <w:t>P</w:t>
      </w:r>
      <w:r w:rsidR="005D6EEF" w:rsidRPr="00971FF7">
        <w:rPr>
          <w:rFonts w:asciiTheme="minorHAnsi" w:hAnsiTheme="minorHAnsi" w:cstheme="minorHAnsi"/>
        </w:rPr>
        <w:t>lease note the 1588 balance as a percentage of A</w:t>
      </w:r>
      <w:r w:rsidR="00AC0D21" w:rsidRPr="00971FF7">
        <w:rPr>
          <w:rFonts w:asciiTheme="minorHAnsi" w:hAnsiTheme="minorHAnsi" w:cstheme="minorHAnsi"/>
        </w:rPr>
        <w:t xml:space="preserve">ccount 4705 (Cost of Power) is </w:t>
      </w:r>
      <w:r w:rsidR="00694624" w:rsidRPr="00971FF7">
        <w:rPr>
          <w:rFonts w:asciiTheme="minorHAnsi" w:hAnsiTheme="minorHAnsi" w:cstheme="minorHAnsi"/>
        </w:rPr>
        <w:t>2.0</w:t>
      </w:r>
      <w:r w:rsidR="005D6EEF" w:rsidRPr="00971FF7">
        <w:rPr>
          <w:rFonts w:asciiTheme="minorHAnsi" w:hAnsiTheme="minorHAnsi" w:cstheme="minorHAnsi"/>
        </w:rPr>
        <w:t>%</w:t>
      </w:r>
      <w:r w:rsidR="002B1177" w:rsidRPr="00971FF7">
        <w:rPr>
          <w:rFonts w:asciiTheme="minorHAnsi" w:hAnsiTheme="minorHAnsi" w:cstheme="minorHAnsi"/>
        </w:rPr>
        <w:t>, which is higher than the 1% reasonability threshold</w:t>
      </w:r>
      <w:r w:rsidR="005D6EEF" w:rsidRPr="00971FF7">
        <w:rPr>
          <w:rFonts w:asciiTheme="minorHAnsi" w:hAnsiTheme="minorHAnsi" w:cstheme="minorHAnsi"/>
        </w:rPr>
        <w:t xml:space="preserve">.  </w:t>
      </w:r>
      <w:r w:rsidR="00971FF7" w:rsidRPr="00971FF7">
        <w:rPr>
          <w:rFonts w:asciiTheme="minorHAnsi" w:hAnsiTheme="minorHAnsi" w:cstheme="minorHAnsi"/>
        </w:rPr>
        <w:t xml:space="preserve">Analysis performed revealed an issue in the OEB approved loss factor.  During </w:t>
      </w:r>
      <w:proofErr w:type="spellStart"/>
      <w:r w:rsidR="00971FF7" w:rsidRPr="00971FF7">
        <w:rPr>
          <w:rFonts w:asciiTheme="minorHAnsi" w:hAnsiTheme="minorHAnsi" w:cstheme="minorHAnsi"/>
        </w:rPr>
        <w:t>InnPower’s</w:t>
      </w:r>
      <w:proofErr w:type="spellEnd"/>
      <w:r w:rsidR="00971FF7" w:rsidRPr="00971FF7">
        <w:rPr>
          <w:rFonts w:asciiTheme="minorHAnsi" w:hAnsiTheme="minorHAnsi" w:cstheme="minorHAnsi"/>
        </w:rPr>
        <w:t xml:space="preserve"> last Cost of Service (EB-2016-0085), the OEB found it appropriate to revise the load forecast for billed energy by using the recent five-year average of 1.0604 for the total loss factor.  The OEB found that losses based on a ten-year average overstates the recent trend in losses and understates the load forecast. </w:t>
      </w:r>
    </w:p>
    <w:p w14:paraId="17AA52AF" w14:textId="77777777" w:rsidR="00411333" w:rsidRPr="00971FF7" w:rsidRDefault="00411333" w:rsidP="00411333">
      <w:pPr>
        <w:pStyle w:val="Default"/>
        <w:rPr>
          <w:rFonts w:asciiTheme="minorHAnsi" w:hAnsiTheme="minorHAnsi" w:cstheme="minorHAnsi"/>
        </w:rPr>
      </w:pPr>
    </w:p>
    <w:p w14:paraId="4CFA80AC" w14:textId="10167B5C" w:rsidR="00971FF7" w:rsidRDefault="00971FF7" w:rsidP="00411333">
      <w:pPr>
        <w:pStyle w:val="Default"/>
        <w:rPr>
          <w:rFonts w:asciiTheme="minorHAnsi" w:hAnsiTheme="minorHAnsi" w:cstheme="minorHAnsi"/>
        </w:rPr>
      </w:pPr>
      <w:r w:rsidRPr="00971FF7">
        <w:rPr>
          <w:rFonts w:asciiTheme="minorHAnsi" w:hAnsiTheme="minorHAnsi" w:cstheme="minorHAnsi"/>
        </w:rPr>
        <w:t>In reviewing the historical data submitted in EB-2016-0085, there were several factors inaccurately reported for the years 2012 to 2016, including the Supply Facilities Loss Factor and Wholesale Consumption.  As such, the loss factor of 1.0604 for the period of 2017 to 2021 is understated.  In 202</w:t>
      </w:r>
      <w:r w:rsidR="002E1988">
        <w:rPr>
          <w:rFonts w:asciiTheme="minorHAnsi" w:hAnsiTheme="minorHAnsi" w:cstheme="minorHAnsi"/>
        </w:rPr>
        <w:t>1</w:t>
      </w:r>
      <w:r w:rsidRPr="00971FF7">
        <w:rPr>
          <w:rFonts w:asciiTheme="minorHAnsi" w:hAnsiTheme="minorHAnsi" w:cstheme="minorHAnsi"/>
        </w:rPr>
        <w:t xml:space="preserve">, InnPower has not appropriately collected funds to recover losses, resulting in an accumulation of costs not recovered in Account 1588. </w:t>
      </w:r>
    </w:p>
    <w:p w14:paraId="7A938FB7" w14:textId="77777777" w:rsidR="005B3B9D" w:rsidRDefault="005B3B9D" w:rsidP="005B3B9D">
      <w:pPr>
        <w:spacing w:after="0"/>
        <w:rPr>
          <w:sz w:val="24"/>
          <w:szCs w:val="24"/>
        </w:rPr>
      </w:pPr>
    </w:p>
    <w:p w14:paraId="09FD5C04" w14:textId="77777777" w:rsidR="005B3B9D" w:rsidRDefault="005B3B9D" w:rsidP="005B3B9D">
      <w:pPr>
        <w:spacing w:after="0"/>
        <w:rPr>
          <w:sz w:val="24"/>
          <w:szCs w:val="24"/>
        </w:rPr>
      </w:pPr>
      <w:r>
        <w:rPr>
          <w:sz w:val="24"/>
          <w:szCs w:val="24"/>
        </w:rPr>
        <w:t xml:space="preserve">The completed GA </w:t>
      </w:r>
      <w:proofErr w:type="spellStart"/>
      <w:r>
        <w:rPr>
          <w:sz w:val="24"/>
          <w:szCs w:val="24"/>
        </w:rPr>
        <w:t>Workform</w:t>
      </w:r>
      <w:proofErr w:type="spellEnd"/>
      <w:r>
        <w:rPr>
          <w:sz w:val="24"/>
          <w:szCs w:val="24"/>
        </w:rPr>
        <w:t xml:space="preserve"> model has </w:t>
      </w:r>
      <w:r w:rsidRPr="00EE32E5">
        <w:rPr>
          <w:sz w:val="24"/>
          <w:szCs w:val="24"/>
        </w:rPr>
        <w:t>been filed through portal.</w:t>
      </w:r>
      <w:r>
        <w:rPr>
          <w:sz w:val="24"/>
          <w:szCs w:val="24"/>
        </w:rPr>
        <w:t xml:space="preserve"> </w:t>
      </w:r>
    </w:p>
    <w:p w14:paraId="498725E7" w14:textId="77777777" w:rsidR="005B3B9D" w:rsidRDefault="005B3B9D" w:rsidP="00411333">
      <w:pPr>
        <w:pStyle w:val="Default"/>
        <w:rPr>
          <w:rFonts w:asciiTheme="minorHAnsi" w:hAnsiTheme="minorHAnsi" w:cstheme="minorHAnsi"/>
        </w:rPr>
      </w:pPr>
    </w:p>
    <w:p w14:paraId="4276EACF" w14:textId="5971EE18" w:rsidR="005B3B9D" w:rsidRDefault="005B3B9D" w:rsidP="00411333">
      <w:pPr>
        <w:pStyle w:val="Default"/>
        <w:rPr>
          <w:rFonts w:asciiTheme="minorHAnsi" w:hAnsiTheme="minorHAnsi" w:cstheme="minorHAnsi"/>
        </w:rPr>
      </w:pPr>
    </w:p>
    <w:p w14:paraId="2472F975" w14:textId="4370581B" w:rsidR="005B3B9D" w:rsidRPr="003C3EB9" w:rsidRDefault="005B3B9D" w:rsidP="005B3B9D">
      <w:pPr>
        <w:rPr>
          <w:sz w:val="24"/>
          <w:szCs w:val="24"/>
        </w:rPr>
      </w:pPr>
      <w:r w:rsidRPr="003C3EB9">
        <w:rPr>
          <w:sz w:val="24"/>
          <w:szCs w:val="24"/>
        </w:rPr>
        <w:lastRenderedPageBreak/>
        <w:t>Please refer to the following file for detailed calculations of the variance</w:t>
      </w:r>
      <w:r>
        <w:rPr>
          <w:sz w:val="24"/>
          <w:szCs w:val="24"/>
        </w:rPr>
        <w:t>s noted in the GA Analysis Work form</w:t>
      </w:r>
      <w:r w:rsidRPr="003C3EB9">
        <w:rPr>
          <w:sz w:val="24"/>
          <w:szCs w:val="24"/>
        </w:rPr>
        <w:t>:</w:t>
      </w:r>
    </w:p>
    <w:p w14:paraId="384C221C" w14:textId="18ECFB9C" w:rsidR="004979D9" w:rsidRPr="005B3B9D" w:rsidRDefault="005B3B9D" w:rsidP="005B3B9D">
      <w:pPr>
        <w:pStyle w:val="ListParagraph"/>
        <w:numPr>
          <w:ilvl w:val="0"/>
          <w:numId w:val="19"/>
        </w:numPr>
        <w:rPr>
          <w:sz w:val="24"/>
          <w:szCs w:val="24"/>
        </w:rPr>
      </w:pPr>
      <w:r w:rsidRPr="00E229A2">
        <w:rPr>
          <w:sz w:val="24"/>
          <w:szCs w:val="24"/>
        </w:rPr>
        <w:t>InnPower_2023_EB-2022-0043_Principal_Adjustments</w:t>
      </w:r>
      <w:r>
        <w:rPr>
          <w:sz w:val="24"/>
          <w:szCs w:val="24"/>
        </w:rPr>
        <w:t>_20220803</w:t>
      </w:r>
    </w:p>
    <w:p w14:paraId="39C7653C" w14:textId="01071E8E" w:rsidR="0021030A" w:rsidRDefault="0021030A" w:rsidP="00411333">
      <w:pPr>
        <w:spacing w:after="0"/>
        <w:rPr>
          <w:sz w:val="24"/>
          <w:szCs w:val="24"/>
        </w:rPr>
      </w:pPr>
    </w:p>
    <w:p w14:paraId="06CA6624" w14:textId="00A76C48" w:rsidR="00492BE2" w:rsidRDefault="00492BE2" w:rsidP="00B354A6">
      <w:pPr>
        <w:pStyle w:val="Heading3"/>
      </w:pPr>
      <w:bookmarkStart w:id="12" w:name="_Toc110425266"/>
      <w:r>
        <w:t>2.5.4 CBR Class B</w:t>
      </w:r>
      <w:bookmarkEnd w:id="12"/>
    </w:p>
    <w:p w14:paraId="31F1B909" w14:textId="36B87CAC" w:rsidR="00492BE2" w:rsidRDefault="00492BE2" w:rsidP="00B354A6">
      <w:pPr>
        <w:spacing w:after="0"/>
      </w:pPr>
    </w:p>
    <w:p w14:paraId="3967D802" w14:textId="25851A8F" w:rsidR="00483629" w:rsidRDefault="00483629" w:rsidP="00483629">
      <w:pPr>
        <w:rPr>
          <w:sz w:val="24"/>
          <w:szCs w:val="24"/>
        </w:rPr>
      </w:pPr>
      <w:r w:rsidRPr="008F412D">
        <w:rPr>
          <w:sz w:val="24"/>
          <w:szCs w:val="24"/>
        </w:rPr>
        <w:t xml:space="preserve">The resulting </w:t>
      </w:r>
      <w:r>
        <w:rPr>
          <w:sz w:val="24"/>
          <w:szCs w:val="24"/>
        </w:rPr>
        <w:t xml:space="preserve">CBR Class B rate riders for all Class B customers who did not transition between Class A and Class B in the period since the Account 1580, sub-account CBR Class B balance accumulated </w:t>
      </w:r>
      <w:r w:rsidRPr="008F412D">
        <w:rPr>
          <w:sz w:val="24"/>
          <w:szCs w:val="24"/>
        </w:rPr>
        <w:t>is as follows</w:t>
      </w:r>
      <w:r>
        <w:rPr>
          <w:sz w:val="24"/>
          <w:szCs w:val="24"/>
        </w:rPr>
        <w:t>:</w:t>
      </w:r>
    </w:p>
    <w:p w14:paraId="7E589E70" w14:textId="39952715" w:rsidR="00483629" w:rsidRDefault="0021030A" w:rsidP="003B73F0">
      <w:pPr>
        <w:spacing w:after="0"/>
        <w:rPr>
          <w:sz w:val="24"/>
          <w:szCs w:val="24"/>
        </w:rPr>
      </w:pPr>
      <w:r>
        <w:rPr>
          <w:noProof/>
        </w:rPr>
        <w:drawing>
          <wp:inline distT="0" distB="0" distL="0" distR="0" wp14:anchorId="6F84F159" wp14:editId="319D39F0">
            <wp:extent cx="5943600" cy="796290"/>
            <wp:effectExtent l="0" t="0" r="0" b="3810"/>
            <wp:docPr id="32" name="Picture 3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hart, scatter chart&#10;&#10;Description automatically generated"/>
                    <pic:cNvPicPr/>
                  </pic:nvPicPr>
                  <pic:blipFill>
                    <a:blip r:embed="rId18"/>
                    <a:stretch>
                      <a:fillRect/>
                    </a:stretch>
                  </pic:blipFill>
                  <pic:spPr>
                    <a:xfrm>
                      <a:off x="0" y="0"/>
                      <a:ext cx="5943600" cy="796290"/>
                    </a:xfrm>
                    <a:prstGeom prst="rect">
                      <a:avLst/>
                    </a:prstGeom>
                  </pic:spPr>
                </pic:pic>
              </a:graphicData>
            </a:graphic>
          </wp:inline>
        </w:drawing>
      </w:r>
    </w:p>
    <w:p w14:paraId="29B4B050" w14:textId="77777777" w:rsidR="00D33F7D" w:rsidRDefault="00D33F7D" w:rsidP="003B73F0">
      <w:pPr>
        <w:spacing w:after="0"/>
        <w:rPr>
          <w:sz w:val="24"/>
          <w:szCs w:val="24"/>
        </w:rPr>
      </w:pPr>
    </w:p>
    <w:p w14:paraId="5955B50E" w14:textId="77777777" w:rsidR="00D33F7D" w:rsidRPr="00D33F7D" w:rsidRDefault="00D33F7D" w:rsidP="003B73F0">
      <w:pPr>
        <w:pStyle w:val="ListParagraph"/>
        <w:keepNext/>
        <w:keepLines/>
        <w:numPr>
          <w:ilvl w:val="0"/>
          <w:numId w:val="18"/>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13" w:name="_Toc109651873"/>
      <w:bookmarkStart w:id="14" w:name="_Toc109819132"/>
      <w:bookmarkStart w:id="15" w:name="_Toc109820327"/>
      <w:bookmarkStart w:id="16" w:name="_Toc109825040"/>
      <w:bookmarkStart w:id="17" w:name="_Toc109911431"/>
      <w:bookmarkStart w:id="18" w:name="_Toc109912759"/>
      <w:bookmarkStart w:id="19" w:name="_Toc109912927"/>
      <w:bookmarkStart w:id="20" w:name="_Toc110424239"/>
      <w:bookmarkStart w:id="21" w:name="_Toc110425267"/>
      <w:bookmarkEnd w:id="13"/>
      <w:bookmarkEnd w:id="14"/>
      <w:bookmarkEnd w:id="15"/>
      <w:bookmarkEnd w:id="16"/>
      <w:bookmarkEnd w:id="17"/>
      <w:bookmarkEnd w:id="18"/>
      <w:bookmarkEnd w:id="19"/>
      <w:bookmarkEnd w:id="20"/>
      <w:bookmarkEnd w:id="21"/>
    </w:p>
    <w:p w14:paraId="1D1A60E9" w14:textId="77777777" w:rsidR="00D33F7D" w:rsidRPr="00D33F7D" w:rsidRDefault="00D33F7D" w:rsidP="003B73F0">
      <w:pPr>
        <w:pStyle w:val="ListParagraph"/>
        <w:keepNext/>
        <w:keepLines/>
        <w:numPr>
          <w:ilvl w:val="0"/>
          <w:numId w:val="18"/>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22" w:name="_Toc109651874"/>
      <w:bookmarkStart w:id="23" w:name="_Toc109819133"/>
      <w:bookmarkStart w:id="24" w:name="_Toc109820328"/>
      <w:bookmarkStart w:id="25" w:name="_Toc109825041"/>
      <w:bookmarkStart w:id="26" w:name="_Toc109911432"/>
      <w:bookmarkStart w:id="27" w:name="_Toc109912760"/>
      <w:bookmarkStart w:id="28" w:name="_Toc109912928"/>
      <w:bookmarkStart w:id="29" w:name="_Toc110424240"/>
      <w:bookmarkStart w:id="30" w:name="_Toc110425268"/>
      <w:bookmarkEnd w:id="22"/>
      <w:bookmarkEnd w:id="23"/>
      <w:bookmarkEnd w:id="24"/>
      <w:bookmarkEnd w:id="25"/>
      <w:bookmarkEnd w:id="26"/>
      <w:bookmarkEnd w:id="27"/>
      <w:bookmarkEnd w:id="28"/>
      <w:bookmarkEnd w:id="29"/>
      <w:bookmarkEnd w:id="30"/>
    </w:p>
    <w:p w14:paraId="01D9E0BF" w14:textId="77777777" w:rsidR="00D33F7D" w:rsidRPr="00D33F7D" w:rsidRDefault="00D33F7D" w:rsidP="003B73F0">
      <w:pPr>
        <w:pStyle w:val="ListParagraph"/>
        <w:keepNext/>
        <w:keepLines/>
        <w:numPr>
          <w:ilvl w:val="1"/>
          <w:numId w:val="18"/>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31" w:name="_Toc109651875"/>
      <w:bookmarkStart w:id="32" w:name="_Toc109819134"/>
      <w:bookmarkStart w:id="33" w:name="_Toc109820329"/>
      <w:bookmarkStart w:id="34" w:name="_Toc109825042"/>
      <w:bookmarkStart w:id="35" w:name="_Toc109911433"/>
      <w:bookmarkStart w:id="36" w:name="_Toc109912761"/>
      <w:bookmarkStart w:id="37" w:name="_Toc109912929"/>
      <w:bookmarkStart w:id="38" w:name="_Toc110424241"/>
      <w:bookmarkStart w:id="39" w:name="_Toc110425269"/>
      <w:bookmarkEnd w:id="31"/>
      <w:bookmarkEnd w:id="32"/>
      <w:bookmarkEnd w:id="33"/>
      <w:bookmarkEnd w:id="34"/>
      <w:bookmarkEnd w:id="35"/>
      <w:bookmarkEnd w:id="36"/>
      <w:bookmarkEnd w:id="37"/>
      <w:bookmarkEnd w:id="38"/>
      <w:bookmarkEnd w:id="39"/>
    </w:p>
    <w:p w14:paraId="0755366A" w14:textId="77777777" w:rsidR="00D33F7D" w:rsidRPr="00D33F7D" w:rsidRDefault="00D33F7D" w:rsidP="003B73F0">
      <w:pPr>
        <w:pStyle w:val="ListParagraph"/>
        <w:keepNext/>
        <w:keepLines/>
        <w:numPr>
          <w:ilvl w:val="1"/>
          <w:numId w:val="18"/>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40" w:name="_Toc109651876"/>
      <w:bookmarkStart w:id="41" w:name="_Toc109819135"/>
      <w:bookmarkStart w:id="42" w:name="_Toc109820330"/>
      <w:bookmarkStart w:id="43" w:name="_Toc109825043"/>
      <w:bookmarkStart w:id="44" w:name="_Toc109911434"/>
      <w:bookmarkStart w:id="45" w:name="_Toc109912762"/>
      <w:bookmarkStart w:id="46" w:name="_Toc109912930"/>
      <w:bookmarkStart w:id="47" w:name="_Toc110424242"/>
      <w:bookmarkStart w:id="48" w:name="_Toc110425270"/>
      <w:bookmarkEnd w:id="40"/>
      <w:bookmarkEnd w:id="41"/>
      <w:bookmarkEnd w:id="42"/>
      <w:bookmarkEnd w:id="43"/>
      <w:bookmarkEnd w:id="44"/>
      <w:bookmarkEnd w:id="45"/>
      <w:bookmarkEnd w:id="46"/>
      <w:bookmarkEnd w:id="47"/>
      <w:bookmarkEnd w:id="48"/>
    </w:p>
    <w:p w14:paraId="28BCED9B" w14:textId="77777777" w:rsidR="00D33F7D" w:rsidRPr="00D33F7D" w:rsidRDefault="00D33F7D" w:rsidP="003B73F0">
      <w:pPr>
        <w:pStyle w:val="ListParagraph"/>
        <w:keepNext/>
        <w:keepLines/>
        <w:numPr>
          <w:ilvl w:val="1"/>
          <w:numId w:val="18"/>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49" w:name="_Toc109651877"/>
      <w:bookmarkStart w:id="50" w:name="_Toc109819136"/>
      <w:bookmarkStart w:id="51" w:name="_Toc109820331"/>
      <w:bookmarkStart w:id="52" w:name="_Toc109825044"/>
      <w:bookmarkStart w:id="53" w:name="_Toc109911435"/>
      <w:bookmarkStart w:id="54" w:name="_Toc109912763"/>
      <w:bookmarkStart w:id="55" w:name="_Toc109912931"/>
      <w:bookmarkStart w:id="56" w:name="_Toc110424243"/>
      <w:bookmarkStart w:id="57" w:name="_Toc110425271"/>
      <w:bookmarkEnd w:id="49"/>
      <w:bookmarkEnd w:id="50"/>
      <w:bookmarkEnd w:id="51"/>
      <w:bookmarkEnd w:id="52"/>
      <w:bookmarkEnd w:id="53"/>
      <w:bookmarkEnd w:id="54"/>
      <w:bookmarkEnd w:id="55"/>
      <w:bookmarkEnd w:id="56"/>
      <w:bookmarkEnd w:id="57"/>
    </w:p>
    <w:p w14:paraId="1B9A664F" w14:textId="77777777" w:rsidR="00D33F7D" w:rsidRPr="00D33F7D" w:rsidRDefault="00D33F7D" w:rsidP="003B73F0">
      <w:pPr>
        <w:pStyle w:val="ListParagraph"/>
        <w:keepNext/>
        <w:keepLines/>
        <w:numPr>
          <w:ilvl w:val="1"/>
          <w:numId w:val="18"/>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58" w:name="_Toc109651878"/>
      <w:bookmarkStart w:id="59" w:name="_Toc109819137"/>
      <w:bookmarkStart w:id="60" w:name="_Toc109820332"/>
      <w:bookmarkStart w:id="61" w:name="_Toc109825045"/>
      <w:bookmarkStart w:id="62" w:name="_Toc109911436"/>
      <w:bookmarkStart w:id="63" w:name="_Toc109912764"/>
      <w:bookmarkStart w:id="64" w:name="_Toc109912932"/>
      <w:bookmarkStart w:id="65" w:name="_Toc110424244"/>
      <w:bookmarkStart w:id="66" w:name="_Toc110425272"/>
      <w:bookmarkEnd w:id="58"/>
      <w:bookmarkEnd w:id="59"/>
      <w:bookmarkEnd w:id="60"/>
      <w:bookmarkEnd w:id="61"/>
      <w:bookmarkEnd w:id="62"/>
      <w:bookmarkEnd w:id="63"/>
      <w:bookmarkEnd w:id="64"/>
      <w:bookmarkEnd w:id="65"/>
      <w:bookmarkEnd w:id="66"/>
    </w:p>
    <w:p w14:paraId="5BE7BDAC" w14:textId="77777777" w:rsidR="00D33F7D" w:rsidRPr="00D33F7D" w:rsidRDefault="00D33F7D" w:rsidP="003B73F0">
      <w:pPr>
        <w:pStyle w:val="ListParagraph"/>
        <w:keepNext/>
        <w:keepLines/>
        <w:numPr>
          <w:ilvl w:val="1"/>
          <w:numId w:val="18"/>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67" w:name="_Toc109651879"/>
      <w:bookmarkStart w:id="68" w:name="_Toc109819138"/>
      <w:bookmarkStart w:id="69" w:name="_Toc109820333"/>
      <w:bookmarkStart w:id="70" w:name="_Toc109825046"/>
      <w:bookmarkStart w:id="71" w:name="_Toc109911437"/>
      <w:bookmarkStart w:id="72" w:name="_Toc109912765"/>
      <w:bookmarkStart w:id="73" w:name="_Toc109912933"/>
      <w:bookmarkStart w:id="74" w:name="_Toc110424245"/>
      <w:bookmarkStart w:id="75" w:name="_Toc110425273"/>
      <w:bookmarkEnd w:id="67"/>
      <w:bookmarkEnd w:id="68"/>
      <w:bookmarkEnd w:id="69"/>
      <w:bookmarkEnd w:id="70"/>
      <w:bookmarkEnd w:id="71"/>
      <w:bookmarkEnd w:id="72"/>
      <w:bookmarkEnd w:id="73"/>
      <w:bookmarkEnd w:id="74"/>
      <w:bookmarkEnd w:id="75"/>
    </w:p>
    <w:p w14:paraId="13DCB299" w14:textId="423EE3B3" w:rsidR="00D33F7D" w:rsidRDefault="00D33F7D" w:rsidP="003B73F0">
      <w:pPr>
        <w:pStyle w:val="Heading2"/>
        <w:numPr>
          <w:ilvl w:val="1"/>
          <w:numId w:val="18"/>
        </w:numPr>
      </w:pPr>
      <w:bookmarkStart w:id="76" w:name="_Toc110425274"/>
      <w:r>
        <w:t>Group 2 Deferral and Variance Account Balances</w:t>
      </w:r>
      <w:bookmarkEnd w:id="76"/>
    </w:p>
    <w:p w14:paraId="2DC65620" w14:textId="77777777" w:rsidR="00E17953" w:rsidRDefault="00E17953" w:rsidP="00E44C06">
      <w:pPr>
        <w:spacing w:after="0"/>
        <w:rPr>
          <w:sz w:val="24"/>
          <w:szCs w:val="24"/>
        </w:rPr>
      </w:pPr>
    </w:p>
    <w:p w14:paraId="62FBF565" w14:textId="6FC23113" w:rsidR="00ED60A2" w:rsidRDefault="00E17953" w:rsidP="00E44C06">
      <w:pPr>
        <w:spacing w:after="0"/>
        <w:rPr>
          <w:sz w:val="24"/>
          <w:szCs w:val="24"/>
        </w:rPr>
      </w:pPr>
      <w:r>
        <w:rPr>
          <w:sz w:val="24"/>
          <w:szCs w:val="24"/>
        </w:rPr>
        <w:t>In a letter dated December 10, 2021</w:t>
      </w:r>
      <w:r w:rsidR="008C35C5">
        <w:rPr>
          <w:sz w:val="24"/>
          <w:szCs w:val="24"/>
        </w:rPr>
        <w:t xml:space="preserve"> (EB-20</w:t>
      </w:r>
      <w:r w:rsidR="00E95B80">
        <w:rPr>
          <w:sz w:val="24"/>
          <w:szCs w:val="24"/>
        </w:rPr>
        <w:t>22</w:t>
      </w:r>
      <w:r w:rsidR="008C35C5">
        <w:rPr>
          <w:sz w:val="24"/>
          <w:szCs w:val="24"/>
        </w:rPr>
        <w:t>-00</w:t>
      </w:r>
      <w:r w:rsidR="00E95B80">
        <w:rPr>
          <w:sz w:val="24"/>
          <w:szCs w:val="24"/>
        </w:rPr>
        <w:t>43</w:t>
      </w:r>
      <w:r w:rsidR="008C35C5">
        <w:rPr>
          <w:sz w:val="24"/>
          <w:szCs w:val="24"/>
        </w:rPr>
        <w:t>)</w:t>
      </w:r>
      <w:r>
        <w:rPr>
          <w:sz w:val="24"/>
          <w:szCs w:val="24"/>
        </w:rPr>
        <w:t xml:space="preserve">, </w:t>
      </w:r>
      <w:r w:rsidRPr="00E17953">
        <w:rPr>
          <w:sz w:val="24"/>
          <w:szCs w:val="24"/>
        </w:rPr>
        <w:t>I</w:t>
      </w:r>
      <w:r>
        <w:rPr>
          <w:sz w:val="24"/>
          <w:szCs w:val="24"/>
        </w:rPr>
        <w:t xml:space="preserve">PC submitted a request to defer its </w:t>
      </w:r>
      <w:r w:rsidR="004433E7">
        <w:rPr>
          <w:sz w:val="24"/>
          <w:szCs w:val="24"/>
        </w:rPr>
        <w:t>cost-of-service</w:t>
      </w:r>
      <w:r>
        <w:rPr>
          <w:sz w:val="24"/>
          <w:szCs w:val="24"/>
        </w:rPr>
        <w:t xml:space="preserve"> application until January 1, 2024</w:t>
      </w:r>
      <w:r w:rsidR="00220CBF">
        <w:rPr>
          <w:sz w:val="24"/>
          <w:szCs w:val="24"/>
        </w:rPr>
        <w:t>, while continuing on the Price Cap IR stream.  In a letter dated February 10, 2022 (EB-202</w:t>
      </w:r>
      <w:r w:rsidR="00E95B80">
        <w:rPr>
          <w:sz w:val="24"/>
          <w:szCs w:val="24"/>
        </w:rPr>
        <w:t>2</w:t>
      </w:r>
      <w:r w:rsidR="00220CBF">
        <w:rPr>
          <w:sz w:val="24"/>
          <w:szCs w:val="24"/>
        </w:rPr>
        <w:t>-0043), the OEB approved the request to defer its 2023 cost of service application.  Additionally, the OEB has requested InnPower seek disposition of a Group 2 account</w:t>
      </w:r>
      <w:r w:rsidR="004D2023">
        <w:rPr>
          <w:sz w:val="24"/>
          <w:szCs w:val="24"/>
        </w:rPr>
        <w:t xml:space="preserve"> in</w:t>
      </w:r>
      <w:r w:rsidR="00333C26">
        <w:rPr>
          <w:sz w:val="24"/>
          <w:szCs w:val="24"/>
        </w:rPr>
        <w:t xml:space="preserve"> the amount of ($67,453) in</w:t>
      </w:r>
      <w:r w:rsidR="004D2023">
        <w:rPr>
          <w:sz w:val="24"/>
          <w:szCs w:val="24"/>
        </w:rPr>
        <w:t xml:space="preserve"> its 2023 rate application,</w:t>
      </w:r>
      <w:r w:rsidR="00220CBF">
        <w:rPr>
          <w:sz w:val="24"/>
          <w:szCs w:val="24"/>
        </w:rPr>
        <w:t xml:space="preserve"> which is normally </w:t>
      </w:r>
      <w:r w:rsidR="00D82EED">
        <w:rPr>
          <w:sz w:val="24"/>
          <w:szCs w:val="24"/>
        </w:rPr>
        <w:t xml:space="preserve">disposed </w:t>
      </w:r>
      <w:r w:rsidR="00DA595C">
        <w:rPr>
          <w:sz w:val="24"/>
          <w:szCs w:val="24"/>
        </w:rPr>
        <w:t>of during a rebasing application</w:t>
      </w:r>
      <w:r w:rsidR="00510A9E">
        <w:rPr>
          <w:sz w:val="24"/>
          <w:szCs w:val="24"/>
        </w:rPr>
        <w:t xml:space="preserve"> (see Appendix C)</w:t>
      </w:r>
      <w:r w:rsidR="00DA595C">
        <w:rPr>
          <w:sz w:val="24"/>
          <w:szCs w:val="24"/>
        </w:rPr>
        <w:t>.</w:t>
      </w:r>
      <w:r w:rsidR="00236517">
        <w:rPr>
          <w:sz w:val="24"/>
          <w:szCs w:val="24"/>
        </w:rPr>
        <w:t xml:space="preserve">  </w:t>
      </w:r>
    </w:p>
    <w:p w14:paraId="4345D14E" w14:textId="0D23AC02" w:rsidR="00ED60A2" w:rsidRPr="00333C26" w:rsidRDefault="00ED60A2" w:rsidP="00E44C06">
      <w:pPr>
        <w:spacing w:after="0"/>
        <w:rPr>
          <w:b/>
          <w:bCs/>
          <w:sz w:val="24"/>
          <w:szCs w:val="24"/>
        </w:rPr>
      </w:pPr>
    </w:p>
    <w:p w14:paraId="2C8A7828" w14:textId="22CB708B" w:rsidR="00333C26" w:rsidRPr="00333C26" w:rsidRDefault="00333C26" w:rsidP="003B57C0">
      <w:pPr>
        <w:rPr>
          <w:b/>
          <w:bCs/>
          <w:sz w:val="24"/>
          <w:szCs w:val="24"/>
        </w:rPr>
      </w:pPr>
      <w:r w:rsidRPr="00333C26">
        <w:rPr>
          <w:b/>
          <w:bCs/>
          <w:sz w:val="24"/>
          <w:szCs w:val="24"/>
        </w:rPr>
        <w:t>Background</w:t>
      </w:r>
    </w:p>
    <w:p w14:paraId="5008E99B" w14:textId="6A12D86E" w:rsidR="004433E7" w:rsidRDefault="00ED60A2" w:rsidP="003B57C0">
      <w:pPr>
        <w:spacing w:after="0"/>
        <w:rPr>
          <w:sz w:val="24"/>
          <w:szCs w:val="24"/>
        </w:rPr>
      </w:pPr>
      <w:r>
        <w:rPr>
          <w:sz w:val="24"/>
          <w:szCs w:val="24"/>
        </w:rPr>
        <w:t>In the</w:t>
      </w:r>
      <w:r w:rsidR="00AD321B">
        <w:rPr>
          <w:sz w:val="24"/>
          <w:szCs w:val="24"/>
        </w:rPr>
        <w:t xml:space="preserve"> </w:t>
      </w:r>
      <w:r>
        <w:rPr>
          <w:sz w:val="24"/>
          <w:szCs w:val="24"/>
        </w:rPr>
        <w:t xml:space="preserve">Decision and Order </w:t>
      </w:r>
      <w:r w:rsidR="00AD321B">
        <w:rPr>
          <w:sz w:val="24"/>
          <w:szCs w:val="24"/>
        </w:rPr>
        <w:t>for</w:t>
      </w:r>
      <w:r>
        <w:rPr>
          <w:sz w:val="24"/>
          <w:szCs w:val="24"/>
        </w:rPr>
        <w:t xml:space="preserve"> IPC’s last cost</w:t>
      </w:r>
      <w:r w:rsidR="004433E7">
        <w:rPr>
          <w:sz w:val="24"/>
          <w:szCs w:val="24"/>
        </w:rPr>
        <w:t>-</w:t>
      </w:r>
      <w:r>
        <w:rPr>
          <w:sz w:val="24"/>
          <w:szCs w:val="24"/>
        </w:rPr>
        <w:t>of</w:t>
      </w:r>
      <w:r w:rsidR="004433E7">
        <w:rPr>
          <w:sz w:val="24"/>
          <w:szCs w:val="24"/>
        </w:rPr>
        <w:t>-</w:t>
      </w:r>
      <w:r>
        <w:rPr>
          <w:sz w:val="24"/>
          <w:szCs w:val="24"/>
        </w:rPr>
        <w:t>service proceeding</w:t>
      </w:r>
      <w:r w:rsidR="002105EE">
        <w:rPr>
          <w:sz w:val="24"/>
          <w:szCs w:val="24"/>
        </w:rPr>
        <w:t xml:space="preserve"> (EB-2016-0085)</w:t>
      </w:r>
      <w:r>
        <w:rPr>
          <w:sz w:val="24"/>
          <w:szCs w:val="24"/>
        </w:rPr>
        <w:t xml:space="preserve">, the OEB stated it would undertake an audit of the affiliate transactions to ensure the allocation of costs and approach to costing and applicable revenue complies with the Affiliate Relationship Code (ARC).  </w:t>
      </w:r>
      <w:r w:rsidR="00E9289B">
        <w:rPr>
          <w:sz w:val="24"/>
          <w:szCs w:val="24"/>
        </w:rPr>
        <w:t>Additionally, t</w:t>
      </w:r>
      <w:r w:rsidR="007D2FBC">
        <w:rPr>
          <w:sz w:val="24"/>
          <w:szCs w:val="24"/>
        </w:rPr>
        <w:t xml:space="preserve">wo new variance accounts were </w:t>
      </w:r>
      <w:r w:rsidR="00E9289B">
        <w:rPr>
          <w:sz w:val="24"/>
          <w:szCs w:val="24"/>
        </w:rPr>
        <w:t xml:space="preserve">created </w:t>
      </w:r>
      <w:r w:rsidR="007D2FBC">
        <w:rPr>
          <w:sz w:val="24"/>
          <w:szCs w:val="24"/>
        </w:rPr>
        <w:t>to account for the difference between the approved forecast</w:t>
      </w:r>
      <w:r w:rsidR="00E9289B">
        <w:rPr>
          <w:sz w:val="24"/>
          <w:szCs w:val="24"/>
        </w:rPr>
        <w:t>ed</w:t>
      </w:r>
      <w:r w:rsidR="007D2FBC">
        <w:rPr>
          <w:sz w:val="24"/>
          <w:szCs w:val="24"/>
        </w:rPr>
        <w:t xml:space="preserve"> affiliate revenues</w:t>
      </w:r>
      <w:r w:rsidR="00E9289B">
        <w:rPr>
          <w:sz w:val="24"/>
          <w:szCs w:val="24"/>
        </w:rPr>
        <w:t>/costs</w:t>
      </w:r>
      <w:r w:rsidR="007D2FBC">
        <w:rPr>
          <w:sz w:val="24"/>
          <w:szCs w:val="24"/>
        </w:rPr>
        <w:t xml:space="preserve"> and actual</w:t>
      </w:r>
      <w:r w:rsidR="00E9289B">
        <w:rPr>
          <w:sz w:val="24"/>
          <w:szCs w:val="24"/>
        </w:rPr>
        <w:t xml:space="preserve"> </w:t>
      </w:r>
      <w:r w:rsidR="007D2FBC">
        <w:rPr>
          <w:sz w:val="24"/>
          <w:szCs w:val="24"/>
        </w:rPr>
        <w:t>revenues</w:t>
      </w:r>
      <w:r w:rsidR="00E9289B">
        <w:rPr>
          <w:sz w:val="24"/>
          <w:szCs w:val="24"/>
        </w:rPr>
        <w:t>/fully allocated costs</w:t>
      </w:r>
      <w:r w:rsidR="007D2FBC">
        <w:rPr>
          <w:sz w:val="24"/>
          <w:szCs w:val="24"/>
        </w:rPr>
        <w:t xml:space="preserve"> (as determined by the audit)</w:t>
      </w:r>
      <w:r w:rsidR="003450E4">
        <w:rPr>
          <w:sz w:val="24"/>
          <w:szCs w:val="24"/>
        </w:rPr>
        <w:t xml:space="preserve"> </w:t>
      </w:r>
      <w:r w:rsidR="003450E4" w:rsidRPr="00E63ADB">
        <w:rPr>
          <w:sz w:val="24"/>
          <w:szCs w:val="24"/>
        </w:rPr>
        <w:t xml:space="preserve">(see Appendix </w:t>
      </w:r>
      <w:r w:rsidR="00510A9E">
        <w:rPr>
          <w:sz w:val="24"/>
          <w:szCs w:val="24"/>
        </w:rPr>
        <w:t>D</w:t>
      </w:r>
      <w:r w:rsidR="003450E4" w:rsidRPr="00E63ADB">
        <w:rPr>
          <w:sz w:val="24"/>
          <w:szCs w:val="24"/>
        </w:rPr>
        <w:t>: Section 3.</w:t>
      </w:r>
      <w:r w:rsidR="003450E4">
        <w:rPr>
          <w:sz w:val="24"/>
          <w:szCs w:val="24"/>
        </w:rPr>
        <w:t>7</w:t>
      </w:r>
      <w:r w:rsidR="003450E4" w:rsidRPr="00E63ADB">
        <w:rPr>
          <w:sz w:val="24"/>
          <w:szCs w:val="24"/>
        </w:rPr>
        <w:t xml:space="preserve"> of EB-2016-0085).</w:t>
      </w:r>
      <w:r w:rsidR="003450E4" w:rsidRPr="00D33F7D">
        <w:rPr>
          <w:sz w:val="24"/>
          <w:szCs w:val="24"/>
        </w:rPr>
        <w:t xml:space="preserve">  </w:t>
      </w:r>
    </w:p>
    <w:p w14:paraId="74EDDFE8" w14:textId="77777777" w:rsidR="004433E7" w:rsidRDefault="004433E7" w:rsidP="003B57C0">
      <w:pPr>
        <w:spacing w:after="0"/>
        <w:rPr>
          <w:sz w:val="24"/>
          <w:szCs w:val="24"/>
        </w:rPr>
      </w:pPr>
    </w:p>
    <w:p w14:paraId="0563AFB2" w14:textId="3728EB34" w:rsidR="00ED60A2" w:rsidRDefault="001A455F" w:rsidP="003B57C0">
      <w:pPr>
        <w:spacing w:after="0"/>
        <w:rPr>
          <w:sz w:val="24"/>
          <w:szCs w:val="24"/>
        </w:rPr>
      </w:pPr>
      <w:r>
        <w:rPr>
          <w:sz w:val="24"/>
          <w:szCs w:val="24"/>
        </w:rPr>
        <w:t>In a letter dated April 9, 2019, the OEB</w:t>
      </w:r>
      <w:r w:rsidR="002105EE">
        <w:rPr>
          <w:sz w:val="24"/>
          <w:szCs w:val="24"/>
        </w:rPr>
        <w:t xml:space="preserve"> finalized the audit and</w:t>
      </w:r>
      <w:r>
        <w:rPr>
          <w:sz w:val="24"/>
          <w:szCs w:val="24"/>
        </w:rPr>
        <w:t xml:space="preserve"> requested </w:t>
      </w:r>
      <w:r w:rsidR="003B57C0">
        <w:rPr>
          <w:sz w:val="24"/>
          <w:szCs w:val="24"/>
        </w:rPr>
        <w:t xml:space="preserve">that </w:t>
      </w:r>
      <w:r>
        <w:rPr>
          <w:sz w:val="24"/>
          <w:szCs w:val="24"/>
        </w:rPr>
        <w:t xml:space="preserve">InnPower record </w:t>
      </w:r>
      <w:r w:rsidR="007D2FBC">
        <w:rPr>
          <w:sz w:val="24"/>
          <w:szCs w:val="24"/>
        </w:rPr>
        <w:t>$162,871 in the variance account for affiliate revenues and $95,418 in the variance account for affiliate expenses</w:t>
      </w:r>
      <w:r w:rsidR="0042745F">
        <w:rPr>
          <w:sz w:val="24"/>
          <w:szCs w:val="24"/>
        </w:rPr>
        <w:t xml:space="preserve">, </w:t>
      </w:r>
      <w:r>
        <w:rPr>
          <w:sz w:val="24"/>
          <w:szCs w:val="24"/>
        </w:rPr>
        <w:t>as of December 31, 2018</w:t>
      </w:r>
      <w:r w:rsidR="007D2FBC">
        <w:rPr>
          <w:sz w:val="24"/>
          <w:szCs w:val="24"/>
        </w:rPr>
        <w:t xml:space="preserve">.  The net impact is a credit of $67,453 in additional revenue offsets, </w:t>
      </w:r>
      <w:r w:rsidR="007D2FBC" w:rsidRPr="00FB4785">
        <w:rPr>
          <w:sz w:val="24"/>
          <w:szCs w:val="24"/>
        </w:rPr>
        <w:t>which IPC is requesting for disposition in the current application</w:t>
      </w:r>
      <w:r w:rsidR="005A550D" w:rsidRPr="00FB4785">
        <w:rPr>
          <w:sz w:val="24"/>
          <w:szCs w:val="24"/>
        </w:rPr>
        <w:t xml:space="preserve"> (see Appendix </w:t>
      </w:r>
      <w:r w:rsidR="00510A9E">
        <w:rPr>
          <w:sz w:val="24"/>
          <w:szCs w:val="24"/>
        </w:rPr>
        <w:t>E</w:t>
      </w:r>
      <w:r w:rsidR="005A550D" w:rsidRPr="00FB4785">
        <w:rPr>
          <w:sz w:val="24"/>
          <w:szCs w:val="24"/>
        </w:rPr>
        <w:t>).</w:t>
      </w:r>
      <w:r w:rsidR="005A550D" w:rsidRPr="00D33F7D">
        <w:rPr>
          <w:sz w:val="24"/>
          <w:szCs w:val="24"/>
        </w:rPr>
        <w:t xml:space="preserve">  </w:t>
      </w:r>
      <w:r w:rsidR="00AA31CE">
        <w:rPr>
          <w:sz w:val="24"/>
          <w:szCs w:val="24"/>
        </w:rPr>
        <w:t xml:space="preserve">Additionally, IPC has incurred ($9,392.29) in interest for affiliate revenue and $5,656.32 in </w:t>
      </w:r>
      <w:r w:rsidR="00AA31CE">
        <w:rPr>
          <w:sz w:val="24"/>
          <w:szCs w:val="24"/>
        </w:rPr>
        <w:lastRenderedPageBreak/>
        <w:t xml:space="preserve">interest for affiliate expenses from January 1, </w:t>
      </w:r>
      <w:proofErr w:type="gramStart"/>
      <w:r w:rsidR="00AA31CE">
        <w:rPr>
          <w:sz w:val="24"/>
          <w:szCs w:val="24"/>
        </w:rPr>
        <w:t>2018</w:t>
      </w:r>
      <w:proofErr w:type="gramEnd"/>
      <w:r w:rsidR="00AA31CE">
        <w:rPr>
          <w:sz w:val="24"/>
          <w:szCs w:val="24"/>
        </w:rPr>
        <w:t xml:space="preserve"> to December 31, 2021.</w:t>
      </w:r>
      <w:r w:rsidR="00291186">
        <w:rPr>
          <w:sz w:val="24"/>
          <w:szCs w:val="24"/>
        </w:rPr>
        <w:t xml:space="preserve">  The projected interest from January 1, </w:t>
      </w:r>
      <w:proofErr w:type="gramStart"/>
      <w:r w:rsidR="00291186">
        <w:rPr>
          <w:sz w:val="24"/>
          <w:szCs w:val="24"/>
        </w:rPr>
        <w:t>2022</w:t>
      </w:r>
      <w:proofErr w:type="gramEnd"/>
      <w:r w:rsidR="00291186">
        <w:rPr>
          <w:sz w:val="24"/>
          <w:szCs w:val="24"/>
        </w:rPr>
        <w:t xml:space="preserve"> to December 31, 2022 is ($2,438.99) for affiliate revenue and $1,428.88 for affiliate expenses.  The total net amount of interest is ($4,746.08), which IPC is </w:t>
      </w:r>
      <w:r w:rsidR="007F3CA4">
        <w:rPr>
          <w:sz w:val="24"/>
          <w:szCs w:val="24"/>
        </w:rPr>
        <w:t xml:space="preserve">also </w:t>
      </w:r>
      <w:r w:rsidR="00291186">
        <w:rPr>
          <w:sz w:val="24"/>
          <w:szCs w:val="24"/>
        </w:rPr>
        <w:t xml:space="preserve">requesting for disposition in the current application. </w:t>
      </w:r>
    </w:p>
    <w:p w14:paraId="3D7A39C5" w14:textId="373E7A2E" w:rsidR="007D2FBC" w:rsidRDefault="007D2FBC" w:rsidP="00E44C06">
      <w:pPr>
        <w:spacing w:after="0"/>
        <w:rPr>
          <w:sz w:val="24"/>
          <w:szCs w:val="24"/>
        </w:rPr>
      </w:pPr>
    </w:p>
    <w:p w14:paraId="4A5AB2B9" w14:textId="77777777" w:rsidR="00C41DC2" w:rsidRDefault="00C41DC2" w:rsidP="00E44C06">
      <w:pPr>
        <w:pStyle w:val="Heading2"/>
        <w:numPr>
          <w:ilvl w:val="1"/>
          <w:numId w:val="18"/>
        </w:numPr>
      </w:pPr>
      <w:bookmarkStart w:id="77" w:name="_Toc110425275"/>
      <w:r>
        <w:t>LRAM Variance Account (LRAMVA)</w:t>
      </w:r>
      <w:bookmarkEnd w:id="77"/>
    </w:p>
    <w:p w14:paraId="14874750" w14:textId="77777777" w:rsidR="00C41DC2" w:rsidRDefault="00C41DC2" w:rsidP="00E44C06">
      <w:pPr>
        <w:spacing w:after="0"/>
      </w:pPr>
    </w:p>
    <w:p w14:paraId="24C79551" w14:textId="0197FAF2" w:rsidR="00C41DC2" w:rsidRDefault="00066A00" w:rsidP="00E44C06">
      <w:pPr>
        <w:spacing w:after="0"/>
        <w:rPr>
          <w:sz w:val="24"/>
          <w:szCs w:val="24"/>
        </w:rPr>
      </w:pPr>
      <w:r w:rsidRPr="00066A00">
        <w:rPr>
          <w:sz w:val="24"/>
          <w:szCs w:val="24"/>
        </w:rPr>
        <w:t>IPC has no LRAMVA claims in this application.</w:t>
      </w:r>
    </w:p>
    <w:p w14:paraId="3E82BCE1" w14:textId="77777777" w:rsidR="00CA05DA" w:rsidRDefault="00CA05DA" w:rsidP="00F93EDD">
      <w:pPr>
        <w:spacing w:after="0"/>
        <w:rPr>
          <w:sz w:val="24"/>
          <w:szCs w:val="24"/>
        </w:rPr>
      </w:pPr>
    </w:p>
    <w:p w14:paraId="093DB89E" w14:textId="77777777" w:rsidR="00C41DC2" w:rsidRDefault="00C41DC2" w:rsidP="00D33F7D">
      <w:pPr>
        <w:pStyle w:val="Heading2"/>
        <w:numPr>
          <w:ilvl w:val="1"/>
          <w:numId w:val="18"/>
        </w:numPr>
      </w:pPr>
      <w:bookmarkStart w:id="78" w:name="_Toc110425276"/>
      <w:r>
        <w:t>Tax Changes</w:t>
      </w:r>
      <w:bookmarkEnd w:id="78"/>
    </w:p>
    <w:p w14:paraId="1FE03B0D" w14:textId="77777777" w:rsidR="00CA222C" w:rsidRPr="00CA222C" w:rsidRDefault="00CA222C" w:rsidP="00F93EDD">
      <w:pPr>
        <w:spacing w:after="0"/>
      </w:pPr>
    </w:p>
    <w:p w14:paraId="7846174B" w14:textId="1E736803" w:rsidR="00C41DC2" w:rsidRDefault="001C47BD" w:rsidP="00F93EDD">
      <w:pPr>
        <w:spacing w:after="0"/>
        <w:rPr>
          <w:sz w:val="24"/>
          <w:szCs w:val="24"/>
        </w:rPr>
      </w:pPr>
      <w:r>
        <w:rPr>
          <w:sz w:val="24"/>
          <w:szCs w:val="24"/>
        </w:rPr>
        <w:t xml:space="preserve">IPC has completed Tab 8.STS – Tax Change </w:t>
      </w:r>
      <w:r w:rsidR="00E337AC">
        <w:rPr>
          <w:sz w:val="24"/>
          <w:szCs w:val="24"/>
        </w:rPr>
        <w:t>that</w:t>
      </w:r>
      <w:r>
        <w:rPr>
          <w:sz w:val="24"/>
          <w:szCs w:val="24"/>
        </w:rPr>
        <w:t xml:space="preserve"> has identified a Shared Tax amount of $</w:t>
      </w:r>
      <w:r w:rsidR="00C47B99">
        <w:rPr>
          <w:sz w:val="24"/>
          <w:szCs w:val="24"/>
        </w:rPr>
        <w:t>0</w:t>
      </w:r>
      <w:r>
        <w:rPr>
          <w:sz w:val="24"/>
          <w:szCs w:val="24"/>
        </w:rPr>
        <w:t xml:space="preserve">.  The resulting amount did not produce a Rate Rider in all of IPC’s rate classes. </w:t>
      </w:r>
    </w:p>
    <w:p w14:paraId="4C69FCF4" w14:textId="5BA103FC" w:rsidR="007D06FC" w:rsidRDefault="007D06FC" w:rsidP="00F93EDD">
      <w:pPr>
        <w:spacing w:after="0"/>
        <w:rPr>
          <w:sz w:val="24"/>
          <w:szCs w:val="24"/>
        </w:rPr>
      </w:pPr>
      <w:r>
        <w:rPr>
          <w:noProof/>
        </w:rPr>
        <w:drawing>
          <wp:inline distT="0" distB="0" distL="0" distR="0" wp14:anchorId="4B22C997" wp14:editId="0ED92007">
            <wp:extent cx="5943600" cy="1160780"/>
            <wp:effectExtent l="0" t="0" r="0" b="1270"/>
            <wp:docPr id="22" name="Picture 2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graphical user interface&#10;&#10;Description automatically generated"/>
                    <pic:cNvPicPr/>
                  </pic:nvPicPr>
                  <pic:blipFill>
                    <a:blip r:embed="rId19"/>
                    <a:stretch>
                      <a:fillRect/>
                    </a:stretch>
                  </pic:blipFill>
                  <pic:spPr>
                    <a:xfrm>
                      <a:off x="0" y="0"/>
                      <a:ext cx="5943600" cy="1160780"/>
                    </a:xfrm>
                    <a:prstGeom prst="rect">
                      <a:avLst/>
                    </a:prstGeom>
                  </pic:spPr>
                </pic:pic>
              </a:graphicData>
            </a:graphic>
          </wp:inline>
        </w:drawing>
      </w:r>
    </w:p>
    <w:p w14:paraId="33F89394" w14:textId="1FD58A1F" w:rsidR="001C47BD" w:rsidRDefault="001C47BD" w:rsidP="005F0A18">
      <w:pPr>
        <w:spacing w:after="0"/>
        <w:rPr>
          <w:sz w:val="24"/>
          <w:szCs w:val="24"/>
        </w:rPr>
      </w:pPr>
    </w:p>
    <w:p w14:paraId="62426E01" w14:textId="77777777" w:rsidR="00C47B99" w:rsidRDefault="00C47B99" w:rsidP="005F0A18">
      <w:pPr>
        <w:spacing w:after="0"/>
        <w:rPr>
          <w:sz w:val="24"/>
          <w:szCs w:val="24"/>
        </w:rPr>
      </w:pPr>
    </w:p>
    <w:p w14:paraId="29830304" w14:textId="66745FFB" w:rsidR="00C41DC2" w:rsidRDefault="00C41DC2" w:rsidP="005F0A18">
      <w:pPr>
        <w:pStyle w:val="Heading2"/>
        <w:numPr>
          <w:ilvl w:val="1"/>
          <w:numId w:val="18"/>
        </w:numPr>
      </w:pPr>
      <w:bookmarkStart w:id="79" w:name="_Toc110425277"/>
      <w:r>
        <w:t>Z Factor Changes</w:t>
      </w:r>
      <w:bookmarkEnd w:id="79"/>
      <w:r w:rsidR="00E94C61">
        <w:tab/>
      </w:r>
      <w:r w:rsidR="00E94C61">
        <w:tab/>
      </w:r>
      <w:r w:rsidR="00E94C61">
        <w:tab/>
      </w:r>
      <w:r w:rsidR="00E94C61">
        <w:tab/>
      </w:r>
      <w:r w:rsidR="00E94C61">
        <w:tab/>
      </w:r>
    </w:p>
    <w:p w14:paraId="22178473" w14:textId="77777777" w:rsidR="00C41DC2" w:rsidRDefault="00C41DC2" w:rsidP="005F0A18">
      <w:pPr>
        <w:spacing w:after="0"/>
      </w:pPr>
    </w:p>
    <w:p w14:paraId="7B40FB01" w14:textId="77777777" w:rsidR="00066A00" w:rsidRPr="00066A00" w:rsidRDefault="00066A00" w:rsidP="005F0A18">
      <w:pPr>
        <w:spacing w:after="0"/>
        <w:rPr>
          <w:sz w:val="24"/>
          <w:szCs w:val="24"/>
        </w:rPr>
      </w:pPr>
      <w:r w:rsidRPr="00066A00">
        <w:rPr>
          <w:sz w:val="24"/>
          <w:szCs w:val="24"/>
        </w:rPr>
        <w:t xml:space="preserve">IPC has no </w:t>
      </w:r>
      <w:r>
        <w:rPr>
          <w:sz w:val="24"/>
          <w:szCs w:val="24"/>
        </w:rPr>
        <w:t xml:space="preserve">Z-Factor </w:t>
      </w:r>
      <w:r w:rsidRPr="00066A00">
        <w:rPr>
          <w:sz w:val="24"/>
          <w:szCs w:val="24"/>
        </w:rPr>
        <w:t>claims in this application.</w:t>
      </w:r>
    </w:p>
    <w:p w14:paraId="6A90602C" w14:textId="77777777" w:rsidR="00F749C3" w:rsidRDefault="00F749C3" w:rsidP="005F0A18">
      <w:pPr>
        <w:spacing w:after="0"/>
      </w:pPr>
    </w:p>
    <w:p w14:paraId="3DB4411A" w14:textId="77777777" w:rsidR="00B70B30" w:rsidRDefault="00B70B30" w:rsidP="005F0A18">
      <w:pPr>
        <w:spacing w:after="0"/>
      </w:pPr>
    </w:p>
    <w:p w14:paraId="1608B339" w14:textId="77777777" w:rsidR="00B70B30" w:rsidRDefault="00B70B30" w:rsidP="005F0A18">
      <w:pPr>
        <w:spacing w:after="0"/>
      </w:pPr>
    </w:p>
    <w:p w14:paraId="093037E8" w14:textId="6B7F4151" w:rsidR="00EB308F" w:rsidRDefault="00EB308F" w:rsidP="005F0A18">
      <w:pPr>
        <w:spacing w:after="0"/>
      </w:pPr>
    </w:p>
    <w:p w14:paraId="0BF9B5FE" w14:textId="1AF78054" w:rsidR="00A90C85" w:rsidRDefault="00A90C85" w:rsidP="005F0A18">
      <w:pPr>
        <w:spacing w:after="0"/>
      </w:pPr>
    </w:p>
    <w:p w14:paraId="2402D994" w14:textId="39B513A3" w:rsidR="00A90C85" w:rsidRDefault="00A90C85" w:rsidP="005F0A18">
      <w:pPr>
        <w:spacing w:after="0"/>
      </w:pPr>
    </w:p>
    <w:p w14:paraId="72BF2DFA" w14:textId="031F8FED" w:rsidR="00A90C85" w:rsidRDefault="00A90C85" w:rsidP="005F0A18">
      <w:pPr>
        <w:spacing w:after="0"/>
      </w:pPr>
    </w:p>
    <w:p w14:paraId="6CE11930" w14:textId="32DD204D" w:rsidR="00A90C85" w:rsidRDefault="00A90C85" w:rsidP="005F0A18">
      <w:pPr>
        <w:spacing w:after="0"/>
      </w:pPr>
    </w:p>
    <w:p w14:paraId="682D07C8" w14:textId="218194DC" w:rsidR="00A90C85" w:rsidRDefault="00A90C85" w:rsidP="005F0A18">
      <w:pPr>
        <w:spacing w:after="0"/>
      </w:pPr>
    </w:p>
    <w:p w14:paraId="0338855B" w14:textId="0AED072C" w:rsidR="00A90C85" w:rsidRDefault="00A90C85" w:rsidP="005F0A18">
      <w:pPr>
        <w:spacing w:after="0"/>
      </w:pPr>
    </w:p>
    <w:p w14:paraId="4238C6E0" w14:textId="35DDA46A" w:rsidR="00A90C85" w:rsidRDefault="00A90C85" w:rsidP="005F0A18">
      <w:pPr>
        <w:spacing w:after="0"/>
      </w:pPr>
    </w:p>
    <w:p w14:paraId="12F938AC" w14:textId="07AF8954" w:rsidR="00A90C85" w:rsidRDefault="00A90C85" w:rsidP="005F0A18">
      <w:pPr>
        <w:spacing w:after="0"/>
      </w:pPr>
    </w:p>
    <w:p w14:paraId="743400C1" w14:textId="50EC7BD9" w:rsidR="00A90C85" w:rsidRDefault="00A90C85" w:rsidP="005F0A18">
      <w:pPr>
        <w:spacing w:after="0"/>
      </w:pPr>
    </w:p>
    <w:p w14:paraId="1B581DC8" w14:textId="220FAB03" w:rsidR="00A90C85" w:rsidRDefault="00A90C85" w:rsidP="005F0A18">
      <w:pPr>
        <w:spacing w:after="0"/>
      </w:pPr>
    </w:p>
    <w:p w14:paraId="4E204916" w14:textId="0920E47C" w:rsidR="00A90C85" w:rsidRDefault="00A90C85" w:rsidP="005F0A18">
      <w:pPr>
        <w:spacing w:after="0"/>
      </w:pPr>
    </w:p>
    <w:p w14:paraId="633E1753" w14:textId="77777777" w:rsidR="00C41DC2" w:rsidRPr="00C41DC2" w:rsidRDefault="00F93D6B" w:rsidP="005F0A18">
      <w:pPr>
        <w:pStyle w:val="Heading1"/>
      </w:pPr>
      <w:bookmarkStart w:id="80" w:name="_Toc110425278"/>
      <w:r>
        <w:lastRenderedPageBreak/>
        <w:t>3.0 Rate Change Summary and Bill Impacts</w:t>
      </w:r>
      <w:bookmarkEnd w:id="80"/>
    </w:p>
    <w:p w14:paraId="6011A404" w14:textId="77777777" w:rsidR="00C41DC2" w:rsidRDefault="00C41DC2" w:rsidP="005F0A18">
      <w:pPr>
        <w:spacing w:after="0"/>
      </w:pPr>
    </w:p>
    <w:p w14:paraId="3E676F1D" w14:textId="369CA0A5" w:rsidR="003B57C0" w:rsidRDefault="00FC159A" w:rsidP="003B57C0">
      <w:pPr>
        <w:rPr>
          <w:sz w:val="24"/>
          <w:szCs w:val="24"/>
        </w:rPr>
      </w:pPr>
      <w:r w:rsidRPr="00FC159A">
        <w:rPr>
          <w:sz w:val="24"/>
          <w:szCs w:val="24"/>
        </w:rPr>
        <w:t>The following table present</w:t>
      </w:r>
      <w:r w:rsidR="003B57C0">
        <w:rPr>
          <w:sz w:val="24"/>
          <w:szCs w:val="24"/>
        </w:rPr>
        <w:t>s</w:t>
      </w:r>
      <w:r w:rsidRPr="00FC159A">
        <w:rPr>
          <w:sz w:val="24"/>
          <w:szCs w:val="24"/>
        </w:rPr>
        <w:t xml:space="preserve"> a summary of the proposed rates and the associated bill impacts by Rate Class.</w:t>
      </w:r>
    </w:p>
    <w:p w14:paraId="6F2EDDF5" w14:textId="7BFE2604" w:rsidR="00814A3A" w:rsidRDefault="00F62ECC" w:rsidP="00AC72E8">
      <w:pPr>
        <w:rPr>
          <w:sz w:val="24"/>
          <w:szCs w:val="24"/>
        </w:rPr>
      </w:pPr>
      <w:r>
        <w:rPr>
          <w:noProof/>
        </w:rPr>
        <w:drawing>
          <wp:inline distT="0" distB="0" distL="0" distR="0" wp14:anchorId="3276CCAB" wp14:editId="09670FAE">
            <wp:extent cx="5943600" cy="797560"/>
            <wp:effectExtent l="0" t="0" r="0" b="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20"/>
                    <a:stretch>
                      <a:fillRect/>
                    </a:stretch>
                  </pic:blipFill>
                  <pic:spPr>
                    <a:xfrm>
                      <a:off x="0" y="0"/>
                      <a:ext cx="5943600" cy="797560"/>
                    </a:xfrm>
                    <a:prstGeom prst="rect">
                      <a:avLst/>
                    </a:prstGeom>
                  </pic:spPr>
                </pic:pic>
              </a:graphicData>
            </a:graphic>
          </wp:inline>
        </w:drawing>
      </w:r>
    </w:p>
    <w:p w14:paraId="4C981B4E" w14:textId="0BD6B05E" w:rsidR="000E15D8" w:rsidRDefault="00877029" w:rsidP="00EB308F">
      <w:pPr>
        <w:spacing w:after="0"/>
        <w:rPr>
          <w:sz w:val="24"/>
          <w:szCs w:val="24"/>
        </w:rPr>
      </w:pPr>
      <w:r w:rsidRPr="00EC62EE">
        <w:rPr>
          <w:sz w:val="24"/>
          <w:szCs w:val="24"/>
        </w:rPr>
        <w:t>The calculated</w:t>
      </w:r>
      <w:r w:rsidR="00395DA4" w:rsidRPr="00EC62EE">
        <w:rPr>
          <w:sz w:val="24"/>
          <w:szCs w:val="24"/>
        </w:rPr>
        <w:t xml:space="preserve"> total</w:t>
      </w:r>
      <w:r w:rsidRPr="00EC62EE">
        <w:rPr>
          <w:sz w:val="24"/>
          <w:szCs w:val="24"/>
        </w:rPr>
        <w:t xml:space="preserve"> bill impacts for this </w:t>
      </w:r>
      <w:r w:rsidR="0034369F" w:rsidRPr="00EC62EE">
        <w:rPr>
          <w:sz w:val="24"/>
          <w:szCs w:val="24"/>
        </w:rPr>
        <w:t>EB-20</w:t>
      </w:r>
      <w:r w:rsidR="006A04E8" w:rsidRPr="00EC62EE">
        <w:rPr>
          <w:sz w:val="24"/>
          <w:szCs w:val="24"/>
        </w:rPr>
        <w:t>2</w:t>
      </w:r>
      <w:r w:rsidR="00BA0970" w:rsidRPr="00EC62EE">
        <w:rPr>
          <w:sz w:val="24"/>
          <w:szCs w:val="24"/>
        </w:rPr>
        <w:t>2</w:t>
      </w:r>
      <w:r w:rsidR="0034369F" w:rsidRPr="00EC62EE">
        <w:rPr>
          <w:sz w:val="24"/>
          <w:szCs w:val="24"/>
        </w:rPr>
        <w:t>-00</w:t>
      </w:r>
      <w:r w:rsidR="00BA0970" w:rsidRPr="00EC62EE">
        <w:rPr>
          <w:sz w:val="24"/>
          <w:szCs w:val="24"/>
        </w:rPr>
        <w:t>43</w:t>
      </w:r>
      <w:r w:rsidRPr="00EC62EE">
        <w:rPr>
          <w:sz w:val="24"/>
          <w:szCs w:val="24"/>
        </w:rPr>
        <w:t xml:space="preserve"> IRM application </w:t>
      </w:r>
      <w:r w:rsidR="004D0431" w:rsidRPr="00EC62EE">
        <w:rPr>
          <w:sz w:val="24"/>
          <w:szCs w:val="24"/>
        </w:rPr>
        <w:t xml:space="preserve">reflect </w:t>
      </w:r>
      <w:r w:rsidR="003B57C0" w:rsidRPr="00EC62EE">
        <w:rPr>
          <w:sz w:val="24"/>
          <w:szCs w:val="24"/>
        </w:rPr>
        <w:t>one</w:t>
      </w:r>
      <w:r w:rsidR="004D0431" w:rsidRPr="00EC62EE">
        <w:rPr>
          <w:sz w:val="24"/>
          <w:szCs w:val="24"/>
        </w:rPr>
        <w:t xml:space="preserve"> rate class</w:t>
      </w:r>
      <w:r w:rsidR="00E87738" w:rsidRPr="00EC62EE">
        <w:rPr>
          <w:sz w:val="24"/>
          <w:szCs w:val="24"/>
        </w:rPr>
        <w:t>, sentinel lighting with an increase</w:t>
      </w:r>
      <w:r w:rsidR="004D0431" w:rsidRPr="00EC62EE">
        <w:rPr>
          <w:sz w:val="24"/>
          <w:szCs w:val="24"/>
        </w:rPr>
        <w:t xml:space="preserve"> greater than 10% of the overall bill.  </w:t>
      </w:r>
      <w:r w:rsidR="00395DA4" w:rsidRPr="00EC62EE">
        <w:rPr>
          <w:sz w:val="24"/>
          <w:szCs w:val="24"/>
        </w:rPr>
        <w:t xml:space="preserve">The </w:t>
      </w:r>
      <w:r w:rsidR="00E87738" w:rsidRPr="00EC62EE">
        <w:rPr>
          <w:sz w:val="24"/>
          <w:szCs w:val="24"/>
        </w:rPr>
        <w:t xml:space="preserve">remaining </w:t>
      </w:r>
      <w:r w:rsidR="00FD6399" w:rsidRPr="00EC62EE">
        <w:rPr>
          <w:sz w:val="24"/>
          <w:szCs w:val="24"/>
        </w:rPr>
        <w:t>total bill impacts</w:t>
      </w:r>
      <w:r w:rsidR="004D0431" w:rsidRPr="00EC62EE">
        <w:rPr>
          <w:sz w:val="24"/>
          <w:szCs w:val="24"/>
        </w:rPr>
        <w:t xml:space="preserve"> show</w:t>
      </w:r>
      <w:r w:rsidR="00FD6399" w:rsidRPr="00EC62EE">
        <w:rPr>
          <w:sz w:val="24"/>
          <w:szCs w:val="24"/>
        </w:rPr>
        <w:t xml:space="preserve"> </w:t>
      </w:r>
      <w:r w:rsidR="00102DD8" w:rsidRPr="00EC62EE">
        <w:rPr>
          <w:sz w:val="24"/>
          <w:szCs w:val="24"/>
        </w:rPr>
        <w:t xml:space="preserve">adjustments </w:t>
      </w:r>
      <w:r w:rsidR="00FD6399" w:rsidRPr="00EC62EE">
        <w:rPr>
          <w:sz w:val="24"/>
          <w:szCs w:val="24"/>
        </w:rPr>
        <w:t xml:space="preserve">between </w:t>
      </w:r>
      <w:r w:rsidR="003B57C0" w:rsidRPr="00EC62EE">
        <w:rPr>
          <w:sz w:val="24"/>
          <w:szCs w:val="24"/>
        </w:rPr>
        <w:t>-0.6</w:t>
      </w:r>
      <w:r w:rsidR="00FD6399" w:rsidRPr="00EC62EE">
        <w:rPr>
          <w:sz w:val="24"/>
          <w:szCs w:val="24"/>
        </w:rPr>
        <w:t xml:space="preserve">% and </w:t>
      </w:r>
      <w:r w:rsidR="003B57C0" w:rsidRPr="00EC62EE">
        <w:rPr>
          <w:sz w:val="24"/>
          <w:szCs w:val="24"/>
        </w:rPr>
        <w:t>1.</w:t>
      </w:r>
      <w:r w:rsidR="00E87738" w:rsidRPr="00EC62EE">
        <w:rPr>
          <w:sz w:val="24"/>
          <w:szCs w:val="24"/>
        </w:rPr>
        <w:t>9</w:t>
      </w:r>
      <w:r w:rsidR="00FD6399" w:rsidRPr="00EC62EE">
        <w:rPr>
          <w:sz w:val="24"/>
          <w:szCs w:val="24"/>
        </w:rPr>
        <w:t>%</w:t>
      </w:r>
      <w:r w:rsidR="006A04E8" w:rsidRPr="00EC62EE">
        <w:rPr>
          <w:sz w:val="24"/>
          <w:szCs w:val="24"/>
        </w:rPr>
        <w:t>.</w:t>
      </w:r>
      <w:r w:rsidR="006A04E8">
        <w:rPr>
          <w:sz w:val="24"/>
          <w:szCs w:val="24"/>
        </w:rPr>
        <w:t xml:space="preserve">  </w:t>
      </w:r>
    </w:p>
    <w:p w14:paraId="4638AADD" w14:textId="2BC5CB2A" w:rsidR="001F5F4D" w:rsidRDefault="001F5F4D" w:rsidP="00EB308F">
      <w:pPr>
        <w:spacing w:after="0"/>
        <w:rPr>
          <w:sz w:val="24"/>
          <w:szCs w:val="24"/>
        </w:rPr>
      </w:pPr>
    </w:p>
    <w:p w14:paraId="5E0FCA2C" w14:textId="477858E7" w:rsidR="001F5F4D" w:rsidRDefault="001F5F4D" w:rsidP="00EB308F">
      <w:pPr>
        <w:spacing w:after="0"/>
        <w:rPr>
          <w:sz w:val="24"/>
          <w:szCs w:val="24"/>
        </w:rPr>
      </w:pPr>
      <w:r>
        <w:rPr>
          <w:sz w:val="24"/>
          <w:szCs w:val="24"/>
        </w:rPr>
        <w:t xml:space="preserve">To mitigate the rate impact for sentinel light customers, IPC proposes </w:t>
      </w:r>
      <w:r w:rsidR="00EC62EE">
        <w:rPr>
          <w:sz w:val="24"/>
          <w:szCs w:val="24"/>
        </w:rPr>
        <w:t xml:space="preserve">a </w:t>
      </w:r>
      <w:r w:rsidR="000A4672">
        <w:rPr>
          <w:sz w:val="24"/>
          <w:szCs w:val="24"/>
        </w:rPr>
        <w:t>24-month</w:t>
      </w:r>
      <w:r w:rsidR="00EC62EE">
        <w:rPr>
          <w:sz w:val="24"/>
          <w:szCs w:val="24"/>
        </w:rPr>
        <w:t xml:space="preserve"> recovery period instead of a 12</w:t>
      </w:r>
      <w:r w:rsidR="000A4672">
        <w:rPr>
          <w:sz w:val="24"/>
          <w:szCs w:val="24"/>
        </w:rPr>
        <w:t>-</w:t>
      </w:r>
      <w:r w:rsidR="00EC62EE">
        <w:rPr>
          <w:sz w:val="24"/>
          <w:szCs w:val="24"/>
        </w:rPr>
        <w:t xml:space="preserve">month recovery period, specific to the sentinel light rate class. </w:t>
      </w:r>
    </w:p>
    <w:p w14:paraId="5EECEE1C" w14:textId="77777777" w:rsidR="000E15D8" w:rsidRDefault="000E15D8" w:rsidP="000E15D8">
      <w:pPr>
        <w:spacing w:after="0"/>
        <w:rPr>
          <w:sz w:val="24"/>
          <w:szCs w:val="24"/>
        </w:rPr>
      </w:pPr>
    </w:p>
    <w:p w14:paraId="679EB057" w14:textId="44DFF5FE" w:rsidR="00B70B30" w:rsidRDefault="00951AC1" w:rsidP="00895BDC">
      <w:pPr>
        <w:spacing w:after="0"/>
        <w:rPr>
          <w:sz w:val="24"/>
          <w:szCs w:val="24"/>
        </w:rPr>
      </w:pPr>
      <w:r w:rsidRPr="00951AC1">
        <w:rPr>
          <w:sz w:val="24"/>
          <w:szCs w:val="24"/>
        </w:rPr>
        <w:t xml:space="preserve">The following bill impacts </w:t>
      </w:r>
      <w:r>
        <w:rPr>
          <w:sz w:val="24"/>
          <w:szCs w:val="24"/>
        </w:rPr>
        <w:t>by rate class are presented</w:t>
      </w:r>
      <w:r w:rsidR="00E337AC">
        <w:rPr>
          <w:sz w:val="24"/>
          <w:szCs w:val="24"/>
        </w:rPr>
        <w:t>.</w:t>
      </w:r>
      <w:r>
        <w:rPr>
          <w:sz w:val="24"/>
          <w:szCs w:val="24"/>
        </w:rPr>
        <w:t xml:space="preserve"> </w:t>
      </w:r>
    </w:p>
    <w:p w14:paraId="2E65F14D" w14:textId="77777777" w:rsidR="00B70B30" w:rsidRDefault="00B70B30" w:rsidP="00895BDC">
      <w:pPr>
        <w:spacing w:after="0"/>
        <w:rPr>
          <w:sz w:val="24"/>
          <w:szCs w:val="24"/>
        </w:rPr>
      </w:pPr>
    </w:p>
    <w:p w14:paraId="111C7723" w14:textId="77777777" w:rsidR="00B70B30" w:rsidRDefault="00B70B30" w:rsidP="00895BDC">
      <w:pPr>
        <w:spacing w:after="0"/>
        <w:rPr>
          <w:sz w:val="24"/>
          <w:szCs w:val="24"/>
        </w:rPr>
      </w:pPr>
    </w:p>
    <w:p w14:paraId="4C5B6261" w14:textId="77777777" w:rsidR="00B70B30" w:rsidRDefault="00B70B30" w:rsidP="00895BDC">
      <w:pPr>
        <w:spacing w:after="0"/>
        <w:rPr>
          <w:sz w:val="24"/>
          <w:szCs w:val="24"/>
        </w:rPr>
      </w:pPr>
    </w:p>
    <w:p w14:paraId="0927462D" w14:textId="77777777" w:rsidR="00B70B30" w:rsidRDefault="00B70B30" w:rsidP="00895BDC">
      <w:pPr>
        <w:spacing w:after="0"/>
        <w:rPr>
          <w:sz w:val="24"/>
          <w:szCs w:val="24"/>
        </w:rPr>
      </w:pPr>
    </w:p>
    <w:p w14:paraId="0A2D8119" w14:textId="77777777" w:rsidR="00B70B30" w:rsidRDefault="00B70B30" w:rsidP="00895BDC">
      <w:pPr>
        <w:spacing w:after="0"/>
        <w:rPr>
          <w:sz w:val="24"/>
          <w:szCs w:val="24"/>
        </w:rPr>
      </w:pPr>
    </w:p>
    <w:p w14:paraId="3ECED43B" w14:textId="77777777" w:rsidR="00B70B30" w:rsidRDefault="00B70B30" w:rsidP="00895BDC">
      <w:pPr>
        <w:spacing w:after="0"/>
        <w:rPr>
          <w:sz w:val="24"/>
          <w:szCs w:val="24"/>
        </w:rPr>
      </w:pPr>
    </w:p>
    <w:p w14:paraId="2F7D6FD4" w14:textId="77777777" w:rsidR="00B70B30" w:rsidRDefault="00B70B30" w:rsidP="00895BDC">
      <w:pPr>
        <w:spacing w:after="0"/>
        <w:rPr>
          <w:sz w:val="24"/>
          <w:szCs w:val="24"/>
        </w:rPr>
      </w:pPr>
    </w:p>
    <w:p w14:paraId="50F10BA8" w14:textId="77777777" w:rsidR="00B70B30" w:rsidRDefault="00B70B30" w:rsidP="00895BDC">
      <w:pPr>
        <w:spacing w:after="0"/>
        <w:rPr>
          <w:sz w:val="24"/>
          <w:szCs w:val="24"/>
        </w:rPr>
      </w:pPr>
    </w:p>
    <w:p w14:paraId="420BAA73" w14:textId="77777777" w:rsidR="00B70B30" w:rsidRDefault="00B70B30" w:rsidP="00895BDC">
      <w:pPr>
        <w:spacing w:after="0"/>
        <w:rPr>
          <w:sz w:val="24"/>
          <w:szCs w:val="24"/>
        </w:rPr>
      </w:pPr>
    </w:p>
    <w:p w14:paraId="26F50A23" w14:textId="77777777" w:rsidR="00B70B30" w:rsidRDefault="00B70B30" w:rsidP="00895BDC">
      <w:pPr>
        <w:spacing w:after="0"/>
        <w:rPr>
          <w:sz w:val="24"/>
          <w:szCs w:val="24"/>
        </w:rPr>
      </w:pPr>
    </w:p>
    <w:p w14:paraId="4EAB5290" w14:textId="77777777" w:rsidR="00B70B30" w:rsidRDefault="00B70B30" w:rsidP="00895BDC">
      <w:pPr>
        <w:spacing w:after="0"/>
        <w:rPr>
          <w:sz w:val="24"/>
          <w:szCs w:val="24"/>
        </w:rPr>
      </w:pPr>
    </w:p>
    <w:p w14:paraId="614C66EC" w14:textId="77777777" w:rsidR="00B70B30" w:rsidRDefault="00B70B30" w:rsidP="00895BDC">
      <w:pPr>
        <w:spacing w:after="0"/>
        <w:rPr>
          <w:sz w:val="24"/>
          <w:szCs w:val="24"/>
        </w:rPr>
      </w:pPr>
    </w:p>
    <w:p w14:paraId="5E2169FA" w14:textId="77777777" w:rsidR="00895BDC" w:rsidRDefault="00895BDC" w:rsidP="00895BDC">
      <w:pPr>
        <w:spacing w:after="0"/>
        <w:rPr>
          <w:sz w:val="24"/>
          <w:szCs w:val="24"/>
        </w:rPr>
      </w:pPr>
    </w:p>
    <w:p w14:paraId="456EDAA7" w14:textId="77777777" w:rsidR="00895BDC" w:rsidRDefault="00895BDC" w:rsidP="00895BDC">
      <w:pPr>
        <w:spacing w:after="0"/>
        <w:rPr>
          <w:sz w:val="24"/>
          <w:szCs w:val="24"/>
        </w:rPr>
      </w:pPr>
    </w:p>
    <w:p w14:paraId="69AACFA5" w14:textId="77777777" w:rsidR="00895BDC" w:rsidRDefault="00895BDC" w:rsidP="00895BDC">
      <w:pPr>
        <w:spacing w:after="0"/>
        <w:rPr>
          <w:sz w:val="24"/>
          <w:szCs w:val="24"/>
        </w:rPr>
      </w:pPr>
    </w:p>
    <w:p w14:paraId="1CA7953E" w14:textId="77777777" w:rsidR="00895BDC" w:rsidRDefault="00895BDC" w:rsidP="00895BDC">
      <w:pPr>
        <w:spacing w:after="0"/>
        <w:rPr>
          <w:sz w:val="24"/>
          <w:szCs w:val="24"/>
        </w:rPr>
      </w:pPr>
    </w:p>
    <w:p w14:paraId="6F240A3D" w14:textId="77777777" w:rsidR="00895BDC" w:rsidRDefault="00895BDC" w:rsidP="00895BDC">
      <w:pPr>
        <w:spacing w:after="0"/>
        <w:rPr>
          <w:sz w:val="24"/>
          <w:szCs w:val="24"/>
        </w:rPr>
      </w:pPr>
    </w:p>
    <w:p w14:paraId="0A81503F" w14:textId="2F94F485" w:rsidR="00FC159A" w:rsidRDefault="00951AC1" w:rsidP="00AB6D20">
      <w:pPr>
        <w:spacing w:after="0"/>
        <w:rPr>
          <w:b/>
          <w:sz w:val="24"/>
          <w:szCs w:val="24"/>
        </w:rPr>
      </w:pPr>
      <w:r w:rsidRPr="00951AC1">
        <w:rPr>
          <w:sz w:val="24"/>
          <w:szCs w:val="24"/>
        </w:rPr>
        <w:br w:type="page"/>
      </w:r>
      <w:r w:rsidRPr="00287178">
        <w:rPr>
          <w:b/>
          <w:sz w:val="24"/>
          <w:szCs w:val="24"/>
        </w:rPr>
        <w:lastRenderedPageBreak/>
        <w:t>Residential Rate Class</w:t>
      </w:r>
    </w:p>
    <w:p w14:paraId="00754CD7" w14:textId="77777777" w:rsidR="00F62ECC" w:rsidRDefault="00F62ECC" w:rsidP="00AB6D20">
      <w:pPr>
        <w:spacing w:after="0"/>
        <w:rPr>
          <w:b/>
          <w:sz w:val="24"/>
          <w:szCs w:val="24"/>
        </w:rPr>
      </w:pPr>
    </w:p>
    <w:p w14:paraId="6FEA9312" w14:textId="63C3863D" w:rsidR="00444C8E" w:rsidRDefault="00F62ECC" w:rsidP="00AB6D20">
      <w:pPr>
        <w:spacing w:after="0"/>
        <w:rPr>
          <w:b/>
          <w:sz w:val="24"/>
          <w:szCs w:val="24"/>
        </w:rPr>
      </w:pPr>
      <w:r>
        <w:rPr>
          <w:noProof/>
        </w:rPr>
        <w:drawing>
          <wp:inline distT="0" distB="0" distL="0" distR="0" wp14:anchorId="5F01D043" wp14:editId="169D28C0">
            <wp:extent cx="5943600" cy="3926205"/>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21"/>
                    <a:stretch>
                      <a:fillRect/>
                    </a:stretch>
                  </pic:blipFill>
                  <pic:spPr>
                    <a:xfrm>
                      <a:off x="0" y="0"/>
                      <a:ext cx="5943600" cy="3926205"/>
                    </a:xfrm>
                    <a:prstGeom prst="rect">
                      <a:avLst/>
                    </a:prstGeom>
                  </pic:spPr>
                </pic:pic>
              </a:graphicData>
            </a:graphic>
          </wp:inline>
        </w:drawing>
      </w:r>
    </w:p>
    <w:p w14:paraId="53BEDC5B" w14:textId="12A2AEBD" w:rsidR="00444C8E" w:rsidRPr="00894814" w:rsidRDefault="00444C8E" w:rsidP="00AB6D20">
      <w:pPr>
        <w:spacing w:after="0"/>
        <w:rPr>
          <w:b/>
          <w:sz w:val="24"/>
          <w:szCs w:val="24"/>
        </w:rPr>
      </w:pPr>
    </w:p>
    <w:p w14:paraId="1DF02CCC" w14:textId="0F6D672C" w:rsidR="00066A00" w:rsidRDefault="00066A00" w:rsidP="00C41DC2"/>
    <w:p w14:paraId="2CA9FAF2" w14:textId="77777777" w:rsidR="006B1B32" w:rsidRDefault="006B1B32">
      <w:pPr>
        <w:rPr>
          <w:noProof/>
          <w:lang w:val="en-CA" w:eastAsia="en-CA"/>
        </w:rPr>
      </w:pPr>
    </w:p>
    <w:p w14:paraId="5E3784A8" w14:textId="77777777" w:rsidR="006B1B32" w:rsidRDefault="006B1B32">
      <w:pPr>
        <w:rPr>
          <w:noProof/>
          <w:lang w:val="en-CA" w:eastAsia="en-CA"/>
        </w:rPr>
      </w:pPr>
    </w:p>
    <w:p w14:paraId="4CFB6D7A" w14:textId="77777777" w:rsidR="006B1B32" w:rsidRDefault="006B1B32">
      <w:pPr>
        <w:rPr>
          <w:noProof/>
          <w:lang w:val="en-CA" w:eastAsia="en-CA"/>
        </w:rPr>
      </w:pPr>
    </w:p>
    <w:p w14:paraId="1C34C516" w14:textId="77777777" w:rsidR="006B1B32" w:rsidRDefault="006B1B32">
      <w:pPr>
        <w:rPr>
          <w:noProof/>
          <w:lang w:val="en-CA" w:eastAsia="en-CA"/>
        </w:rPr>
      </w:pPr>
    </w:p>
    <w:p w14:paraId="0F594583" w14:textId="77777777" w:rsidR="006B1B32" w:rsidRDefault="006B1B32">
      <w:pPr>
        <w:rPr>
          <w:noProof/>
          <w:lang w:val="en-CA" w:eastAsia="en-CA"/>
        </w:rPr>
      </w:pPr>
    </w:p>
    <w:p w14:paraId="3A31134B" w14:textId="77777777" w:rsidR="006B1B32" w:rsidRDefault="006B1B32">
      <w:pPr>
        <w:rPr>
          <w:noProof/>
          <w:lang w:val="en-CA" w:eastAsia="en-CA"/>
        </w:rPr>
      </w:pPr>
    </w:p>
    <w:p w14:paraId="53F48C81" w14:textId="77777777" w:rsidR="006B1B32" w:rsidRDefault="006B1B32">
      <w:pPr>
        <w:rPr>
          <w:noProof/>
          <w:lang w:val="en-CA" w:eastAsia="en-CA"/>
        </w:rPr>
      </w:pPr>
    </w:p>
    <w:p w14:paraId="14383C07" w14:textId="77777777" w:rsidR="006B1B32" w:rsidRDefault="006B1B32">
      <w:pPr>
        <w:rPr>
          <w:noProof/>
          <w:lang w:val="en-CA" w:eastAsia="en-CA"/>
        </w:rPr>
      </w:pPr>
    </w:p>
    <w:p w14:paraId="4A0D5AC8" w14:textId="77777777" w:rsidR="006B1B32" w:rsidRDefault="006B1B32">
      <w:pPr>
        <w:rPr>
          <w:noProof/>
          <w:lang w:val="en-CA" w:eastAsia="en-CA"/>
        </w:rPr>
      </w:pPr>
    </w:p>
    <w:p w14:paraId="21F35285" w14:textId="6E11E731" w:rsidR="00894814" w:rsidRDefault="00894814">
      <w:r>
        <w:br w:type="page"/>
      </w:r>
    </w:p>
    <w:p w14:paraId="0EB18BF1" w14:textId="250E6E8D" w:rsidR="00066A00" w:rsidRDefault="00894814" w:rsidP="00444C8E">
      <w:pPr>
        <w:spacing w:after="0"/>
        <w:rPr>
          <w:b/>
          <w:sz w:val="24"/>
          <w:szCs w:val="24"/>
        </w:rPr>
      </w:pPr>
      <w:r w:rsidRPr="00287178">
        <w:rPr>
          <w:b/>
          <w:sz w:val="24"/>
          <w:szCs w:val="24"/>
        </w:rPr>
        <w:lastRenderedPageBreak/>
        <w:t>General Service Less than 50KW</w:t>
      </w:r>
      <w:r>
        <w:rPr>
          <w:b/>
          <w:sz w:val="24"/>
          <w:szCs w:val="24"/>
        </w:rPr>
        <w:t xml:space="preserve"> </w:t>
      </w:r>
    </w:p>
    <w:p w14:paraId="35B3EC91" w14:textId="7A87129E" w:rsidR="00444C8E" w:rsidRDefault="00444C8E" w:rsidP="00444C8E">
      <w:pPr>
        <w:spacing w:after="0"/>
        <w:rPr>
          <w:b/>
          <w:sz w:val="24"/>
          <w:szCs w:val="24"/>
        </w:rPr>
      </w:pPr>
    </w:p>
    <w:p w14:paraId="2AE2326F" w14:textId="3370CE09" w:rsidR="00444C8E" w:rsidRPr="00894814" w:rsidRDefault="00444C8E" w:rsidP="00C41DC2">
      <w:pPr>
        <w:rPr>
          <w:b/>
          <w:sz w:val="24"/>
          <w:szCs w:val="24"/>
        </w:rPr>
      </w:pPr>
      <w:r>
        <w:rPr>
          <w:noProof/>
        </w:rPr>
        <w:drawing>
          <wp:inline distT="0" distB="0" distL="0" distR="0" wp14:anchorId="099D079D" wp14:editId="1A6B6DE1">
            <wp:extent cx="5943600" cy="3881120"/>
            <wp:effectExtent l="0" t="0" r="0" b="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22"/>
                    <a:stretch>
                      <a:fillRect/>
                    </a:stretch>
                  </pic:blipFill>
                  <pic:spPr>
                    <a:xfrm>
                      <a:off x="0" y="0"/>
                      <a:ext cx="5943600" cy="3881120"/>
                    </a:xfrm>
                    <a:prstGeom prst="rect">
                      <a:avLst/>
                    </a:prstGeom>
                  </pic:spPr>
                </pic:pic>
              </a:graphicData>
            </a:graphic>
          </wp:inline>
        </w:drawing>
      </w:r>
    </w:p>
    <w:p w14:paraId="4C5244F0" w14:textId="04669E20" w:rsidR="00894814" w:rsidRDefault="00894814"/>
    <w:p w14:paraId="380AB153" w14:textId="77777777" w:rsidR="008B3B9C" w:rsidRDefault="008B3B9C">
      <w:pPr>
        <w:rPr>
          <w:noProof/>
          <w:lang w:val="en-CA" w:eastAsia="en-CA"/>
        </w:rPr>
      </w:pPr>
    </w:p>
    <w:p w14:paraId="0AAF3B3B" w14:textId="77777777" w:rsidR="008B3B9C" w:rsidRDefault="008B3B9C">
      <w:pPr>
        <w:rPr>
          <w:noProof/>
          <w:lang w:val="en-CA" w:eastAsia="en-CA"/>
        </w:rPr>
      </w:pPr>
    </w:p>
    <w:p w14:paraId="4FA89D02" w14:textId="77777777" w:rsidR="008B3B9C" w:rsidRDefault="008B3B9C">
      <w:pPr>
        <w:rPr>
          <w:noProof/>
          <w:lang w:val="en-CA" w:eastAsia="en-CA"/>
        </w:rPr>
      </w:pPr>
    </w:p>
    <w:p w14:paraId="2666143A" w14:textId="77777777" w:rsidR="008B3B9C" w:rsidRDefault="008B3B9C">
      <w:pPr>
        <w:rPr>
          <w:noProof/>
          <w:lang w:val="en-CA" w:eastAsia="en-CA"/>
        </w:rPr>
      </w:pPr>
    </w:p>
    <w:p w14:paraId="5ABE3C02" w14:textId="77777777" w:rsidR="008B3B9C" w:rsidRDefault="008B3B9C">
      <w:pPr>
        <w:rPr>
          <w:noProof/>
          <w:lang w:val="en-CA" w:eastAsia="en-CA"/>
        </w:rPr>
      </w:pPr>
    </w:p>
    <w:p w14:paraId="7E6F2F47" w14:textId="77777777" w:rsidR="008B3B9C" w:rsidRDefault="008B3B9C">
      <w:pPr>
        <w:rPr>
          <w:noProof/>
          <w:lang w:val="en-CA" w:eastAsia="en-CA"/>
        </w:rPr>
      </w:pPr>
    </w:p>
    <w:p w14:paraId="3B656998" w14:textId="77777777" w:rsidR="008B3B9C" w:rsidRDefault="008B3B9C">
      <w:pPr>
        <w:rPr>
          <w:noProof/>
          <w:lang w:val="en-CA" w:eastAsia="en-CA"/>
        </w:rPr>
      </w:pPr>
    </w:p>
    <w:p w14:paraId="2EF0956B" w14:textId="77777777" w:rsidR="008B3B9C" w:rsidRDefault="008B3B9C">
      <w:pPr>
        <w:rPr>
          <w:noProof/>
          <w:lang w:val="en-CA" w:eastAsia="en-CA"/>
        </w:rPr>
      </w:pPr>
    </w:p>
    <w:p w14:paraId="4FC9472A" w14:textId="77777777" w:rsidR="008B3B9C" w:rsidRDefault="008B3B9C">
      <w:pPr>
        <w:rPr>
          <w:noProof/>
          <w:lang w:val="en-CA" w:eastAsia="en-CA"/>
        </w:rPr>
      </w:pPr>
    </w:p>
    <w:p w14:paraId="32AF2992" w14:textId="77777777" w:rsidR="008B3B9C" w:rsidRDefault="008B3B9C">
      <w:pPr>
        <w:rPr>
          <w:noProof/>
          <w:lang w:val="en-CA" w:eastAsia="en-CA"/>
        </w:rPr>
      </w:pPr>
    </w:p>
    <w:p w14:paraId="00867213" w14:textId="70F876F2" w:rsidR="004A7C71" w:rsidRDefault="004A7C71">
      <w:pPr>
        <w:rPr>
          <w:noProof/>
        </w:rPr>
      </w:pPr>
      <w:r>
        <w:rPr>
          <w:noProof/>
        </w:rPr>
        <w:br w:type="page"/>
      </w:r>
    </w:p>
    <w:p w14:paraId="2B0CCEDC" w14:textId="048FE183" w:rsidR="00E94D72" w:rsidRPr="00444C8E" w:rsidRDefault="00D21EBD">
      <w:pPr>
        <w:rPr>
          <w:b/>
          <w:sz w:val="24"/>
          <w:szCs w:val="24"/>
        </w:rPr>
      </w:pPr>
      <w:r w:rsidRPr="00287178">
        <w:rPr>
          <w:b/>
          <w:sz w:val="24"/>
          <w:szCs w:val="24"/>
        </w:rPr>
        <w:lastRenderedPageBreak/>
        <w:t>General Service 50 to 4,999 KW</w:t>
      </w:r>
      <w:r w:rsidR="00576F06" w:rsidRPr="00576F06">
        <w:rPr>
          <w:noProof/>
          <w:lang w:val="en-CA" w:eastAsia="en-CA"/>
        </w:rPr>
        <w:t xml:space="preserve"> </w:t>
      </w:r>
      <w:r w:rsidR="00444C8E">
        <w:rPr>
          <w:noProof/>
        </w:rPr>
        <w:drawing>
          <wp:inline distT="0" distB="0" distL="0" distR="0" wp14:anchorId="59443AAF" wp14:editId="6E7397AE">
            <wp:extent cx="5943600" cy="3885565"/>
            <wp:effectExtent l="0" t="0" r="0" b="0"/>
            <wp:docPr id="11" name="Picture 1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 table&#10;&#10;Description automatically generated"/>
                    <pic:cNvPicPr/>
                  </pic:nvPicPr>
                  <pic:blipFill>
                    <a:blip r:embed="rId23"/>
                    <a:stretch>
                      <a:fillRect/>
                    </a:stretch>
                  </pic:blipFill>
                  <pic:spPr>
                    <a:xfrm>
                      <a:off x="0" y="0"/>
                      <a:ext cx="5943600" cy="3885565"/>
                    </a:xfrm>
                    <a:prstGeom prst="rect">
                      <a:avLst/>
                    </a:prstGeom>
                  </pic:spPr>
                </pic:pic>
              </a:graphicData>
            </a:graphic>
          </wp:inline>
        </w:drawing>
      </w:r>
    </w:p>
    <w:p w14:paraId="00CD5424" w14:textId="77777777" w:rsidR="00E94D72" w:rsidRDefault="00E94D72">
      <w:pPr>
        <w:rPr>
          <w:noProof/>
          <w:lang w:val="en-CA" w:eastAsia="en-CA"/>
        </w:rPr>
      </w:pPr>
    </w:p>
    <w:p w14:paraId="1B05C738" w14:textId="77777777" w:rsidR="00E94D72" w:rsidRDefault="00E94D72">
      <w:pPr>
        <w:rPr>
          <w:noProof/>
          <w:lang w:val="en-CA" w:eastAsia="en-CA"/>
        </w:rPr>
      </w:pPr>
    </w:p>
    <w:p w14:paraId="7583F7B7" w14:textId="77777777" w:rsidR="00E94D72" w:rsidRDefault="00E94D72">
      <w:pPr>
        <w:rPr>
          <w:noProof/>
          <w:lang w:val="en-CA" w:eastAsia="en-CA"/>
        </w:rPr>
      </w:pPr>
    </w:p>
    <w:p w14:paraId="0E99DEBB" w14:textId="77777777" w:rsidR="00E94D72" w:rsidRDefault="00E94D72">
      <w:pPr>
        <w:rPr>
          <w:noProof/>
          <w:lang w:val="en-CA" w:eastAsia="en-CA"/>
        </w:rPr>
      </w:pPr>
    </w:p>
    <w:p w14:paraId="39EEF063" w14:textId="77777777" w:rsidR="00E94D72" w:rsidRDefault="00E94D72">
      <w:pPr>
        <w:rPr>
          <w:noProof/>
          <w:lang w:val="en-CA" w:eastAsia="en-CA"/>
        </w:rPr>
      </w:pPr>
    </w:p>
    <w:p w14:paraId="17327A1C" w14:textId="77777777" w:rsidR="00E94D72" w:rsidRDefault="00E94D72">
      <w:pPr>
        <w:rPr>
          <w:noProof/>
          <w:lang w:val="en-CA" w:eastAsia="en-CA"/>
        </w:rPr>
      </w:pPr>
    </w:p>
    <w:p w14:paraId="03053935" w14:textId="77777777" w:rsidR="00E94D72" w:rsidRDefault="00E94D72">
      <w:pPr>
        <w:rPr>
          <w:noProof/>
          <w:lang w:val="en-CA" w:eastAsia="en-CA"/>
        </w:rPr>
      </w:pPr>
    </w:p>
    <w:p w14:paraId="5FDC4C2A" w14:textId="77777777" w:rsidR="00E94D72" w:rsidRDefault="00E94D72">
      <w:pPr>
        <w:rPr>
          <w:noProof/>
          <w:lang w:val="en-CA" w:eastAsia="en-CA"/>
        </w:rPr>
      </w:pPr>
    </w:p>
    <w:p w14:paraId="3C597D59" w14:textId="77777777" w:rsidR="00E94D72" w:rsidRDefault="00E94D72">
      <w:pPr>
        <w:rPr>
          <w:noProof/>
          <w:lang w:val="en-CA" w:eastAsia="en-CA"/>
        </w:rPr>
      </w:pPr>
    </w:p>
    <w:p w14:paraId="4ACD472C" w14:textId="77777777" w:rsidR="00E94D72" w:rsidRDefault="00E94D72">
      <w:pPr>
        <w:rPr>
          <w:noProof/>
          <w:lang w:val="en-CA" w:eastAsia="en-CA"/>
        </w:rPr>
      </w:pPr>
    </w:p>
    <w:p w14:paraId="08ABAABC" w14:textId="2F9D3A1D" w:rsidR="004A7C71" w:rsidRDefault="004A7C71">
      <w:r>
        <w:br w:type="page"/>
      </w:r>
    </w:p>
    <w:p w14:paraId="3CC19EDA" w14:textId="78F8BBE3" w:rsidR="00D21EBD" w:rsidRDefault="00D21EBD">
      <w:pPr>
        <w:rPr>
          <w:b/>
          <w:sz w:val="24"/>
          <w:szCs w:val="24"/>
        </w:rPr>
      </w:pPr>
      <w:r w:rsidRPr="00287178">
        <w:rPr>
          <w:b/>
          <w:sz w:val="24"/>
          <w:szCs w:val="24"/>
        </w:rPr>
        <w:lastRenderedPageBreak/>
        <w:t>Unmetered Scattered Load</w:t>
      </w:r>
    </w:p>
    <w:p w14:paraId="794CFD8E" w14:textId="7285E1AE" w:rsidR="00444C8E" w:rsidRDefault="00444C8E">
      <w:pPr>
        <w:rPr>
          <w:b/>
          <w:sz w:val="24"/>
          <w:szCs w:val="24"/>
        </w:rPr>
      </w:pPr>
      <w:r>
        <w:rPr>
          <w:noProof/>
        </w:rPr>
        <w:drawing>
          <wp:inline distT="0" distB="0" distL="0" distR="0" wp14:anchorId="152FD6B6" wp14:editId="4A3A62FB">
            <wp:extent cx="5943600" cy="3825240"/>
            <wp:effectExtent l="0" t="0" r="0" b="0"/>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pic:nvPicPr>
                  <pic:blipFill>
                    <a:blip r:embed="rId24"/>
                    <a:stretch>
                      <a:fillRect/>
                    </a:stretch>
                  </pic:blipFill>
                  <pic:spPr>
                    <a:xfrm>
                      <a:off x="0" y="0"/>
                      <a:ext cx="5943600" cy="3825240"/>
                    </a:xfrm>
                    <a:prstGeom prst="rect">
                      <a:avLst/>
                    </a:prstGeom>
                  </pic:spPr>
                </pic:pic>
              </a:graphicData>
            </a:graphic>
          </wp:inline>
        </w:drawing>
      </w:r>
    </w:p>
    <w:p w14:paraId="6AF7DFA5" w14:textId="22CBBF90" w:rsidR="00D21EBD" w:rsidRDefault="00D21EBD">
      <w:pPr>
        <w:rPr>
          <w:b/>
          <w:sz w:val="24"/>
          <w:szCs w:val="24"/>
        </w:rPr>
      </w:pPr>
    </w:p>
    <w:p w14:paraId="21D2C794" w14:textId="77777777" w:rsidR="00E94D72" w:rsidRDefault="00E94D72">
      <w:pPr>
        <w:rPr>
          <w:noProof/>
          <w:lang w:val="en-CA" w:eastAsia="en-CA"/>
        </w:rPr>
      </w:pPr>
    </w:p>
    <w:p w14:paraId="49C8604D" w14:textId="77777777" w:rsidR="00E94D72" w:rsidRDefault="00E94D72">
      <w:pPr>
        <w:rPr>
          <w:noProof/>
          <w:lang w:val="en-CA" w:eastAsia="en-CA"/>
        </w:rPr>
      </w:pPr>
    </w:p>
    <w:p w14:paraId="78E6E7D0" w14:textId="77777777" w:rsidR="00E94D72" w:rsidRDefault="00E94D72">
      <w:pPr>
        <w:rPr>
          <w:noProof/>
          <w:lang w:val="en-CA" w:eastAsia="en-CA"/>
        </w:rPr>
      </w:pPr>
    </w:p>
    <w:p w14:paraId="3A437C33" w14:textId="77777777" w:rsidR="00E94D72" w:rsidRDefault="00E94D72">
      <w:pPr>
        <w:rPr>
          <w:noProof/>
          <w:lang w:val="en-CA" w:eastAsia="en-CA"/>
        </w:rPr>
      </w:pPr>
    </w:p>
    <w:p w14:paraId="51DE622E" w14:textId="77777777" w:rsidR="00E94D72" w:rsidRDefault="00E94D72">
      <w:pPr>
        <w:rPr>
          <w:noProof/>
          <w:lang w:val="en-CA" w:eastAsia="en-CA"/>
        </w:rPr>
      </w:pPr>
    </w:p>
    <w:p w14:paraId="6AEB1725" w14:textId="77777777" w:rsidR="00E94D72" w:rsidRDefault="00E94D72">
      <w:pPr>
        <w:rPr>
          <w:noProof/>
          <w:lang w:val="en-CA" w:eastAsia="en-CA"/>
        </w:rPr>
      </w:pPr>
    </w:p>
    <w:p w14:paraId="6BBDADDD" w14:textId="77777777" w:rsidR="00E94D72" w:rsidRDefault="00E94D72">
      <w:pPr>
        <w:rPr>
          <w:noProof/>
          <w:lang w:val="en-CA" w:eastAsia="en-CA"/>
        </w:rPr>
      </w:pPr>
    </w:p>
    <w:p w14:paraId="156FB966" w14:textId="77777777" w:rsidR="00E94D72" w:rsidRDefault="00E94D72">
      <w:pPr>
        <w:rPr>
          <w:noProof/>
          <w:lang w:val="en-CA" w:eastAsia="en-CA"/>
        </w:rPr>
      </w:pPr>
    </w:p>
    <w:p w14:paraId="5BF1F0AD" w14:textId="77777777" w:rsidR="00E94D72" w:rsidRDefault="00E94D72">
      <w:pPr>
        <w:rPr>
          <w:noProof/>
          <w:lang w:val="en-CA" w:eastAsia="en-CA"/>
        </w:rPr>
      </w:pPr>
    </w:p>
    <w:p w14:paraId="0C8C39AD" w14:textId="77777777" w:rsidR="00E94D72" w:rsidRDefault="00E94D72">
      <w:pPr>
        <w:rPr>
          <w:noProof/>
          <w:lang w:val="en-CA" w:eastAsia="en-CA"/>
        </w:rPr>
      </w:pPr>
    </w:p>
    <w:p w14:paraId="69E9DCB5" w14:textId="3673DC01" w:rsidR="00D21EBD" w:rsidRDefault="00D21EBD"/>
    <w:p w14:paraId="4BC4FBB2" w14:textId="7409E187" w:rsidR="00D21EBD" w:rsidRDefault="00D21EBD">
      <w:pPr>
        <w:rPr>
          <w:b/>
          <w:sz w:val="24"/>
          <w:szCs w:val="24"/>
        </w:rPr>
      </w:pPr>
      <w:r w:rsidRPr="00287178">
        <w:rPr>
          <w:b/>
          <w:sz w:val="24"/>
          <w:szCs w:val="24"/>
        </w:rPr>
        <w:lastRenderedPageBreak/>
        <w:t>Sentinel Lighting</w:t>
      </w:r>
      <w:r>
        <w:rPr>
          <w:b/>
          <w:sz w:val="24"/>
          <w:szCs w:val="24"/>
        </w:rPr>
        <w:t xml:space="preserve"> </w:t>
      </w:r>
    </w:p>
    <w:p w14:paraId="3A1DDC1C" w14:textId="03B43192" w:rsidR="00444C8E" w:rsidRDefault="00444C8E">
      <w:pPr>
        <w:rPr>
          <w:b/>
          <w:sz w:val="24"/>
          <w:szCs w:val="24"/>
        </w:rPr>
      </w:pPr>
      <w:r>
        <w:rPr>
          <w:noProof/>
        </w:rPr>
        <w:drawing>
          <wp:inline distT="0" distB="0" distL="0" distR="0" wp14:anchorId="32DE736C" wp14:editId="1AF76002">
            <wp:extent cx="5943600" cy="3832225"/>
            <wp:effectExtent l="0" t="0" r="0" b="0"/>
            <wp:docPr id="13" name="Picture 1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pic:cNvPicPr/>
                  </pic:nvPicPr>
                  <pic:blipFill>
                    <a:blip r:embed="rId25"/>
                    <a:stretch>
                      <a:fillRect/>
                    </a:stretch>
                  </pic:blipFill>
                  <pic:spPr>
                    <a:xfrm>
                      <a:off x="0" y="0"/>
                      <a:ext cx="5943600" cy="3832225"/>
                    </a:xfrm>
                    <a:prstGeom prst="rect">
                      <a:avLst/>
                    </a:prstGeom>
                  </pic:spPr>
                </pic:pic>
              </a:graphicData>
            </a:graphic>
          </wp:inline>
        </w:drawing>
      </w:r>
    </w:p>
    <w:p w14:paraId="5EF8C3BD" w14:textId="2D36E4A2" w:rsidR="00D21EBD" w:rsidRDefault="00D21EBD">
      <w:pPr>
        <w:rPr>
          <w:b/>
          <w:sz w:val="24"/>
          <w:szCs w:val="24"/>
        </w:rPr>
      </w:pPr>
    </w:p>
    <w:p w14:paraId="16B0E107" w14:textId="77777777" w:rsidR="00E94D72" w:rsidRDefault="00E94D72">
      <w:pPr>
        <w:rPr>
          <w:noProof/>
          <w:lang w:val="en-CA" w:eastAsia="en-CA"/>
        </w:rPr>
      </w:pPr>
    </w:p>
    <w:p w14:paraId="462716BE" w14:textId="77777777" w:rsidR="00E94D72" w:rsidRDefault="00E94D72">
      <w:pPr>
        <w:rPr>
          <w:noProof/>
          <w:lang w:val="en-CA" w:eastAsia="en-CA"/>
        </w:rPr>
      </w:pPr>
    </w:p>
    <w:p w14:paraId="6309C07F" w14:textId="77777777" w:rsidR="00E94D72" w:rsidRDefault="00E94D72">
      <w:pPr>
        <w:rPr>
          <w:noProof/>
          <w:lang w:val="en-CA" w:eastAsia="en-CA"/>
        </w:rPr>
      </w:pPr>
    </w:p>
    <w:p w14:paraId="2E4E1D95" w14:textId="77777777" w:rsidR="00E94D72" w:rsidRDefault="00E94D72">
      <w:pPr>
        <w:rPr>
          <w:noProof/>
          <w:lang w:val="en-CA" w:eastAsia="en-CA"/>
        </w:rPr>
      </w:pPr>
    </w:p>
    <w:p w14:paraId="3AADA756" w14:textId="77777777" w:rsidR="00E94D72" w:rsidRDefault="00E94D72">
      <w:pPr>
        <w:rPr>
          <w:noProof/>
          <w:lang w:val="en-CA" w:eastAsia="en-CA"/>
        </w:rPr>
      </w:pPr>
    </w:p>
    <w:p w14:paraId="46DAD42A" w14:textId="77777777" w:rsidR="00E94D72" w:rsidRDefault="00E94D72">
      <w:pPr>
        <w:rPr>
          <w:noProof/>
          <w:lang w:val="en-CA" w:eastAsia="en-CA"/>
        </w:rPr>
      </w:pPr>
    </w:p>
    <w:p w14:paraId="14F1C016" w14:textId="77777777" w:rsidR="00E94D72" w:rsidRDefault="00E94D72">
      <w:pPr>
        <w:rPr>
          <w:noProof/>
          <w:lang w:val="en-CA" w:eastAsia="en-CA"/>
        </w:rPr>
      </w:pPr>
    </w:p>
    <w:p w14:paraId="2E5048F7" w14:textId="77777777" w:rsidR="00E94D72" w:rsidRDefault="00E94D72">
      <w:pPr>
        <w:rPr>
          <w:noProof/>
          <w:lang w:val="en-CA" w:eastAsia="en-CA"/>
        </w:rPr>
      </w:pPr>
    </w:p>
    <w:p w14:paraId="2F7A40C5" w14:textId="77777777" w:rsidR="00E94D72" w:rsidRDefault="00E94D72">
      <w:pPr>
        <w:rPr>
          <w:noProof/>
          <w:lang w:val="en-CA" w:eastAsia="en-CA"/>
        </w:rPr>
      </w:pPr>
    </w:p>
    <w:p w14:paraId="1BFA30F7" w14:textId="77777777" w:rsidR="00E94D72" w:rsidRDefault="00E94D72">
      <w:pPr>
        <w:rPr>
          <w:noProof/>
          <w:lang w:val="en-CA" w:eastAsia="en-CA"/>
        </w:rPr>
      </w:pPr>
    </w:p>
    <w:p w14:paraId="087A0EF8" w14:textId="4F819F14" w:rsidR="002D28F2" w:rsidRDefault="002D28F2"/>
    <w:p w14:paraId="5CD1370A" w14:textId="0BDA1420" w:rsidR="00E94D72" w:rsidRDefault="00DA3DE5">
      <w:pPr>
        <w:rPr>
          <w:noProof/>
          <w:lang w:val="en-CA" w:eastAsia="en-CA"/>
        </w:rPr>
      </w:pPr>
      <w:r w:rsidRPr="00287178">
        <w:rPr>
          <w:b/>
          <w:sz w:val="24"/>
          <w:szCs w:val="24"/>
        </w:rPr>
        <w:lastRenderedPageBreak/>
        <w:t>Street Lighting</w:t>
      </w:r>
      <w:r w:rsidR="00D97D44" w:rsidRPr="00D97D44">
        <w:rPr>
          <w:noProof/>
          <w:lang w:val="en-CA" w:eastAsia="en-CA"/>
        </w:rPr>
        <w:t xml:space="preserve"> </w:t>
      </w:r>
      <w:r w:rsidR="00724C37">
        <w:rPr>
          <w:noProof/>
        </w:rPr>
        <w:drawing>
          <wp:inline distT="0" distB="0" distL="0" distR="0" wp14:anchorId="57BD0EE7" wp14:editId="4DCC6C77">
            <wp:extent cx="5943600" cy="3872230"/>
            <wp:effectExtent l="0" t="0" r="0" b="0"/>
            <wp:docPr id="14" name="Picture 1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pic:cNvPicPr/>
                  </pic:nvPicPr>
                  <pic:blipFill>
                    <a:blip r:embed="rId26"/>
                    <a:stretch>
                      <a:fillRect/>
                    </a:stretch>
                  </pic:blipFill>
                  <pic:spPr>
                    <a:xfrm>
                      <a:off x="0" y="0"/>
                      <a:ext cx="5943600" cy="3872230"/>
                    </a:xfrm>
                    <a:prstGeom prst="rect">
                      <a:avLst/>
                    </a:prstGeom>
                  </pic:spPr>
                </pic:pic>
              </a:graphicData>
            </a:graphic>
          </wp:inline>
        </w:drawing>
      </w:r>
    </w:p>
    <w:p w14:paraId="7DFAB3E6" w14:textId="77777777" w:rsidR="00E94D72" w:rsidRDefault="00E94D72">
      <w:pPr>
        <w:rPr>
          <w:noProof/>
          <w:lang w:val="en-CA" w:eastAsia="en-CA"/>
        </w:rPr>
      </w:pPr>
    </w:p>
    <w:p w14:paraId="2E40F71F" w14:textId="77777777" w:rsidR="00E94D72" w:rsidRDefault="00E94D72">
      <w:pPr>
        <w:rPr>
          <w:noProof/>
          <w:lang w:val="en-CA" w:eastAsia="en-CA"/>
        </w:rPr>
      </w:pPr>
    </w:p>
    <w:p w14:paraId="39F879D7" w14:textId="77777777" w:rsidR="00E94D72" w:rsidRDefault="00E94D72">
      <w:pPr>
        <w:rPr>
          <w:noProof/>
          <w:lang w:val="en-CA" w:eastAsia="en-CA"/>
        </w:rPr>
      </w:pPr>
    </w:p>
    <w:p w14:paraId="75C34921" w14:textId="77777777" w:rsidR="00E94D72" w:rsidRDefault="00E94D72">
      <w:pPr>
        <w:rPr>
          <w:noProof/>
          <w:lang w:val="en-CA" w:eastAsia="en-CA"/>
        </w:rPr>
      </w:pPr>
    </w:p>
    <w:p w14:paraId="39BC807E" w14:textId="77777777" w:rsidR="00E94D72" w:rsidRDefault="00E94D72">
      <w:pPr>
        <w:rPr>
          <w:noProof/>
          <w:lang w:val="en-CA" w:eastAsia="en-CA"/>
        </w:rPr>
      </w:pPr>
    </w:p>
    <w:p w14:paraId="34B8A053" w14:textId="77777777" w:rsidR="00E94D72" w:rsidRDefault="00E94D72">
      <w:pPr>
        <w:rPr>
          <w:noProof/>
          <w:lang w:val="en-CA" w:eastAsia="en-CA"/>
        </w:rPr>
      </w:pPr>
    </w:p>
    <w:p w14:paraId="06277548" w14:textId="77777777" w:rsidR="00E94D72" w:rsidRDefault="00E94D72">
      <w:pPr>
        <w:rPr>
          <w:noProof/>
          <w:lang w:val="en-CA" w:eastAsia="en-CA"/>
        </w:rPr>
      </w:pPr>
    </w:p>
    <w:p w14:paraId="68AA56F9" w14:textId="77777777" w:rsidR="00E94D72" w:rsidRDefault="00E94D72">
      <w:pPr>
        <w:rPr>
          <w:noProof/>
          <w:lang w:val="en-CA" w:eastAsia="en-CA"/>
        </w:rPr>
      </w:pPr>
    </w:p>
    <w:p w14:paraId="67C83DCB" w14:textId="77777777" w:rsidR="00E94D72" w:rsidRDefault="00E94D72">
      <w:pPr>
        <w:rPr>
          <w:noProof/>
          <w:lang w:val="en-CA" w:eastAsia="en-CA"/>
        </w:rPr>
      </w:pPr>
    </w:p>
    <w:p w14:paraId="2C7B28B2" w14:textId="77777777" w:rsidR="00E94D72" w:rsidRDefault="00E94D72">
      <w:pPr>
        <w:rPr>
          <w:noProof/>
          <w:lang w:val="en-CA" w:eastAsia="en-CA"/>
        </w:rPr>
      </w:pPr>
    </w:p>
    <w:p w14:paraId="18E8066C" w14:textId="68F90A9C" w:rsidR="00D67DC5" w:rsidRPr="00992EB0" w:rsidRDefault="00D67DC5">
      <w:pPr>
        <w:rPr>
          <w:b/>
          <w:sz w:val="24"/>
          <w:szCs w:val="24"/>
        </w:rPr>
      </w:pPr>
      <w:r>
        <w:rPr>
          <w:b/>
          <w:sz w:val="24"/>
          <w:szCs w:val="24"/>
        </w:rPr>
        <w:br w:type="page"/>
      </w:r>
    </w:p>
    <w:p w14:paraId="6412A126" w14:textId="74E5AEC8" w:rsidR="00D67DC5" w:rsidRDefault="00D67DC5" w:rsidP="00D67DC5">
      <w:pPr>
        <w:rPr>
          <w:b/>
          <w:noProof/>
        </w:rPr>
      </w:pPr>
      <w:r w:rsidRPr="00287178">
        <w:rPr>
          <w:b/>
          <w:noProof/>
        </w:rPr>
        <w:lastRenderedPageBreak/>
        <w:t>Residential Rate Class – Non-RPP</w:t>
      </w:r>
    </w:p>
    <w:p w14:paraId="2A6F1802" w14:textId="355299FE" w:rsidR="0013293C" w:rsidRDefault="0013293C" w:rsidP="00D67DC5">
      <w:pPr>
        <w:rPr>
          <w:b/>
          <w:noProof/>
        </w:rPr>
      </w:pPr>
      <w:r>
        <w:rPr>
          <w:noProof/>
        </w:rPr>
        <w:drawing>
          <wp:inline distT="0" distB="0" distL="0" distR="0" wp14:anchorId="3CEA723A" wp14:editId="48E49D4F">
            <wp:extent cx="5943600" cy="3750945"/>
            <wp:effectExtent l="0" t="0" r="0" b="0"/>
            <wp:docPr id="17" name="Picture 1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able&#10;&#10;Description automatically generated"/>
                    <pic:cNvPicPr/>
                  </pic:nvPicPr>
                  <pic:blipFill>
                    <a:blip r:embed="rId27"/>
                    <a:stretch>
                      <a:fillRect/>
                    </a:stretch>
                  </pic:blipFill>
                  <pic:spPr>
                    <a:xfrm>
                      <a:off x="0" y="0"/>
                      <a:ext cx="5943600" cy="3750945"/>
                    </a:xfrm>
                    <a:prstGeom prst="rect">
                      <a:avLst/>
                    </a:prstGeom>
                  </pic:spPr>
                </pic:pic>
              </a:graphicData>
            </a:graphic>
          </wp:inline>
        </w:drawing>
      </w:r>
    </w:p>
    <w:p w14:paraId="4DFEB8C5" w14:textId="37E1BDAC" w:rsidR="00724C37" w:rsidRPr="00EE32E5" w:rsidRDefault="00724C37" w:rsidP="00D67DC5">
      <w:pPr>
        <w:rPr>
          <w:b/>
          <w:noProof/>
        </w:rPr>
      </w:pPr>
    </w:p>
    <w:p w14:paraId="497A61A7" w14:textId="7F7F8D0F" w:rsidR="00584B08" w:rsidRDefault="00773811">
      <w:r>
        <w:tab/>
      </w:r>
    </w:p>
    <w:p w14:paraId="77012F30" w14:textId="4004DEA0" w:rsidR="00584B08" w:rsidRDefault="00584B08"/>
    <w:p w14:paraId="15DD85A8" w14:textId="2500E109" w:rsidR="00187BDA" w:rsidRDefault="00187BDA"/>
    <w:p w14:paraId="2DC5DE47" w14:textId="3EA287C7" w:rsidR="00187BDA" w:rsidRDefault="00187BDA"/>
    <w:p w14:paraId="7C3FBCE7" w14:textId="7613A981" w:rsidR="00187BDA" w:rsidRDefault="00187BDA"/>
    <w:p w14:paraId="6B5A9EF0" w14:textId="089D2CB4" w:rsidR="00187BDA" w:rsidRDefault="00187BDA"/>
    <w:p w14:paraId="10C89B62" w14:textId="666A1B1A" w:rsidR="00187BDA" w:rsidRDefault="00187BDA"/>
    <w:p w14:paraId="0F9EAE95" w14:textId="44BE8240" w:rsidR="00187BDA" w:rsidRDefault="00187BDA"/>
    <w:p w14:paraId="5B97BB32" w14:textId="616A4400" w:rsidR="00187BDA" w:rsidRDefault="00187BDA"/>
    <w:p w14:paraId="037C3762" w14:textId="77777777" w:rsidR="00584B08" w:rsidRDefault="00584B08"/>
    <w:p w14:paraId="7CC60EBB" w14:textId="4E84E689" w:rsidR="00066A00" w:rsidRDefault="00584B08" w:rsidP="00CD7BD6">
      <w:pPr>
        <w:jc w:val="center"/>
      </w:pPr>
      <w:r>
        <w:t>~Respectfully Submitted”</w:t>
      </w:r>
      <w:r w:rsidR="00D21EBD">
        <w:br w:type="page"/>
      </w:r>
    </w:p>
    <w:p w14:paraId="23D83D01" w14:textId="27495CC9" w:rsidR="009D337A" w:rsidRDefault="00F93D6B" w:rsidP="001238F0">
      <w:pPr>
        <w:pStyle w:val="Heading2"/>
      </w:pPr>
      <w:bookmarkStart w:id="81" w:name="_Toc110425279"/>
      <w:r>
        <w:lastRenderedPageBreak/>
        <w:t>Appendices</w:t>
      </w:r>
      <w:bookmarkEnd w:id="81"/>
      <w:r w:rsidR="009D337A">
        <w:br w:type="page"/>
      </w:r>
    </w:p>
    <w:p w14:paraId="76A59E90" w14:textId="03BDC4E1" w:rsidR="009D337A" w:rsidRDefault="005B50F6" w:rsidP="00505E02">
      <w:pPr>
        <w:pStyle w:val="Heading3"/>
      </w:pPr>
      <w:bookmarkStart w:id="82" w:name="_Toc110425280"/>
      <w:r w:rsidRPr="00E63ADB">
        <w:lastRenderedPageBreak/>
        <w:t>A</w:t>
      </w:r>
      <w:r w:rsidR="00764EEF" w:rsidRPr="00E63ADB">
        <w:t>:</w:t>
      </w:r>
      <w:r w:rsidRPr="00E63ADB">
        <w:t xml:space="preserve"> </w:t>
      </w:r>
      <w:r w:rsidR="00175251" w:rsidRPr="00E63ADB">
        <w:t>OEB Letter Dated January 9, 2018, Re:  InnPower Application for Rates Ontario Energy Board (OEB) File Number: EB-2016-0085</w:t>
      </w:r>
      <w:bookmarkEnd w:id="82"/>
      <w:r w:rsidR="009D337A">
        <w:br w:type="page"/>
      </w:r>
    </w:p>
    <w:p w14:paraId="509A3147" w14:textId="5B104F70" w:rsidR="00EE32E5" w:rsidRDefault="005B50F6" w:rsidP="000B6741">
      <w:pPr>
        <w:pStyle w:val="Heading3"/>
      </w:pPr>
      <w:bookmarkStart w:id="83" w:name="_Toc110425281"/>
      <w:r w:rsidRPr="00E63ADB">
        <w:lastRenderedPageBreak/>
        <w:t>B</w:t>
      </w:r>
      <w:r w:rsidR="00764EEF" w:rsidRPr="00E63ADB">
        <w:t>:</w:t>
      </w:r>
      <w:r w:rsidR="00175251" w:rsidRPr="00E63ADB">
        <w:t xml:space="preserve"> OEB Decision and Order, EB-2016-0085 Section 3.13 Rate Riders</w:t>
      </w:r>
      <w:bookmarkEnd w:id="83"/>
      <w:r w:rsidR="00175251">
        <w:t xml:space="preserve"> </w:t>
      </w:r>
      <w:r w:rsidR="00EE32E5">
        <w:br w:type="page"/>
      </w:r>
    </w:p>
    <w:p w14:paraId="777005C2" w14:textId="40FCC566" w:rsidR="00510A9E" w:rsidRDefault="00120C56" w:rsidP="00510A9E">
      <w:pPr>
        <w:pStyle w:val="Heading3"/>
      </w:pPr>
      <w:bookmarkStart w:id="84" w:name="_Toc110425282"/>
      <w:r w:rsidRPr="003450E4">
        <w:lastRenderedPageBreak/>
        <w:t>C</w:t>
      </w:r>
      <w:r w:rsidR="00764EEF" w:rsidRPr="003450E4">
        <w:t>:</w:t>
      </w:r>
      <w:r w:rsidR="00A770AB" w:rsidRPr="003450E4">
        <w:t xml:space="preserve"> </w:t>
      </w:r>
      <w:r w:rsidR="008D4143" w:rsidRPr="00FB4785">
        <w:t>OEB Letter</w:t>
      </w:r>
      <w:r w:rsidR="008D4143" w:rsidRPr="00E63ADB">
        <w:t xml:space="preserve"> Dated </w:t>
      </w:r>
      <w:r w:rsidR="005906E4">
        <w:t>February 16</w:t>
      </w:r>
      <w:r w:rsidR="008D4143" w:rsidRPr="00E63ADB">
        <w:t>, 20</w:t>
      </w:r>
      <w:r w:rsidR="005906E4">
        <w:t>22</w:t>
      </w:r>
      <w:r w:rsidR="008D4143" w:rsidRPr="00E63ADB">
        <w:t xml:space="preserve">, Re:  </w:t>
      </w:r>
      <w:r w:rsidR="005906E4">
        <w:t>Delay in Filing</w:t>
      </w:r>
      <w:r w:rsidR="008D4143" w:rsidRPr="00E63ADB">
        <w:t xml:space="preserve"> (OEB) File Number: EB-20</w:t>
      </w:r>
      <w:r w:rsidR="005906E4">
        <w:t>22</w:t>
      </w:r>
      <w:r w:rsidR="008D4143" w:rsidRPr="00E63ADB">
        <w:t>-00</w:t>
      </w:r>
      <w:r w:rsidR="005906E4">
        <w:t>4</w:t>
      </w:r>
      <w:r w:rsidR="00A6736C">
        <w:t>3</w:t>
      </w:r>
      <w:bookmarkEnd w:id="84"/>
      <w:r w:rsidR="00510A9E">
        <w:br w:type="page"/>
      </w:r>
    </w:p>
    <w:p w14:paraId="54FE03E6" w14:textId="374890FE" w:rsidR="00F300B2" w:rsidRPr="00B2233A" w:rsidRDefault="00510A9E" w:rsidP="00B2233A">
      <w:pPr>
        <w:pStyle w:val="Heading3"/>
      </w:pPr>
      <w:bookmarkStart w:id="85" w:name="_Toc110425283"/>
      <w:r>
        <w:lastRenderedPageBreak/>
        <w:t>D</w:t>
      </w:r>
      <w:r w:rsidRPr="003450E4">
        <w:t xml:space="preserve">: OEB Decision and Order, EB-2016-0085 Section 3.7 Revenues and Costs relating to Affiliate </w:t>
      </w:r>
      <w:proofErr w:type="spellStart"/>
      <w:r w:rsidR="00AB5193">
        <w:t>Inn</w:t>
      </w:r>
      <w:r w:rsidR="005906E4">
        <w:t>Services</w:t>
      </w:r>
      <w:bookmarkEnd w:id="85"/>
      <w:proofErr w:type="spellEnd"/>
      <w:r w:rsidRPr="003450E4">
        <w:t xml:space="preserve"> </w:t>
      </w:r>
      <w:r w:rsidR="00F300B2">
        <w:rPr>
          <w:sz w:val="44"/>
          <w:szCs w:val="44"/>
        </w:rPr>
        <w:br w:type="page"/>
      </w:r>
    </w:p>
    <w:p w14:paraId="5EE9A215" w14:textId="1C97AEFC" w:rsidR="00B94BC9" w:rsidRDefault="00510A9E" w:rsidP="004429AE">
      <w:pPr>
        <w:pStyle w:val="Heading3"/>
      </w:pPr>
      <w:bookmarkStart w:id="86" w:name="_Toc110425284"/>
      <w:r>
        <w:lastRenderedPageBreak/>
        <w:t>E</w:t>
      </w:r>
      <w:r w:rsidR="00F300B2" w:rsidRPr="00FB4785">
        <w:t xml:space="preserve">: </w:t>
      </w:r>
      <w:r w:rsidR="00FB4785" w:rsidRPr="00FB4785">
        <w:t>OEB Letter</w:t>
      </w:r>
      <w:r w:rsidR="00FB4785" w:rsidRPr="00E63ADB">
        <w:t xml:space="preserve"> Dated </w:t>
      </w:r>
      <w:r w:rsidR="00FB4785">
        <w:t>April</w:t>
      </w:r>
      <w:r w:rsidR="00FB4785" w:rsidRPr="00E63ADB">
        <w:t xml:space="preserve"> 9, 201</w:t>
      </w:r>
      <w:r w:rsidR="00FB4785">
        <w:t>9</w:t>
      </w:r>
      <w:r w:rsidR="00FB4785" w:rsidRPr="00E63ADB">
        <w:t xml:space="preserve">, Re:  </w:t>
      </w:r>
      <w:r w:rsidR="00FB4785">
        <w:t>Audit of Affiliate Transactions</w:t>
      </w:r>
      <w:r w:rsidR="00FB4785" w:rsidRPr="00E63ADB">
        <w:t xml:space="preserve"> (OEB) File Number: EB-2016-0085</w:t>
      </w:r>
      <w:bookmarkEnd w:id="86"/>
      <w:r w:rsidR="00B94BC9">
        <w:br w:type="page"/>
      </w:r>
    </w:p>
    <w:p w14:paraId="18B5B731" w14:textId="08CFE3F7" w:rsidR="007E00AE" w:rsidRDefault="00510A9E" w:rsidP="00B94BC9">
      <w:pPr>
        <w:pStyle w:val="Heading3"/>
        <w:sectPr w:rsidR="007E00AE" w:rsidSect="00396F05">
          <w:pgSz w:w="12240" w:h="15840"/>
          <w:pgMar w:top="1440" w:right="1440" w:bottom="1440" w:left="1440" w:header="720" w:footer="720" w:gutter="0"/>
          <w:lnNumType w:countBy="1"/>
          <w:cols w:space="720"/>
          <w:docGrid w:linePitch="360"/>
        </w:sectPr>
      </w:pPr>
      <w:bookmarkStart w:id="87" w:name="_Toc110425285"/>
      <w:r>
        <w:lastRenderedPageBreak/>
        <w:t>F</w:t>
      </w:r>
      <w:r w:rsidR="00B94BC9" w:rsidRPr="00383EF4">
        <w:t xml:space="preserve">: </w:t>
      </w:r>
      <w:r w:rsidR="007E00AE" w:rsidRPr="00383EF4">
        <w:t xml:space="preserve">Current </w:t>
      </w:r>
      <w:proofErr w:type="gramStart"/>
      <w:r w:rsidR="007E00AE" w:rsidRPr="00383EF4">
        <w:t xml:space="preserve">Tariff </w:t>
      </w:r>
      <w:r w:rsidR="00483AA8" w:rsidRPr="00383EF4">
        <w:t xml:space="preserve"> Sheet</w:t>
      </w:r>
      <w:bookmarkEnd w:id="87"/>
      <w:proofErr w:type="gramEnd"/>
    </w:p>
    <w:p w14:paraId="781203C8" w14:textId="44E30F2B" w:rsidR="00B94BC9" w:rsidRDefault="00510A9E" w:rsidP="00B94BC9">
      <w:pPr>
        <w:pStyle w:val="Heading3"/>
      </w:pPr>
      <w:bookmarkStart w:id="88" w:name="_Toc110425286"/>
      <w:r>
        <w:lastRenderedPageBreak/>
        <w:t>G</w:t>
      </w:r>
      <w:r w:rsidR="007E00AE" w:rsidRPr="00383EF4">
        <w:t>: IPC Certification</w:t>
      </w:r>
      <w:bookmarkEnd w:id="88"/>
    </w:p>
    <w:sectPr w:rsidR="00B94BC9" w:rsidSect="00396F05">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477D" w14:textId="77777777" w:rsidR="002D60A7" w:rsidRDefault="002D60A7" w:rsidP="0042407E">
      <w:pPr>
        <w:spacing w:after="0" w:line="240" w:lineRule="auto"/>
      </w:pPr>
      <w:r>
        <w:separator/>
      </w:r>
    </w:p>
  </w:endnote>
  <w:endnote w:type="continuationSeparator" w:id="0">
    <w:p w14:paraId="1FFF249A" w14:textId="77777777" w:rsidR="002D60A7" w:rsidRDefault="002D60A7" w:rsidP="00424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D890" w14:textId="77777777" w:rsidR="002D60A7" w:rsidRDefault="002D60A7" w:rsidP="0042407E">
      <w:pPr>
        <w:spacing w:after="0" w:line="240" w:lineRule="auto"/>
      </w:pPr>
      <w:r>
        <w:separator/>
      </w:r>
    </w:p>
  </w:footnote>
  <w:footnote w:type="continuationSeparator" w:id="0">
    <w:p w14:paraId="37EA55F5" w14:textId="77777777" w:rsidR="002D60A7" w:rsidRDefault="002D60A7" w:rsidP="00424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1176" w14:textId="39650888" w:rsidR="002D60A7" w:rsidRDefault="002D60A7">
    <w:pPr>
      <w:pStyle w:val="Header"/>
      <w:pBdr>
        <w:bottom w:val="single" w:sz="4" w:space="8" w:color="5B9BD5" w:themeColor="accent1"/>
      </w:pBdr>
      <w:tabs>
        <w:tab w:val="clear" w:pos="4680"/>
        <w:tab w:val="clear" w:pos="9360"/>
      </w:tabs>
      <w:spacing w:after="360"/>
      <w:contextualSpacing/>
      <w:jc w:val="right"/>
      <w:rPr>
        <w:color w:val="404040" w:themeColor="text1" w:themeTint="BF"/>
      </w:rPr>
    </w:pPr>
    <w:r>
      <w:rPr>
        <w:color w:val="404040" w:themeColor="text1" w:themeTint="BF"/>
      </w:rPr>
      <w:t>EB-202</w:t>
    </w:r>
    <w:r w:rsidR="00842092">
      <w:rPr>
        <w:color w:val="404040" w:themeColor="text1" w:themeTint="BF"/>
      </w:rPr>
      <w:t>2</w:t>
    </w:r>
    <w:r>
      <w:rPr>
        <w:color w:val="404040" w:themeColor="text1" w:themeTint="BF"/>
      </w:rPr>
      <w:t>-00</w:t>
    </w:r>
    <w:r w:rsidR="00842092">
      <w:rPr>
        <w:color w:val="404040" w:themeColor="text1" w:themeTint="BF"/>
      </w:rPr>
      <w:t>43</w:t>
    </w:r>
  </w:p>
  <w:p w14:paraId="698999FB" w14:textId="77777777" w:rsidR="002D60A7" w:rsidRDefault="002D60A7">
    <w:pPr>
      <w:pStyle w:val="Header"/>
      <w:pBdr>
        <w:bottom w:val="single" w:sz="4" w:space="8" w:color="5B9BD5" w:themeColor="accent1"/>
      </w:pBdr>
      <w:tabs>
        <w:tab w:val="clear" w:pos="4680"/>
        <w:tab w:val="clear" w:pos="9360"/>
      </w:tabs>
      <w:spacing w:after="360"/>
      <w:contextualSpacing/>
      <w:jc w:val="right"/>
      <w:rPr>
        <w:color w:val="404040" w:themeColor="text1" w:themeTint="BF"/>
      </w:rPr>
    </w:pPr>
    <w:r>
      <w:rPr>
        <w:color w:val="404040" w:themeColor="text1" w:themeTint="BF"/>
      </w:rPr>
      <w:t>InnPower Corporation</w:t>
    </w:r>
  </w:p>
  <w:p w14:paraId="5EE52246" w14:textId="03C0FBFD" w:rsidR="002D60A7" w:rsidRDefault="002D60A7">
    <w:pPr>
      <w:pStyle w:val="Header"/>
      <w:pBdr>
        <w:bottom w:val="single" w:sz="4" w:space="8" w:color="5B9BD5" w:themeColor="accent1"/>
      </w:pBdr>
      <w:tabs>
        <w:tab w:val="clear" w:pos="4680"/>
        <w:tab w:val="clear" w:pos="9360"/>
      </w:tabs>
      <w:spacing w:after="360"/>
      <w:contextualSpacing/>
      <w:jc w:val="right"/>
      <w:rPr>
        <w:color w:val="404040" w:themeColor="text1" w:themeTint="BF"/>
      </w:rPr>
    </w:pPr>
    <w:r>
      <w:rPr>
        <w:color w:val="404040" w:themeColor="text1" w:themeTint="BF"/>
      </w:rPr>
      <w:t xml:space="preserve">Filed: August </w:t>
    </w:r>
    <w:r w:rsidR="00842092">
      <w:rPr>
        <w:color w:val="404040" w:themeColor="text1" w:themeTint="BF"/>
      </w:rPr>
      <w:t>3</w:t>
    </w:r>
    <w:r>
      <w:rPr>
        <w:color w:val="404040" w:themeColor="text1" w:themeTint="BF"/>
      </w:rPr>
      <w:t>, 202</w:t>
    </w:r>
    <w:r w:rsidR="00842092">
      <w:rPr>
        <w:color w:val="404040" w:themeColor="text1" w:themeTint="BF"/>
      </w:rPr>
      <w:t>2</w:t>
    </w:r>
  </w:p>
  <w:p w14:paraId="1760CD72" w14:textId="44A0B800" w:rsidR="002D60A7" w:rsidRDefault="002D60A7">
    <w:pPr>
      <w:pStyle w:val="Header"/>
      <w:pBdr>
        <w:bottom w:val="single" w:sz="4" w:space="8" w:color="5B9BD5" w:themeColor="accent1"/>
      </w:pBdr>
      <w:tabs>
        <w:tab w:val="clear" w:pos="4680"/>
        <w:tab w:val="clear" w:pos="9360"/>
      </w:tabs>
      <w:spacing w:after="360"/>
      <w:contextualSpacing/>
      <w:jc w:val="right"/>
      <w:rPr>
        <w:color w:val="404040" w:themeColor="text1" w:themeTint="BF"/>
      </w:rPr>
    </w:pPr>
    <w:r w:rsidRPr="00B70D51">
      <w:rPr>
        <w:color w:val="404040" w:themeColor="text1" w:themeTint="BF"/>
      </w:rPr>
      <w:t xml:space="preserve">Page </w:t>
    </w:r>
    <w:r>
      <w:rPr>
        <w:b/>
        <w:bCs/>
        <w:color w:val="404040" w:themeColor="text1" w:themeTint="BF"/>
      </w:rPr>
      <w:fldChar w:fldCharType="begin"/>
    </w:r>
    <w:r>
      <w:rPr>
        <w:b/>
        <w:bCs/>
        <w:color w:val="404040" w:themeColor="text1" w:themeTint="BF"/>
      </w:rPr>
      <w:instrText xml:space="preserve"> PAGE  \* Arabic  \* MERGEFORMAT </w:instrText>
    </w:r>
    <w:r>
      <w:rPr>
        <w:b/>
        <w:bCs/>
        <w:color w:val="404040" w:themeColor="text1" w:themeTint="BF"/>
      </w:rPr>
      <w:fldChar w:fldCharType="separate"/>
    </w:r>
    <w:r w:rsidR="004979D9">
      <w:rPr>
        <w:b/>
        <w:bCs/>
        <w:noProof/>
        <w:color w:val="404040" w:themeColor="text1" w:themeTint="BF"/>
      </w:rPr>
      <w:t>18</w:t>
    </w:r>
    <w:r>
      <w:rPr>
        <w:b/>
        <w:bCs/>
        <w:color w:val="404040" w:themeColor="text1" w:themeTint="BF"/>
      </w:rPr>
      <w:fldChar w:fldCharType="end"/>
    </w:r>
    <w:r w:rsidRPr="00B70D51">
      <w:rPr>
        <w:color w:val="404040" w:themeColor="text1" w:themeTint="BF"/>
      </w:rPr>
      <w:t xml:space="preserve"> of </w:t>
    </w:r>
    <w:r w:rsidRPr="00B70D51">
      <w:rPr>
        <w:b/>
        <w:bCs/>
        <w:color w:val="404040" w:themeColor="text1" w:themeTint="BF"/>
      </w:rPr>
      <w:fldChar w:fldCharType="begin"/>
    </w:r>
    <w:r w:rsidRPr="00B70D51">
      <w:rPr>
        <w:b/>
        <w:bCs/>
        <w:color w:val="404040" w:themeColor="text1" w:themeTint="BF"/>
      </w:rPr>
      <w:instrText xml:space="preserve"> NUMPAGES  \* Arabic  \* MERGEFORMAT </w:instrText>
    </w:r>
    <w:r w:rsidRPr="00B70D51">
      <w:rPr>
        <w:b/>
        <w:bCs/>
        <w:color w:val="404040" w:themeColor="text1" w:themeTint="BF"/>
      </w:rPr>
      <w:fldChar w:fldCharType="separate"/>
    </w:r>
    <w:r w:rsidR="004979D9">
      <w:rPr>
        <w:b/>
        <w:bCs/>
        <w:noProof/>
        <w:color w:val="404040" w:themeColor="text1" w:themeTint="BF"/>
      </w:rPr>
      <w:t>32</w:t>
    </w:r>
    <w:r w:rsidRPr="00B70D51">
      <w:rPr>
        <w:b/>
        <w:bCs/>
        <w:color w:val="404040" w:themeColor="text1" w:themeTint="BF"/>
      </w:rPr>
      <w:fldChar w:fldCharType="end"/>
    </w:r>
  </w:p>
  <w:p w14:paraId="77B6451C" w14:textId="77777777" w:rsidR="002D60A7" w:rsidRDefault="002D6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1FC9"/>
    <w:multiLevelType w:val="hybridMultilevel"/>
    <w:tmpl w:val="D74296E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37111EA"/>
    <w:multiLevelType w:val="hybridMultilevel"/>
    <w:tmpl w:val="2F8A3242"/>
    <w:lvl w:ilvl="0" w:tplc="26B8CB3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EB07FE"/>
    <w:multiLevelType w:val="hybridMultilevel"/>
    <w:tmpl w:val="9EDAA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40478A3"/>
    <w:multiLevelType w:val="hybridMultilevel"/>
    <w:tmpl w:val="AC96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F5F86"/>
    <w:multiLevelType w:val="multilevel"/>
    <w:tmpl w:val="D9648A6A"/>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EAF34BE"/>
    <w:multiLevelType w:val="hybridMultilevel"/>
    <w:tmpl w:val="138E789E"/>
    <w:lvl w:ilvl="0" w:tplc="10090001">
      <w:start w:val="1"/>
      <w:numFmt w:val="bullet"/>
      <w:lvlText w:val=""/>
      <w:lvlJc w:val="left"/>
      <w:pPr>
        <w:ind w:left="1130" w:hanging="360"/>
      </w:pPr>
      <w:rPr>
        <w:rFonts w:ascii="Symbol" w:hAnsi="Symbol" w:hint="default"/>
      </w:rPr>
    </w:lvl>
    <w:lvl w:ilvl="1" w:tplc="10090003" w:tentative="1">
      <w:start w:val="1"/>
      <w:numFmt w:val="bullet"/>
      <w:lvlText w:val="o"/>
      <w:lvlJc w:val="left"/>
      <w:pPr>
        <w:ind w:left="1850" w:hanging="360"/>
      </w:pPr>
      <w:rPr>
        <w:rFonts w:ascii="Courier New" w:hAnsi="Courier New" w:cs="Courier New" w:hint="default"/>
      </w:rPr>
    </w:lvl>
    <w:lvl w:ilvl="2" w:tplc="10090005" w:tentative="1">
      <w:start w:val="1"/>
      <w:numFmt w:val="bullet"/>
      <w:lvlText w:val=""/>
      <w:lvlJc w:val="left"/>
      <w:pPr>
        <w:ind w:left="2570" w:hanging="360"/>
      </w:pPr>
      <w:rPr>
        <w:rFonts w:ascii="Wingdings" w:hAnsi="Wingdings" w:hint="default"/>
      </w:rPr>
    </w:lvl>
    <w:lvl w:ilvl="3" w:tplc="10090001" w:tentative="1">
      <w:start w:val="1"/>
      <w:numFmt w:val="bullet"/>
      <w:lvlText w:val=""/>
      <w:lvlJc w:val="left"/>
      <w:pPr>
        <w:ind w:left="3290" w:hanging="360"/>
      </w:pPr>
      <w:rPr>
        <w:rFonts w:ascii="Symbol" w:hAnsi="Symbol" w:hint="default"/>
      </w:rPr>
    </w:lvl>
    <w:lvl w:ilvl="4" w:tplc="10090003" w:tentative="1">
      <w:start w:val="1"/>
      <w:numFmt w:val="bullet"/>
      <w:lvlText w:val="o"/>
      <w:lvlJc w:val="left"/>
      <w:pPr>
        <w:ind w:left="4010" w:hanging="360"/>
      </w:pPr>
      <w:rPr>
        <w:rFonts w:ascii="Courier New" w:hAnsi="Courier New" w:cs="Courier New" w:hint="default"/>
      </w:rPr>
    </w:lvl>
    <w:lvl w:ilvl="5" w:tplc="10090005" w:tentative="1">
      <w:start w:val="1"/>
      <w:numFmt w:val="bullet"/>
      <w:lvlText w:val=""/>
      <w:lvlJc w:val="left"/>
      <w:pPr>
        <w:ind w:left="4730" w:hanging="360"/>
      </w:pPr>
      <w:rPr>
        <w:rFonts w:ascii="Wingdings" w:hAnsi="Wingdings" w:hint="default"/>
      </w:rPr>
    </w:lvl>
    <w:lvl w:ilvl="6" w:tplc="10090001" w:tentative="1">
      <w:start w:val="1"/>
      <w:numFmt w:val="bullet"/>
      <w:lvlText w:val=""/>
      <w:lvlJc w:val="left"/>
      <w:pPr>
        <w:ind w:left="5450" w:hanging="360"/>
      </w:pPr>
      <w:rPr>
        <w:rFonts w:ascii="Symbol" w:hAnsi="Symbol" w:hint="default"/>
      </w:rPr>
    </w:lvl>
    <w:lvl w:ilvl="7" w:tplc="10090003" w:tentative="1">
      <w:start w:val="1"/>
      <w:numFmt w:val="bullet"/>
      <w:lvlText w:val="o"/>
      <w:lvlJc w:val="left"/>
      <w:pPr>
        <w:ind w:left="6170" w:hanging="360"/>
      </w:pPr>
      <w:rPr>
        <w:rFonts w:ascii="Courier New" w:hAnsi="Courier New" w:cs="Courier New" w:hint="default"/>
      </w:rPr>
    </w:lvl>
    <w:lvl w:ilvl="8" w:tplc="10090005" w:tentative="1">
      <w:start w:val="1"/>
      <w:numFmt w:val="bullet"/>
      <w:lvlText w:val=""/>
      <w:lvlJc w:val="left"/>
      <w:pPr>
        <w:ind w:left="6890" w:hanging="360"/>
      </w:pPr>
      <w:rPr>
        <w:rFonts w:ascii="Wingdings" w:hAnsi="Wingdings" w:hint="default"/>
      </w:rPr>
    </w:lvl>
  </w:abstractNum>
  <w:abstractNum w:abstractNumId="6" w15:restartNumberingAfterBreak="0">
    <w:nsid w:val="351A6FA0"/>
    <w:multiLevelType w:val="hybridMultilevel"/>
    <w:tmpl w:val="A94E7EA8"/>
    <w:lvl w:ilvl="0" w:tplc="10090001">
      <w:start w:val="1"/>
      <w:numFmt w:val="bullet"/>
      <w:lvlText w:val=""/>
      <w:lvlJc w:val="left"/>
      <w:pPr>
        <w:ind w:left="1491" w:hanging="360"/>
      </w:pPr>
      <w:rPr>
        <w:rFonts w:ascii="Symbol" w:hAnsi="Symbol" w:hint="default"/>
      </w:rPr>
    </w:lvl>
    <w:lvl w:ilvl="1" w:tplc="10090003" w:tentative="1">
      <w:start w:val="1"/>
      <w:numFmt w:val="bullet"/>
      <w:lvlText w:val="o"/>
      <w:lvlJc w:val="left"/>
      <w:pPr>
        <w:ind w:left="2211" w:hanging="360"/>
      </w:pPr>
      <w:rPr>
        <w:rFonts w:ascii="Courier New" w:hAnsi="Courier New" w:cs="Courier New" w:hint="default"/>
      </w:rPr>
    </w:lvl>
    <w:lvl w:ilvl="2" w:tplc="10090005" w:tentative="1">
      <w:start w:val="1"/>
      <w:numFmt w:val="bullet"/>
      <w:lvlText w:val=""/>
      <w:lvlJc w:val="left"/>
      <w:pPr>
        <w:ind w:left="2931" w:hanging="360"/>
      </w:pPr>
      <w:rPr>
        <w:rFonts w:ascii="Wingdings" w:hAnsi="Wingdings" w:hint="default"/>
      </w:rPr>
    </w:lvl>
    <w:lvl w:ilvl="3" w:tplc="10090001" w:tentative="1">
      <w:start w:val="1"/>
      <w:numFmt w:val="bullet"/>
      <w:lvlText w:val=""/>
      <w:lvlJc w:val="left"/>
      <w:pPr>
        <w:ind w:left="3651" w:hanging="360"/>
      </w:pPr>
      <w:rPr>
        <w:rFonts w:ascii="Symbol" w:hAnsi="Symbol" w:hint="default"/>
      </w:rPr>
    </w:lvl>
    <w:lvl w:ilvl="4" w:tplc="10090003" w:tentative="1">
      <w:start w:val="1"/>
      <w:numFmt w:val="bullet"/>
      <w:lvlText w:val="o"/>
      <w:lvlJc w:val="left"/>
      <w:pPr>
        <w:ind w:left="4371" w:hanging="360"/>
      </w:pPr>
      <w:rPr>
        <w:rFonts w:ascii="Courier New" w:hAnsi="Courier New" w:cs="Courier New" w:hint="default"/>
      </w:rPr>
    </w:lvl>
    <w:lvl w:ilvl="5" w:tplc="10090005" w:tentative="1">
      <w:start w:val="1"/>
      <w:numFmt w:val="bullet"/>
      <w:lvlText w:val=""/>
      <w:lvlJc w:val="left"/>
      <w:pPr>
        <w:ind w:left="5091" w:hanging="360"/>
      </w:pPr>
      <w:rPr>
        <w:rFonts w:ascii="Wingdings" w:hAnsi="Wingdings" w:hint="default"/>
      </w:rPr>
    </w:lvl>
    <w:lvl w:ilvl="6" w:tplc="10090001" w:tentative="1">
      <w:start w:val="1"/>
      <w:numFmt w:val="bullet"/>
      <w:lvlText w:val=""/>
      <w:lvlJc w:val="left"/>
      <w:pPr>
        <w:ind w:left="5811" w:hanging="360"/>
      </w:pPr>
      <w:rPr>
        <w:rFonts w:ascii="Symbol" w:hAnsi="Symbol" w:hint="default"/>
      </w:rPr>
    </w:lvl>
    <w:lvl w:ilvl="7" w:tplc="10090003" w:tentative="1">
      <w:start w:val="1"/>
      <w:numFmt w:val="bullet"/>
      <w:lvlText w:val="o"/>
      <w:lvlJc w:val="left"/>
      <w:pPr>
        <w:ind w:left="6531" w:hanging="360"/>
      </w:pPr>
      <w:rPr>
        <w:rFonts w:ascii="Courier New" w:hAnsi="Courier New" w:cs="Courier New" w:hint="default"/>
      </w:rPr>
    </w:lvl>
    <w:lvl w:ilvl="8" w:tplc="10090005" w:tentative="1">
      <w:start w:val="1"/>
      <w:numFmt w:val="bullet"/>
      <w:lvlText w:val=""/>
      <w:lvlJc w:val="left"/>
      <w:pPr>
        <w:ind w:left="7251" w:hanging="360"/>
      </w:pPr>
      <w:rPr>
        <w:rFonts w:ascii="Wingdings" w:hAnsi="Wingdings" w:hint="default"/>
      </w:rPr>
    </w:lvl>
  </w:abstractNum>
  <w:abstractNum w:abstractNumId="7" w15:restartNumberingAfterBreak="0">
    <w:nsid w:val="3E306E15"/>
    <w:multiLevelType w:val="hybridMultilevel"/>
    <w:tmpl w:val="CD30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22832"/>
    <w:multiLevelType w:val="hybridMultilevel"/>
    <w:tmpl w:val="8D427E90"/>
    <w:lvl w:ilvl="0" w:tplc="D3560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8648C"/>
    <w:multiLevelType w:val="multilevel"/>
    <w:tmpl w:val="D9648A6A"/>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5C311B7"/>
    <w:multiLevelType w:val="hybridMultilevel"/>
    <w:tmpl w:val="2A5689D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36F4F"/>
    <w:multiLevelType w:val="hybridMultilevel"/>
    <w:tmpl w:val="E8F0FAC0"/>
    <w:lvl w:ilvl="0" w:tplc="B554F5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A07A1"/>
    <w:multiLevelType w:val="hybridMultilevel"/>
    <w:tmpl w:val="092AF7DE"/>
    <w:lvl w:ilvl="0" w:tplc="04090011">
      <w:start w:val="1"/>
      <w:numFmt w:val="decimal"/>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8271819"/>
    <w:multiLevelType w:val="hybridMultilevel"/>
    <w:tmpl w:val="1F428774"/>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834101C"/>
    <w:multiLevelType w:val="hybridMultilevel"/>
    <w:tmpl w:val="528C2062"/>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31722CF"/>
    <w:multiLevelType w:val="hybridMultilevel"/>
    <w:tmpl w:val="092AF7DE"/>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7A57F2C"/>
    <w:multiLevelType w:val="hybridMultilevel"/>
    <w:tmpl w:val="092AF7DE"/>
    <w:lvl w:ilvl="0" w:tplc="04090011">
      <w:start w:val="1"/>
      <w:numFmt w:val="decimal"/>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8E67A71"/>
    <w:multiLevelType w:val="hybridMultilevel"/>
    <w:tmpl w:val="2F8A3242"/>
    <w:lvl w:ilvl="0" w:tplc="26B8CB3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6D64B37"/>
    <w:multiLevelType w:val="hybridMultilevel"/>
    <w:tmpl w:val="987EC4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96799532">
    <w:abstractNumId w:val="4"/>
  </w:num>
  <w:num w:numId="2" w16cid:durableId="529803246">
    <w:abstractNumId w:val="10"/>
  </w:num>
  <w:num w:numId="3" w16cid:durableId="1076512305">
    <w:abstractNumId w:val="3"/>
  </w:num>
  <w:num w:numId="4" w16cid:durableId="347299072">
    <w:abstractNumId w:val="11"/>
  </w:num>
  <w:num w:numId="5" w16cid:durableId="1535342427">
    <w:abstractNumId w:val="7"/>
  </w:num>
  <w:num w:numId="6" w16cid:durableId="1231423707">
    <w:abstractNumId w:val="18"/>
  </w:num>
  <w:num w:numId="7" w16cid:durableId="743182421">
    <w:abstractNumId w:val="13"/>
  </w:num>
  <w:num w:numId="8" w16cid:durableId="1654025273">
    <w:abstractNumId w:val="17"/>
  </w:num>
  <w:num w:numId="9" w16cid:durableId="708993303">
    <w:abstractNumId w:val="14"/>
  </w:num>
  <w:num w:numId="10" w16cid:durableId="2064669543">
    <w:abstractNumId w:val="8"/>
  </w:num>
  <w:num w:numId="11" w16cid:durableId="1219126059">
    <w:abstractNumId w:val="6"/>
  </w:num>
  <w:num w:numId="12" w16cid:durableId="125243427">
    <w:abstractNumId w:val="5"/>
  </w:num>
  <w:num w:numId="13" w16cid:durableId="1937397346">
    <w:abstractNumId w:val="0"/>
  </w:num>
  <w:num w:numId="14" w16cid:durableId="1526946932">
    <w:abstractNumId w:val="1"/>
  </w:num>
  <w:num w:numId="15" w16cid:durableId="217013633">
    <w:abstractNumId w:val="2"/>
  </w:num>
  <w:num w:numId="16" w16cid:durableId="190067831">
    <w:abstractNumId w:val="16"/>
  </w:num>
  <w:num w:numId="17" w16cid:durableId="2101371193">
    <w:abstractNumId w:val="12"/>
  </w:num>
  <w:num w:numId="18" w16cid:durableId="427042817">
    <w:abstractNumId w:val="9"/>
  </w:num>
  <w:num w:numId="19" w16cid:durableId="4892473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58CE"/>
    <w:rsid w:val="000013A4"/>
    <w:rsid w:val="000120F3"/>
    <w:rsid w:val="000125E1"/>
    <w:rsid w:val="00013473"/>
    <w:rsid w:val="0001764E"/>
    <w:rsid w:val="00020F76"/>
    <w:rsid w:val="00021258"/>
    <w:rsid w:val="0002404C"/>
    <w:rsid w:val="00027145"/>
    <w:rsid w:val="0003170F"/>
    <w:rsid w:val="0003311F"/>
    <w:rsid w:val="0004023B"/>
    <w:rsid w:val="00042A25"/>
    <w:rsid w:val="00044633"/>
    <w:rsid w:val="000513D0"/>
    <w:rsid w:val="00052129"/>
    <w:rsid w:val="00054597"/>
    <w:rsid w:val="000618DC"/>
    <w:rsid w:val="00066A00"/>
    <w:rsid w:val="0007044D"/>
    <w:rsid w:val="000747C6"/>
    <w:rsid w:val="000805E7"/>
    <w:rsid w:val="00084753"/>
    <w:rsid w:val="000850D0"/>
    <w:rsid w:val="000912C6"/>
    <w:rsid w:val="000948A4"/>
    <w:rsid w:val="000A4672"/>
    <w:rsid w:val="000B419B"/>
    <w:rsid w:val="000B6741"/>
    <w:rsid w:val="000C1FAD"/>
    <w:rsid w:val="000C320C"/>
    <w:rsid w:val="000C6CA0"/>
    <w:rsid w:val="000D3229"/>
    <w:rsid w:val="000D5CAE"/>
    <w:rsid w:val="000D75FE"/>
    <w:rsid w:val="000E15D8"/>
    <w:rsid w:val="000E208E"/>
    <w:rsid w:val="000F11A6"/>
    <w:rsid w:val="000F5BCA"/>
    <w:rsid w:val="000F664F"/>
    <w:rsid w:val="000F6F13"/>
    <w:rsid w:val="00102DD8"/>
    <w:rsid w:val="00103902"/>
    <w:rsid w:val="00120C56"/>
    <w:rsid w:val="001238F0"/>
    <w:rsid w:val="0013293C"/>
    <w:rsid w:val="001364EC"/>
    <w:rsid w:val="001410D8"/>
    <w:rsid w:val="0014151C"/>
    <w:rsid w:val="00142148"/>
    <w:rsid w:val="00146F97"/>
    <w:rsid w:val="00150A20"/>
    <w:rsid w:val="00154C6F"/>
    <w:rsid w:val="0015543F"/>
    <w:rsid w:val="001567BA"/>
    <w:rsid w:val="0016222B"/>
    <w:rsid w:val="00175251"/>
    <w:rsid w:val="00176B00"/>
    <w:rsid w:val="00187BDA"/>
    <w:rsid w:val="00190E06"/>
    <w:rsid w:val="00192382"/>
    <w:rsid w:val="001A07FB"/>
    <w:rsid w:val="001A2BD0"/>
    <w:rsid w:val="001A2EF5"/>
    <w:rsid w:val="001A455F"/>
    <w:rsid w:val="001A4A3B"/>
    <w:rsid w:val="001B1919"/>
    <w:rsid w:val="001B47D1"/>
    <w:rsid w:val="001C47BD"/>
    <w:rsid w:val="001D143B"/>
    <w:rsid w:val="001D2E15"/>
    <w:rsid w:val="001D325C"/>
    <w:rsid w:val="001D7607"/>
    <w:rsid w:val="001E3B7C"/>
    <w:rsid w:val="001E4A3E"/>
    <w:rsid w:val="001E5DA4"/>
    <w:rsid w:val="001F5F4D"/>
    <w:rsid w:val="001F5F54"/>
    <w:rsid w:val="00204D92"/>
    <w:rsid w:val="0021030A"/>
    <w:rsid w:val="002105EE"/>
    <w:rsid w:val="00210CD1"/>
    <w:rsid w:val="002177D6"/>
    <w:rsid w:val="00220CBF"/>
    <w:rsid w:val="002238E7"/>
    <w:rsid w:val="0022552D"/>
    <w:rsid w:val="0023192C"/>
    <w:rsid w:val="002358E0"/>
    <w:rsid w:val="00236517"/>
    <w:rsid w:val="00241AF9"/>
    <w:rsid w:val="00244B31"/>
    <w:rsid w:val="002469BB"/>
    <w:rsid w:val="00246A0E"/>
    <w:rsid w:val="00257493"/>
    <w:rsid w:val="00257A74"/>
    <w:rsid w:val="002605E5"/>
    <w:rsid w:val="0026069D"/>
    <w:rsid w:val="002609A3"/>
    <w:rsid w:val="0027584B"/>
    <w:rsid w:val="00276317"/>
    <w:rsid w:val="00287178"/>
    <w:rsid w:val="00291186"/>
    <w:rsid w:val="00293D68"/>
    <w:rsid w:val="00294738"/>
    <w:rsid w:val="002A02AB"/>
    <w:rsid w:val="002A075C"/>
    <w:rsid w:val="002B1137"/>
    <w:rsid w:val="002B1177"/>
    <w:rsid w:val="002B3162"/>
    <w:rsid w:val="002B33D8"/>
    <w:rsid w:val="002C0438"/>
    <w:rsid w:val="002C0442"/>
    <w:rsid w:val="002C1EA3"/>
    <w:rsid w:val="002C4D58"/>
    <w:rsid w:val="002C71B2"/>
    <w:rsid w:val="002C73D2"/>
    <w:rsid w:val="002C7C2C"/>
    <w:rsid w:val="002D28F2"/>
    <w:rsid w:val="002D60A7"/>
    <w:rsid w:val="002E1640"/>
    <w:rsid w:val="002E1988"/>
    <w:rsid w:val="002E2E90"/>
    <w:rsid w:val="003063BE"/>
    <w:rsid w:val="003264C1"/>
    <w:rsid w:val="00326A46"/>
    <w:rsid w:val="00327538"/>
    <w:rsid w:val="003303F0"/>
    <w:rsid w:val="00333C26"/>
    <w:rsid w:val="003345B7"/>
    <w:rsid w:val="00334E3D"/>
    <w:rsid w:val="003406B0"/>
    <w:rsid w:val="003430A8"/>
    <w:rsid w:val="0034369F"/>
    <w:rsid w:val="003450E4"/>
    <w:rsid w:val="00346DCB"/>
    <w:rsid w:val="003471AA"/>
    <w:rsid w:val="00350E6D"/>
    <w:rsid w:val="00363F03"/>
    <w:rsid w:val="00364AAC"/>
    <w:rsid w:val="00374A6E"/>
    <w:rsid w:val="003753BD"/>
    <w:rsid w:val="003764A7"/>
    <w:rsid w:val="00377F29"/>
    <w:rsid w:val="003813A2"/>
    <w:rsid w:val="00383EF4"/>
    <w:rsid w:val="00391E5A"/>
    <w:rsid w:val="003924B4"/>
    <w:rsid w:val="00395DA4"/>
    <w:rsid w:val="00396182"/>
    <w:rsid w:val="00396F05"/>
    <w:rsid w:val="00397B57"/>
    <w:rsid w:val="003A31D4"/>
    <w:rsid w:val="003B343F"/>
    <w:rsid w:val="003B57C0"/>
    <w:rsid w:val="003B72D5"/>
    <w:rsid w:val="003B73F0"/>
    <w:rsid w:val="003C14AC"/>
    <w:rsid w:val="003C3EB9"/>
    <w:rsid w:val="003D10F6"/>
    <w:rsid w:val="003D48B0"/>
    <w:rsid w:val="003D4ED3"/>
    <w:rsid w:val="003D68D2"/>
    <w:rsid w:val="003F3C3A"/>
    <w:rsid w:val="00401EA0"/>
    <w:rsid w:val="00402B23"/>
    <w:rsid w:val="004065D9"/>
    <w:rsid w:val="00407A49"/>
    <w:rsid w:val="00411333"/>
    <w:rsid w:val="004163BF"/>
    <w:rsid w:val="00420224"/>
    <w:rsid w:val="00420ABD"/>
    <w:rsid w:val="0042407E"/>
    <w:rsid w:val="0042745F"/>
    <w:rsid w:val="00427638"/>
    <w:rsid w:val="00427C9F"/>
    <w:rsid w:val="00435197"/>
    <w:rsid w:val="00436E4B"/>
    <w:rsid w:val="004401F3"/>
    <w:rsid w:val="004429AE"/>
    <w:rsid w:val="00442CCD"/>
    <w:rsid w:val="004433E7"/>
    <w:rsid w:val="004433EA"/>
    <w:rsid w:val="00444C8E"/>
    <w:rsid w:val="00445A42"/>
    <w:rsid w:val="00445A4C"/>
    <w:rsid w:val="00446C1B"/>
    <w:rsid w:val="00450873"/>
    <w:rsid w:val="004521F4"/>
    <w:rsid w:val="00453B74"/>
    <w:rsid w:val="00454496"/>
    <w:rsid w:val="004572C3"/>
    <w:rsid w:val="00460DDD"/>
    <w:rsid w:val="004741A2"/>
    <w:rsid w:val="00474A4F"/>
    <w:rsid w:val="00483629"/>
    <w:rsid w:val="00483AA8"/>
    <w:rsid w:val="0048476A"/>
    <w:rsid w:val="00484D8D"/>
    <w:rsid w:val="00490892"/>
    <w:rsid w:val="00492BE2"/>
    <w:rsid w:val="004975DC"/>
    <w:rsid w:val="004979D9"/>
    <w:rsid w:val="004A2115"/>
    <w:rsid w:val="004A66F8"/>
    <w:rsid w:val="004A7C71"/>
    <w:rsid w:val="004B050E"/>
    <w:rsid w:val="004B65BF"/>
    <w:rsid w:val="004B6CA6"/>
    <w:rsid w:val="004D0431"/>
    <w:rsid w:val="004D2023"/>
    <w:rsid w:val="004D4558"/>
    <w:rsid w:val="004D5582"/>
    <w:rsid w:val="004E35B4"/>
    <w:rsid w:val="004E3D03"/>
    <w:rsid w:val="004E48A8"/>
    <w:rsid w:val="00500BA5"/>
    <w:rsid w:val="0050207C"/>
    <w:rsid w:val="005026D8"/>
    <w:rsid w:val="00503433"/>
    <w:rsid w:val="00505D83"/>
    <w:rsid w:val="00505E02"/>
    <w:rsid w:val="00506402"/>
    <w:rsid w:val="0051039A"/>
    <w:rsid w:val="00510A9E"/>
    <w:rsid w:val="0051275D"/>
    <w:rsid w:val="0051545C"/>
    <w:rsid w:val="005155A2"/>
    <w:rsid w:val="00515A90"/>
    <w:rsid w:val="00533D17"/>
    <w:rsid w:val="00534252"/>
    <w:rsid w:val="0054552E"/>
    <w:rsid w:val="00551E0B"/>
    <w:rsid w:val="00552155"/>
    <w:rsid w:val="00560967"/>
    <w:rsid w:val="00565F3A"/>
    <w:rsid w:val="00576F06"/>
    <w:rsid w:val="00584B08"/>
    <w:rsid w:val="00585B46"/>
    <w:rsid w:val="00586599"/>
    <w:rsid w:val="00586F05"/>
    <w:rsid w:val="005874B5"/>
    <w:rsid w:val="00587A97"/>
    <w:rsid w:val="005906E4"/>
    <w:rsid w:val="00592EFE"/>
    <w:rsid w:val="00593CC0"/>
    <w:rsid w:val="005A5343"/>
    <w:rsid w:val="005A550D"/>
    <w:rsid w:val="005A5D56"/>
    <w:rsid w:val="005A66AE"/>
    <w:rsid w:val="005B2062"/>
    <w:rsid w:val="005B3B9D"/>
    <w:rsid w:val="005B50F6"/>
    <w:rsid w:val="005B511A"/>
    <w:rsid w:val="005B68DB"/>
    <w:rsid w:val="005B7C98"/>
    <w:rsid w:val="005C03D0"/>
    <w:rsid w:val="005C6CF4"/>
    <w:rsid w:val="005C6D94"/>
    <w:rsid w:val="005D5342"/>
    <w:rsid w:val="005D6EEF"/>
    <w:rsid w:val="005E3949"/>
    <w:rsid w:val="005E471B"/>
    <w:rsid w:val="005E7B89"/>
    <w:rsid w:val="005F0588"/>
    <w:rsid w:val="005F0A18"/>
    <w:rsid w:val="005F1762"/>
    <w:rsid w:val="00602A82"/>
    <w:rsid w:val="00602D47"/>
    <w:rsid w:val="006030E9"/>
    <w:rsid w:val="00604C26"/>
    <w:rsid w:val="00605965"/>
    <w:rsid w:val="00611C43"/>
    <w:rsid w:val="006140D7"/>
    <w:rsid w:val="00620474"/>
    <w:rsid w:val="00623D95"/>
    <w:rsid w:val="006251C0"/>
    <w:rsid w:val="00626EE7"/>
    <w:rsid w:val="00635B0A"/>
    <w:rsid w:val="00642C65"/>
    <w:rsid w:val="00650299"/>
    <w:rsid w:val="00651871"/>
    <w:rsid w:val="00655AB8"/>
    <w:rsid w:val="006609E3"/>
    <w:rsid w:val="0066145C"/>
    <w:rsid w:val="00666EAC"/>
    <w:rsid w:val="00667902"/>
    <w:rsid w:val="00670125"/>
    <w:rsid w:val="00675380"/>
    <w:rsid w:val="00683BA9"/>
    <w:rsid w:val="00684203"/>
    <w:rsid w:val="006872D3"/>
    <w:rsid w:val="00694624"/>
    <w:rsid w:val="006A04E8"/>
    <w:rsid w:val="006A53CC"/>
    <w:rsid w:val="006B0C94"/>
    <w:rsid w:val="006B1B32"/>
    <w:rsid w:val="006B50EB"/>
    <w:rsid w:val="006C112E"/>
    <w:rsid w:val="006C7A96"/>
    <w:rsid w:val="006E249F"/>
    <w:rsid w:val="00700A4E"/>
    <w:rsid w:val="0070109D"/>
    <w:rsid w:val="007032DE"/>
    <w:rsid w:val="00706AD3"/>
    <w:rsid w:val="007158D8"/>
    <w:rsid w:val="00724C37"/>
    <w:rsid w:val="00724CEA"/>
    <w:rsid w:val="0072541E"/>
    <w:rsid w:val="0072700B"/>
    <w:rsid w:val="007279C4"/>
    <w:rsid w:val="007303B4"/>
    <w:rsid w:val="007306E2"/>
    <w:rsid w:val="00731545"/>
    <w:rsid w:val="007318AC"/>
    <w:rsid w:val="0074519E"/>
    <w:rsid w:val="00746404"/>
    <w:rsid w:val="007473F9"/>
    <w:rsid w:val="0075177C"/>
    <w:rsid w:val="0075334C"/>
    <w:rsid w:val="00753B8F"/>
    <w:rsid w:val="0076086A"/>
    <w:rsid w:val="00764EEF"/>
    <w:rsid w:val="00773811"/>
    <w:rsid w:val="00781C81"/>
    <w:rsid w:val="0078459B"/>
    <w:rsid w:val="00792470"/>
    <w:rsid w:val="007944B0"/>
    <w:rsid w:val="00795686"/>
    <w:rsid w:val="007969D1"/>
    <w:rsid w:val="00796A74"/>
    <w:rsid w:val="00797DC4"/>
    <w:rsid w:val="007A1AFF"/>
    <w:rsid w:val="007A3CED"/>
    <w:rsid w:val="007A6300"/>
    <w:rsid w:val="007B68A7"/>
    <w:rsid w:val="007C0BCA"/>
    <w:rsid w:val="007C4A9D"/>
    <w:rsid w:val="007D06FC"/>
    <w:rsid w:val="007D15D3"/>
    <w:rsid w:val="007D2FBC"/>
    <w:rsid w:val="007D7FF7"/>
    <w:rsid w:val="007E00AE"/>
    <w:rsid w:val="007E7FD1"/>
    <w:rsid w:val="007F114D"/>
    <w:rsid w:val="007F3CA4"/>
    <w:rsid w:val="0080175F"/>
    <w:rsid w:val="00803EE2"/>
    <w:rsid w:val="00814A3A"/>
    <w:rsid w:val="00816FB0"/>
    <w:rsid w:val="0082558A"/>
    <w:rsid w:val="008257CE"/>
    <w:rsid w:val="00827D12"/>
    <w:rsid w:val="008319CB"/>
    <w:rsid w:val="00836FC6"/>
    <w:rsid w:val="0084179E"/>
    <w:rsid w:val="00842092"/>
    <w:rsid w:val="008446AD"/>
    <w:rsid w:val="0084681F"/>
    <w:rsid w:val="0085122C"/>
    <w:rsid w:val="00857DDE"/>
    <w:rsid w:val="008637F9"/>
    <w:rsid w:val="00865711"/>
    <w:rsid w:val="0087131C"/>
    <w:rsid w:val="008728AC"/>
    <w:rsid w:val="00877029"/>
    <w:rsid w:val="008822E4"/>
    <w:rsid w:val="00894814"/>
    <w:rsid w:val="00895228"/>
    <w:rsid w:val="00895BDC"/>
    <w:rsid w:val="008A18F8"/>
    <w:rsid w:val="008A28F3"/>
    <w:rsid w:val="008B3800"/>
    <w:rsid w:val="008B3B9C"/>
    <w:rsid w:val="008C35C5"/>
    <w:rsid w:val="008D4143"/>
    <w:rsid w:val="008D6B5D"/>
    <w:rsid w:val="008D77DC"/>
    <w:rsid w:val="008E2256"/>
    <w:rsid w:val="008F0977"/>
    <w:rsid w:val="008F221D"/>
    <w:rsid w:val="00904B48"/>
    <w:rsid w:val="0091003C"/>
    <w:rsid w:val="00916529"/>
    <w:rsid w:val="009240F2"/>
    <w:rsid w:val="00926968"/>
    <w:rsid w:val="00927B78"/>
    <w:rsid w:val="00930BD2"/>
    <w:rsid w:val="00951AC1"/>
    <w:rsid w:val="009530EF"/>
    <w:rsid w:val="009537D7"/>
    <w:rsid w:val="00953FA6"/>
    <w:rsid w:val="00965888"/>
    <w:rsid w:val="00971FF7"/>
    <w:rsid w:val="00974FA6"/>
    <w:rsid w:val="00981475"/>
    <w:rsid w:val="00986D2D"/>
    <w:rsid w:val="00990699"/>
    <w:rsid w:val="00992409"/>
    <w:rsid w:val="00992EB0"/>
    <w:rsid w:val="009A50E0"/>
    <w:rsid w:val="009A69FD"/>
    <w:rsid w:val="009A716A"/>
    <w:rsid w:val="009C16B7"/>
    <w:rsid w:val="009C222C"/>
    <w:rsid w:val="009C22B9"/>
    <w:rsid w:val="009C7F6F"/>
    <w:rsid w:val="009D00E3"/>
    <w:rsid w:val="009D337A"/>
    <w:rsid w:val="009E2FA9"/>
    <w:rsid w:val="009E59A3"/>
    <w:rsid w:val="009F1657"/>
    <w:rsid w:val="009F2EA2"/>
    <w:rsid w:val="009F78B7"/>
    <w:rsid w:val="00A01AE9"/>
    <w:rsid w:val="00A02A4F"/>
    <w:rsid w:val="00A11A75"/>
    <w:rsid w:val="00A17AD1"/>
    <w:rsid w:val="00A2131C"/>
    <w:rsid w:val="00A21734"/>
    <w:rsid w:val="00A22A22"/>
    <w:rsid w:val="00A273DF"/>
    <w:rsid w:val="00A30E7F"/>
    <w:rsid w:val="00A3140F"/>
    <w:rsid w:val="00A373B5"/>
    <w:rsid w:val="00A43901"/>
    <w:rsid w:val="00A439BF"/>
    <w:rsid w:val="00A45152"/>
    <w:rsid w:val="00A52D3C"/>
    <w:rsid w:val="00A6232C"/>
    <w:rsid w:val="00A635BA"/>
    <w:rsid w:val="00A6736C"/>
    <w:rsid w:val="00A74047"/>
    <w:rsid w:val="00A770AB"/>
    <w:rsid w:val="00A7796A"/>
    <w:rsid w:val="00A77E64"/>
    <w:rsid w:val="00A8292B"/>
    <w:rsid w:val="00A90C0D"/>
    <w:rsid w:val="00A90C85"/>
    <w:rsid w:val="00A9162F"/>
    <w:rsid w:val="00A9584B"/>
    <w:rsid w:val="00AA31CE"/>
    <w:rsid w:val="00AA328D"/>
    <w:rsid w:val="00AB182C"/>
    <w:rsid w:val="00AB5193"/>
    <w:rsid w:val="00AB6D20"/>
    <w:rsid w:val="00AC0D21"/>
    <w:rsid w:val="00AC4CAA"/>
    <w:rsid w:val="00AC72E8"/>
    <w:rsid w:val="00AD10D3"/>
    <w:rsid w:val="00AD321B"/>
    <w:rsid w:val="00AD6B75"/>
    <w:rsid w:val="00AE1F18"/>
    <w:rsid w:val="00AE6F3B"/>
    <w:rsid w:val="00AF1746"/>
    <w:rsid w:val="00AF572D"/>
    <w:rsid w:val="00B0308F"/>
    <w:rsid w:val="00B039BB"/>
    <w:rsid w:val="00B06493"/>
    <w:rsid w:val="00B07B6C"/>
    <w:rsid w:val="00B15F45"/>
    <w:rsid w:val="00B205DA"/>
    <w:rsid w:val="00B2229B"/>
    <w:rsid w:val="00B2233A"/>
    <w:rsid w:val="00B23E32"/>
    <w:rsid w:val="00B25388"/>
    <w:rsid w:val="00B354A6"/>
    <w:rsid w:val="00B441D4"/>
    <w:rsid w:val="00B45063"/>
    <w:rsid w:val="00B51A28"/>
    <w:rsid w:val="00B5265F"/>
    <w:rsid w:val="00B53D79"/>
    <w:rsid w:val="00B603E7"/>
    <w:rsid w:val="00B627D5"/>
    <w:rsid w:val="00B70B30"/>
    <w:rsid w:val="00B70D51"/>
    <w:rsid w:val="00B85DAC"/>
    <w:rsid w:val="00B869EA"/>
    <w:rsid w:val="00B92492"/>
    <w:rsid w:val="00B94BC9"/>
    <w:rsid w:val="00B97208"/>
    <w:rsid w:val="00BA0970"/>
    <w:rsid w:val="00BA4035"/>
    <w:rsid w:val="00BA6352"/>
    <w:rsid w:val="00BA652E"/>
    <w:rsid w:val="00BB0DDD"/>
    <w:rsid w:val="00BB0E70"/>
    <w:rsid w:val="00BD172A"/>
    <w:rsid w:val="00BD2587"/>
    <w:rsid w:val="00BD4A13"/>
    <w:rsid w:val="00BD5034"/>
    <w:rsid w:val="00BD5948"/>
    <w:rsid w:val="00BD73CA"/>
    <w:rsid w:val="00BE200A"/>
    <w:rsid w:val="00BE7E4A"/>
    <w:rsid w:val="00BF57CD"/>
    <w:rsid w:val="00BF6BE7"/>
    <w:rsid w:val="00C042BC"/>
    <w:rsid w:val="00C0513A"/>
    <w:rsid w:val="00C12820"/>
    <w:rsid w:val="00C159E7"/>
    <w:rsid w:val="00C16005"/>
    <w:rsid w:val="00C21AB3"/>
    <w:rsid w:val="00C21D35"/>
    <w:rsid w:val="00C26D54"/>
    <w:rsid w:val="00C41B0E"/>
    <w:rsid w:val="00C41DC2"/>
    <w:rsid w:val="00C42675"/>
    <w:rsid w:val="00C43554"/>
    <w:rsid w:val="00C46803"/>
    <w:rsid w:val="00C473D2"/>
    <w:rsid w:val="00C47904"/>
    <w:rsid w:val="00C47B99"/>
    <w:rsid w:val="00C54AF3"/>
    <w:rsid w:val="00C573CE"/>
    <w:rsid w:val="00C61AE5"/>
    <w:rsid w:val="00C65956"/>
    <w:rsid w:val="00C66405"/>
    <w:rsid w:val="00C67164"/>
    <w:rsid w:val="00C671DE"/>
    <w:rsid w:val="00C67E74"/>
    <w:rsid w:val="00C70018"/>
    <w:rsid w:val="00C777A3"/>
    <w:rsid w:val="00C84748"/>
    <w:rsid w:val="00C84D6E"/>
    <w:rsid w:val="00C876CA"/>
    <w:rsid w:val="00C92DEF"/>
    <w:rsid w:val="00C93A2D"/>
    <w:rsid w:val="00C95C39"/>
    <w:rsid w:val="00C970F8"/>
    <w:rsid w:val="00CA05DA"/>
    <w:rsid w:val="00CA222C"/>
    <w:rsid w:val="00CB0203"/>
    <w:rsid w:val="00CB481F"/>
    <w:rsid w:val="00CB6F6F"/>
    <w:rsid w:val="00CC0DF1"/>
    <w:rsid w:val="00CC1BD0"/>
    <w:rsid w:val="00CC2319"/>
    <w:rsid w:val="00CC66DD"/>
    <w:rsid w:val="00CD7BD6"/>
    <w:rsid w:val="00CF0953"/>
    <w:rsid w:val="00CF4BC8"/>
    <w:rsid w:val="00D05F3B"/>
    <w:rsid w:val="00D0666C"/>
    <w:rsid w:val="00D07B5C"/>
    <w:rsid w:val="00D15D33"/>
    <w:rsid w:val="00D16392"/>
    <w:rsid w:val="00D16CCB"/>
    <w:rsid w:val="00D17D33"/>
    <w:rsid w:val="00D21EBD"/>
    <w:rsid w:val="00D22777"/>
    <w:rsid w:val="00D23D8B"/>
    <w:rsid w:val="00D27009"/>
    <w:rsid w:val="00D32728"/>
    <w:rsid w:val="00D33F7D"/>
    <w:rsid w:val="00D34B8D"/>
    <w:rsid w:val="00D4432F"/>
    <w:rsid w:val="00D45470"/>
    <w:rsid w:val="00D46090"/>
    <w:rsid w:val="00D53251"/>
    <w:rsid w:val="00D54CE1"/>
    <w:rsid w:val="00D56D00"/>
    <w:rsid w:val="00D67DC5"/>
    <w:rsid w:val="00D705AF"/>
    <w:rsid w:val="00D71F7A"/>
    <w:rsid w:val="00D82EED"/>
    <w:rsid w:val="00D95DE9"/>
    <w:rsid w:val="00D97D44"/>
    <w:rsid w:val="00DA11EA"/>
    <w:rsid w:val="00DA1E7B"/>
    <w:rsid w:val="00DA3DE5"/>
    <w:rsid w:val="00DA595C"/>
    <w:rsid w:val="00DA7B44"/>
    <w:rsid w:val="00DB053D"/>
    <w:rsid w:val="00DB633E"/>
    <w:rsid w:val="00DC6F01"/>
    <w:rsid w:val="00DD71F5"/>
    <w:rsid w:val="00DD7C5F"/>
    <w:rsid w:val="00DE3CD7"/>
    <w:rsid w:val="00DE485D"/>
    <w:rsid w:val="00DE640F"/>
    <w:rsid w:val="00DE6FBF"/>
    <w:rsid w:val="00DE7539"/>
    <w:rsid w:val="00DF0EE7"/>
    <w:rsid w:val="00DF609F"/>
    <w:rsid w:val="00DF7946"/>
    <w:rsid w:val="00E03D4C"/>
    <w:rsid w:val="00E04570"/>
    <w:rsid w:val="00E065A3"/>
    <w:rsid w:val="00E14453"/>
    <w:rsid w:val="00E15F2D"/>
    <w:rsid w:val="00E17953"/>
    <w:rsid w:val="00E20190"/>
    <w:rsid w:val="00E22253"/>
    <w:rsid w:val="00E229A2"/>
    <w:rsid w:val="00E265CC"/>
    <w:rsid w:val="00E26A80"/>
    <w:rsid w:val="00E337AC"/>
    <w:rsid w:val="00E37CC6"/>
    <w:rsid w:val="00E40344"/>
    <w:rsid w:val="00E40BC8"/>
    <w:rsid w:val="00E40CA5"/>
    <w:rsid w:val="00E41A6E"/>
    <w:rsid w:val="00E420F6"/>
    <w:rsid w:val="00E44C06"/>
    <w:rsid w:val="00E5153C"/>
    <w:rsid w:val="00E51C13"/>
    <w:rsid w:val="00E5237B"/>
    <w:rsid w:val="00E63ADB"/>
    <w:rsid w:val="00E63EF4"/>
    <w:rsid w:val="00E719E3"/>
    <w:rsid w:val="00E73D28"/>
    <w:rsid w:val="00E8481B"/>
    <w:rsid w:val="00E87738"/>
    <w:rsid w:val="00E9289B"/>
    <w:rsid w:val="00E94C61"/>
    <w:rsid w:val="00E94D72"/>
    <w:rsid w:val="00E95B80"/>
    <w:rsid w:val="00E96714"/>
    <w:rsid w:val="00EA059A"/>
    <w:rsid w:val="00EA0858"/>
    <w:rsid w:val="00EA304C"/>
    <w:rsid w:val="00EA5DF3"/>
    <w:rsid w:val="00EB308F"/>
    <w:rsid w:val="00EC1E48"/>
    <w:rsid w:val="00EC62EE"/>
    <w:rsid w:val="00EC67C3"/>
    <w:rsid w:val="00EC6E43"/>
    <w:rsid w:val="00ED0548"/>
    <w:rsid w:val="00ED2BB0"/>
    <w:rsid w:val="00ED388D"/>
    <w:rsid w:val="00ED60A2"/>
    <w:rsid w:val="00EE0940"/>
    <w:rsid w:val="00EE09A1"/>
    <w:rsid w:val="00EE32E5"/>
    <w:rsid w:val="00EF50F8"/>
    <w:rsid w:val="00F002D5"/>
    <w:rsid w:val="00F04551"/>
    <w:rsid w:val="00F11EE5"/>
    <w:rsid w:val="00F15527"/>
    <w:rsid w:val="00F300B2"/>
    <w:rsid w:val="00F4124F"/>
    <w:rsid w:val="00F4753F"/>
    <w:rsid w:val="00F55EE0"/>
    <w:rsid w:val="00F5671B"/>
    <w:rsid w:val="00F602B0"/>
    <w:rsid w:val="00F62ECC"/>
    <w:rsid w:val="00F6587A"/>
    <w:rsid w:val="00F65B3A"/>
    <w:rsid w:val="00F720FB"/>
    <w:rsid w:val="00F72799"/>
    <w:rsid w:val="00F729E5"/>
    <w:rsid w:val="00F72E5E"/>
    <w:rsid w:val="00F72F29"/>
    <w:rsid w:val="00F73648"/>
    <w:rsid w:val="00F7382C"/>
    <w:rsid w:val="00F749C3"/>
    <w:rsid w:val="00F93941"/>
    <w:rsid w:val="00F93D6B"/>
    <w:rsid w:val="00F93EDD"/>
    <w:rsid w:val="00F95D58"/>
    <w:rsid w:val="00F97925"/>
    <w:rsid w:val="00FA6D1A"/>
    <w:rsid w:val="00FB02A4"/>
    <w:rsid w:val="00FB4785"/>
    <w:rsid w:val="00FC02BF"/>
    <w:rsid w:val="00FC159A"/>
    <w:rsid w:val="00FC1B29"/>
    <w:rsid w:val="00FC58CE"/>
    <w:rsid w:val="00FC6202"/>
    <w:rsid w:val="00FC7F92"/>
    <w:rsid w:val="00FD031C"/>
    <w:rsid w:val="00FD2094"/>
    <w:rsid w:val="00FD4139"/>
    <w:rsid w:val="00FD6399"/>
    <w:rsid w:val="00FE492F"/>
    <w:rsid w:val="00FE5328"/>
    <w:rsid w:val="00FF40D5"/>
    <w:rsid w:val="00FF5694"/>
    <w:rsid w:val="00FF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0B9D586"/>
  <w15:docId w15:val="{035BED4A-EBFA-4053-9CE2-825DC10A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3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7A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50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07E"/>
  </w:style>
  <w:style w:type="paragraph" w:styleId="Footer">
    <w:name w:val="footer"/>
    <w:basedOn w:val="Normal"/>
    <w:link w:val="FooterChar"/>
    <w:uiPriority w:val="99"/>
    <w:unhideWhenUsed/>
    <w:rsid w:val="00424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07E"/>
  </w:style>
  <w:style w:type="character" w:customStyle="1" w:styleId="Heading1Char">
    <w:name w:val="Heading 1 Char"/>
    <w:basedOn w:val="DefaultParagraphFont"/>
    <w:link w:val="Heading1"/>
    <w:uiPriority w:val="9"/>
    <w:rsid w:val="00FE532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7A4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07A49"/>
    <w:pPr>
      <w:ind w:left="720"/>
      <w:contextualSpacing/>
    </w:pPr>
  </w:style>
  <w:style w:type="paragraph" w:styleId="TOCHeading">
    <w:name w:val="TOC Heading"/>
    <w:basedOn w:val="Heading1"/>
    <w:next w:val="Normal"/>
    <w:uiPriority w:val="39"/>
    <w:unhideWhenUsed/>
    <w:qFormat/>
    <w:rsid w:val="00F04551"/>
    <w:pPr>
      <w:outlineLvl w:val="9"/>
    </w:pPr>
  </w:style>
  <w:style w:type="paragraph" w:styleId="TOC1">
    <w:name w:val="toc 1"/>
    <w:basedOn w:val="Normal"/>
    <w:next w:val="Normal"/>
    <w:autoRedefine/>
    <w:uiPriority w:val="39"/>
    <w:unhideWhenUsed/>
    <w:rsid w:val="00E065A3"/>
    <w:pPr>
      <w:tabs>
        <w:tab w:val="left" w:pos="660"/>
        <w:tab w:val="right" w:leader="dot" w:pos="9350"/>
      </w:tabs>
      <w:spacing w:after="100"/>
    </w:pPr>
  </w:style>
  <w:style w:type="paragraph" w:styleId="TOC2">
    <w:name w:val="toc 2"/>
    <w:basedOn w:val="Normal"/>
    <w:next w:val="Normal"/>
    <w:autoRedefine/>
    <w:uiPriority w:val="39"/>
    <w:unhideWhenUsed/>
    <w:rsid w:val="00F04551"/>
    <w:pPr>
      <w:spacing w:after="100"/>
      <w:ind w:left="220"/>
    </w:pPr>
  </w:style>
  <w:style w:type="character" w:styleId="Hyperlink">
    <w:name w:val="Hyperlink"/>
    <w:basedOn w:val="DefaultParagraphFont"/>
    <w:uiPriority w:val="99"/>
    <w:unhideWhenUsed/>
    <w:rsid w:val="00F04551"/>
    <w:rPr>
      <w:color w:val="0563C1" w:themeColor="hyperlink"/>
      <w:u w:val="single"/>
    </w:rPr>
  </w:style>
  <w:style w:type="character" w:customStyle="1" w:styleId="Heading3Char">
    <w:name w:val="Heading 3 Char"/>
    <w:basedOn w:val="DefaultParagraphFont"/>
    <w:link w:val="Heading3"/>
    <w:uiPriority w:val="9"/>
    <w:rsid w:val="005B50F6"/>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8F0977"/>
    <w:pPr>
      <w:spacing w:after="100"/>
      <w:ind w:left="440"/>
    </w:pPr>
  </w:style>
  <w:style w:type="character" w:styleId="LineNumber">
    <w:name w:val="line number"/>
    <w:basedOn w:val="DefaultParagraphFont"/>
    <w:uiPriority w:val="99"/>
    <w:semiHidden/>
    <w:unhideWhenUsed/>
    <w:rsid w:val="00396F05"/>
  </w:style>
  <w:style w:type="paragraph" w:styleId="BalloonText">
    <w:name w:val="Balloon Text"/>
    <w:basedOn w:val="Normal"/>
    <w:link w:val="BalloonTextChar"/>
    <w:uiPriority w:val="99"/>
    <w:semiHidden/>
    <w:unhideWhenUsed/>
    <w:rsid w:val="00505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D83"/>
    <w:rPr>
      <w:rFonts w:ascii="Segoe UI" w:hAnsi="Segoe UI" w:cs="Segoe UI"/>
      <w:sz w:val="18"/>
      <w:szCs w:val="18"/>
    </w:rPr>
  </w:style>
  <w:style w:type="character" w:styleId="CommentReference">
    <w:name w:val="annotation reference"/>
    <w:basedOn w:val="DefaultParagraphFont"/>
    <w:uiPriority w:val="99"/>
    <w:semiHidden/>
    <w:unhideWhenUsed/>
    <w:rsid w:val="00926968"/>
    <w:rPr>
      <w:sz w:val="16"/>
      <w:szCs w:val="16"/>
    </w:rPr>
  </w:style>
  <w:style w:type="paragraph" w:styleId="CommentText">
    <w:name w:val="annotation text"/>
    <w:basedOn w:val="Normal"/>
    <w:link w:val="CommentTextChar"/>
    <w:uiPriority w:val="99"/>
    <w:unhideWhenUsed/>
    <w:rsid w:val="00926968"/>
    <w:pPr>
      <w:spacing w:line="240" w:lineRule="auto"/>
    </w:pPr>
    <w:rPr>
      <w:sz w:val="20"/>
      <w:szCs w:val="20"/>
    </w:rPr>
  </w:style>
  <w:style w:type="character" w:customStyle="1" w:styleId="CommentTextChar">
    <w:name w:val="Comment Text Char"/>
    <w:basedOn w:val="DefaultParagraphFont"/>
    <w:link w:val="CommentText"/>
    <w:uiPriority w:val="99"/>
    <w:rsid w:val="00926968"/>
    <w:rPr>
      <w:sz w:val="20"/>
      <w:szCs w:val="20"/>
    </w:rPr>
  </w:style>
  <w:style w:type="paragraph" w:styleId="CommentSubject">
    <w:name w:val="annotation subject"/>
    <w:basedOn w:val="CommentText"/>
    <w:next w:val="CommentText"/>
    <w:link w:val="CommentSubjectChar"/>
    <w:uiPriority w:val="99"/>
    <w:semiHidden/>
    <w:unhideWhenUsed/>
    <w:rsid w:val="00926968"/>
    <w:rPr>
      <w:b/>
      <w:bCs/>
    </w:rPr>
  </w:style>
  <w:style w:type="character" w:customStyle="1" w:styleId="CommentSubjectChar">
    <w:name w:val="Comment Subject Char"/>
    <w:basedOn w:val="CommentTextChar"/>
    <w:link w:val="CommentSubject"/>
    <w:uiPriority w:val="99"/>
    <w:semiHidden/>
    <w:rsid w:val="00926968"/>
    <w:rPr>
      <w:b/>
      <w:bCs/>
      <w:sz w:val="20"/>
      <w:szCs w:val="20"/>
    </w:rPr>
  </w:style>
  <w:style w:type="character" w:customStyle="1" w:styleId="UnresolvedMention1">
    <w:name w:val="Unresolved Mention1"/>
    <w:basedOn w:val="DefaultParagraphFont"/>
    <w:uiPriority w:val="99"/>
    <w:semiHidden/>
    <w:unhideWhenUsed/>
    <w:rsid w:val="00926968"/>
    <w:rPr>
      <w:color w:val="605E5C"/>
      <w:shd w:val="clear" w:color="auto" w:fill="E1DFDD"/>
    </w:rPr>
  </w:style>
  <w:style w:type="paragraph" w:styleId="Revision">
    <w:name w:val="Revision"/>
    <w:hidden/>
    <w:uiPriority w:val="99"/>
    <w:semiHidden/>
    <w:rsid w:val="00DB633E"/>
    <w:pPr>
      <w:spacing w:after="0" w:line="240" w:lineRule="auto"/>
    </w:pPr>
  </w:style>
  <w:style w:type="paragraph" w:customStyle="1" w:styleId="Default">
    <w:name w:val="Default"/>
    <w:rsid w:val="00971FF7"/>
    <w:pPr>
      <w:autoSpaceDE w:val="0"/>
      <w:autoSpaceDN w:val="0"/>
      <w:adjustRightInd w:val="0"/>
      <w:spacing w:after="0" w:line="240" w:lineRule="auto"/>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17360">
      <w:bodyDiv w:val="1"/>
      <w:marLeft w:val="0"/>
      <w:marRight w:val="0"/>
      <w:marTop w:val="0"/>
      <w:marBottom w:val="0"/>
      <w:divBdr>
        <w:top w:val="none" w:sz="0" w:space="0" w:color="auto"/>
        <w:left w:val="none" w:sz="0" w:space="0" w:color="auto"/>
        <w:bottom w:val="none" w:sz="0" w:space="0" w:color="auto"/>
        <w:right w:val="none" w:sz="0" w:space="0" w:color="auto"/>
      </w:divBdr>
    </w:div>
    <w:div w:id="1481120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mailto:glenm@innpower.ca" TargetMode="Externa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h@innpower.ca"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hyperlink" Target="http://www.innpower.ca"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E29C5-B9BB-41E0-A489-64B83F19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33</Pages>
  <Words>3301</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Pinke</dc:creator>
  <cp:keywords/>
  <dc:description/>
  <cp:lastModifiedBy>Laura Hampton</cp:lastModifiedBy>
  <cp:revision>76</cp:revision>
  <cp:lastPrinted>2020-08-17T19:00:00Z</cp:lastPrinted>
  <dcterms:created xsi:type="dcterms:W3CDTF">2022-07-26T13:11:00Z</dcterms:created>
  <dcterms:modified xsi:type="dcterms:W3CDTF">2022-08-03T17:20:00Z</dcterms:modified>
</cp:coreProperties>
</file>