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F023" w14:textId="77777777" w:rsidR="0064166E" w:rsidRDefault="0082114C">
      <w:pPr>
        <w:pStyle w:val="BodyText"/>
        <w:ind w:left="190"/>
        <w:rPr>
          <w:rFonts w:ascii="Times New Roman"/>
          <w:sz w:val="20"/>
        </w:rPr>
      </w:pPr>
      <w:r>
        <w:rPr>
          <w:rFonts w:ascii="Times New Roman"/>
          <w:noProof/>
          <w:sz w:val="20"/>
        </w:rPr>
        <w:drawing>
          <wp:inline distT="0" distB="0" distL="0" distR="0" wp14:anchorId="401D5C37" wp14:editId="41678E89">
            <wp:extent cx="2623967" cy="678942"/>
            <wp:effectExtent l="0" t="0" r="0" b="0"/>
            <wp:docPr id="1" name="image1.jpeg" descr="OEB Coat of A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23967" cy="678942"/>
                    </a:xfrm>
                    <a:prstGeom prst="rect">
                      <a:avLst/>
                    </a:prstGeom>
                  </pic:spPr>
                </pic:pic>
              </a:graphicData>
            </a:graphic>
          </wp:inline>
        </w:drawing>
      </w:r>
    </w:p>
    <w:p w14:paraId="55B75118" w14:textId="77777777" w:rsidR="0064166E" w:rsidRDefault="0064166E">
      <w:pPr>
        <w:pStyle w:val="BodyText"/>
        <w:spacing w:before="9"/>
        <w:rPr>
          <w:rFonts w:ascii="Times New Roman"/>
          <w:sz w:val="13"/>
        </w:rPr>
      </w:pPr>
    </w:p>
    <w:p w14:paraId="74AEF283" w14:textId="77777777" w:rsidR="0064166E" w:rsidRDefault="0082114C">
      <w:pPr>
        <w:pStyle w:val="Heading1"/>
        <w:spacing w:before="92"/>
        <w:ind w:left="0" w:right="116"/>
        <w:jc w:val="right"/>
      </w:pPr>
      <w:r>
        <w:t>BY EMAIL</w:t>
      </w:r>
    </w:p>
    <w:p w14:paraId="769A81E6" w14:textId="77777777" w:rsidR="0064166E" w:rsidRDefault="0064166E">
      <w:pPr>
        <w:pStyle w:val="BodyText"/>
        <w:spacing w:before="10"/>
        <w:rPr>
          <w:b/>
          <w:sz w:val="20"/>
        </w:rPr>
      </w:pPr>
    </w:p>
    <w:p w14:paraId="20764D91" w14:textId="77777777" w:rsidR="0064166E" w:rsidRDefault="0082114C">
      <w:pPr>
        <w:pStyle w:val="BodyText"/>
        <w:ind w:left="100"/>
      </w:pPr>
      <w:r>
        <w:t>September 28, 2022</w:t>
      </w:r>
    </w:p>
    <w:p w14:paraId="758A74A3" w14:textId="77777777" w:rsidR="0064166E" w:rsidRDefault="0064166E">
      <w:pPr>
        <w:pStyle w:val="BodyText"/>
        <w:spacing w:before="10"/>
        <w:rPr>
          <w:sz w:val="20"/>
        </w:rPr>
      </w:pPr>
    </w:p>
    <w:p w14:paraId="5BA97D8F" w14:textId="77777777" w:rsidR="0064166E" w:rsidRDefault="0082114C">
      <w:pPr>
        <w:pStyle w:val="BodyText"/>
        <w:ind w:left="100" w:right="7859"/>
      </w:pPr>
      <w:r>
        <w:t>Nancy Marconi Registrar</w:t>
      </w:r>
    </w:p>
    <w:p w14:paraId="1042C9F8" w14:textId="77777777" w:rsidR="0064166E" w:rsidRDefault="0082114C">
      <w:pPr>
        <w:pStyle w:val="BodyText"/>
        <w:ind w:left="100"/>
      </w:pPr>
      <w:r>
        <w:t>Ontario Energy</w:t>
      </w:r>
      <w:r>
        <w:rPr>
          <w:spacing w:val="-8"/>
        </w:rPr>
        <w:t xml:space="preserve"> </w:t>
      </w:r>
      <w:r>
        <w:t>Board</w:t>
      </w:r>
    </w:p>
    <w:p w14:paraId="6D4ADB99" w14:textId="77777777" w:rsidR="0064166E" w:rsidRDefault="0082114C">
      <w:pPr>
        <w:pStyle w:val="BodyText"/>
        <w:ind w:left="100" w:right="6244"/>
      </w:pPr>
      <w:r>
        <w:t>2300 Yonge Street, 27th Floor Toronto ON M4P</w:t>
      </w:r>
      <w:r>
        <w:rPr>
          <w:spacing w:val="-4"/>
        </w:rPr>
        <w:t xml:space="preserve"> </w:t>
      </w:r>
      <w:r>
        <w:t>1E4</w:t>
      </w:r>
    </w:p>
    <w:p w14:paraId="6BD778BC" w14:textId="77777777" w:rsidR="0064166E" w:rsidRDefault="0064166E">
      <w:pPr>
        <w:pStyle w:val="BodyText"/>
        <w:spacing w:before="4"/>
        <w:rPr>
          <w:sz w:val="23"/>
        </w:rPr>
      </w:pPr>
    </w:p>
    <w:p w14:paraId="443FC3C0" w14:textId="77777777" w:rsidR="0064166E" w:rsidRDefault="0082114C">
      <w:pPr>
        <w:pStyle w:val="BodyText"/>
        <w:spacing w:before="92"/>
        <w:ind w:left="100"/>
      </w:pPr>
      <w:r>
        <w:t>Dear Ms. Marconi:</w:t>
      </w:r>
    </w:p>
    <w:p w14:paraId="5D45758A" w14:textId="77777777" w:rsidR="0064166E" w:rsidRDefault="0064166E">
      <w:pPr>
        <w:pStyle w:val="BodyText"/>
        <w:spacing w:before="10"/>
        <w:rPr>
          <w:sz w:val="20"/>
        </w:rPr>
      </w:pPr>
    </w:p>
    <w:p w14:paraId="4CBB1256" w14:textId="77777777" w:rsidR="0064166E" w:rsidRDefault="0082114C">
      <w:pPr>
        <w:pStyle w:val="Heading1"/>
      </w:pPr>
      <w:r>
        <w:t>Re: EB-2022-0043 Application for 2023 Rates</w:t>
      </w:r>
    </w:p>
    <w:p w14:paraId="3FBB59F7" w14:textId="77777777" w:rsidR="0064166E" w:rsidRDefault="0064166E">
      <w:pPr>
        <w:pStyle w:val="BodyText"/>
        <w:spacing w:before="10"/>
        <w:rPr>
          <w:b/>
          <w:sz w:val="20"/>
        </w:rPr>
      </w:pPr>
    </w:p>
    <w:p w14:paraId="117721B7" w14:textId="77777777" w:rsidR="0064166E" w:rsidRDefault="0082114C">
      <w:pPr>
        <w:pStyle w:val="BodyText"/>
        <w:spacing w:before="1"/>
        <w:ind w:left="100" w:right="167"/>
        <w:jc w:val="both"/>
      </w:pPr>
      <w:r>
        <w:t>In accordance with Procedural Order #1, please find attached the Ontario Energy Board (OEB) staff interrogatories in the above proceeding. The applicant and intervenors have been copied on this filing.</w:t>
      </w:r>
    </w:p>
    <w:p w14:paraId="225519D0" w14:textId="77777777" w:rsidR="0064166E" w:rsidRDefault="0064166E">
      <w:pPr>
        <w:pStyle w:val="BodyText"/>
        <w:spacing w:before="9"/>
        <w:rPr>
          <w:sz w:val="20"/>
        </w:rPr>
      </w:pPr>
    </w:p>
    <w:p w14:paraId="35CBFA1C" w14:textId="77777777" w:rsidR="0064166E" w:rsidRDefault="0082114C">
      <w:pPr>
        <w:pStyle w:val="BodyText"/>
        <w:spacing w:before="1"/>
        <w:ind w:left="100"/>
        <w:jc w:val="both"/>
      </w:pPr>
      <w:r>
        <w:t>InnPower Corporation’s responses to interrogatories are due by October 13, 2022.</w:t>
      </w:r>
    </w:p>
    <w:p w14:paraId="6D46CAD4" w14:textId="77777777" w:rsidR="0064166E" w:rsidRDefault="0064166E">
      <w:pPr>
        <w:pStyle w:val="BodyText"/>
        <w:spacing w:before="9"/>
        <w:rPr>
          <w:sz w:val="20"/>
        </w:rPr>
      </w:pPr>
    </w:p>
    <w:p w14:paraId="4FE00BDE" w14:textId="77777777" w:rsidR="0064166E" w:rsidRDefault="0082114C">
      <w:pPr>
        <w:pStyle w:val="BodyText"/>
        <w:spacing w:before="1"/>
        <w:ind w:left="100" w:right="583"/>
      </w:pPr>
      <w:r>
        <w:t xml:space="preserve">Any questions relating to this letter should be directed to Kelli </w:t>
      </w:r>
      <w:proofErr w:type="spellStart"/>
      <w:r>
        <w:t>Benincasa</w:t>
      </w:r>
      <w:proofErr w:type="spellEnd"/>
      <w:r>
        <w:t xml:space="preserve"> at </w:t>
      </w:r>
      <w:hyperlink r:id="rId8">
        <w:r>
          <w:rPr>
            <w:color w:val="0000FF"/>
            <w:u w:val="single" w:color="0000FF"/>
          </w:rPr>
          <w:t>Kelli.Benincasa@oeb.ca</w:t>
        </w:r>
        <w:r>
          <w:rPr>
            <w:color w:val="0000FF"/>
          </w:rPr>
          <w:t xml:space="preserve"> </w:t>
        </w:r>
      </w:hyperlink>
      <w:r>
        <w:t>or at 416-440-7624. The Board’s toll-free number is 1-888- 632-6273.</w:t>
      </w:r>
    </w:p>
    <w:p w14:paraId="6134305E" w14:textId="77777777" w:rsidR="0064166E" w:rsidRDefault="0064166E">
      <w:pPr>
        <w:pStyle w:val="BodyText"/>
        <w:spacing w:before="3"/>
        <w:rPr>
          <w:sz w:val="31"/>
        </w:rPr>
      </w:pPr>
    </w:p>
    <w:p w14:paraId="2A30757E" w14:textId="77777777" w:rsidR="0064166E" w:rsidRDefault="0082114C">
      <w:pPr>
        <w:pStyle w:val="BodyText"/>
        <w:spacing w:before="1"/>
        <w:ind w:left="100"/>
        <w:jc w:val="both"/>
      </w:pPr>
      <w:r>
        <w:t>Yours truly,</w:t>
      </w:r>
    </w:p>
    <w:p w14:paraId="20183978" w14:textId="77777777" w:rsidR="0064166E" w:rsidRDefault="0064166E">
      <w:pPr>
        <w:pStyle w:val="BodyText"/>
        <w:spacing w:before="3"/>
        <w:rPr>
          <w:sz w:val="31"/>
        </w:rPr>
      </w:pPr>
    </w:p>
    <w:p w14:paraId="5C616A23" w14:textId="77777777" w:rsidR="0064166E" w:rsidRDefault="0082114C">
      <w:pPr>
        <w:ind w:left="100"/>
        <w:jc w:val="both"/>
        <w:rPr>
          <w:i/>
        </w:rPr>
      </w:pPr>
      <w:r>
        <w:rPr>
          <w:i/>
        </w:rPr>
        <w:t>Original Signed By</w:t>
      </w:r>
    </w:p>
    <w:p w14:paraId="2031ADBD" w14:textId="77777777" w:rsidR="0064166E" w:rsidRDefault="0064166E">
      <w:pPr>
        <w:pStyle w:val="BodyText"/>
        <w:spacing w:before="9"/>
        <w:rPr>
          <w:i/>
          <w:sz w:val="20"/>
        </w:rPr>
      </w:pPr>
    </w:p>
    <w:p w14:paraId="2CE2EA27" w14:textId="77777777" w:rsidR="0064166E" w:rsidRDefault="0082114C">
      <w:pPr>
        <w:pStyle w:val="BodyText"/>
        <w:ind w:left="100"/>
        <w:jc w:val="both"/>
      </w:pPr>
      <w:r>
        <w:t xml:space="preserve">Kelli </w:t>
      </w:r>
      <w:proofErr w:type="spellStart"/>
      <w:r>
        <w:t>Benincasa</w:t>
      </w:r>
      <w:proofErr w:type="spellEnd"/>
    </w:p>
    <w:p w14:paraId="183DA061" w14:textId="77777777" w:rsidR="0064166E" w:rsidRDefault="0082114C">
      <w:pPr>
        <w:pStyle w:val="BodyText"/>
        <w:spacing w:line="448" w:lineRule="auto"/>
        <w:ind w:left="100" w:right="4403"/>
      </w:pPr>
      <w:r>
        <w:t>Incentive Rate Setting &amp; Regulatory Accounting Encl.</w:t>
      </w:r>
    </w:p>
    <w:p w14:paraId="0F3E6449" w14:textId="77777777" w:rsidR="0064166E" w:rsidRDefault="0064166E">
      <w:pPr>
        <w:pStyle w:val="BodyText"/>
        <w:rPr>
          <w:sz w:val="20"/>
        </w:rPr>
      </w:pPr>
    </w:p>
    <w:p w14:paraId="6799FD17" w14:textId="77777777" w:rsidR="0064166E" w:rsidRDefault="0064166E">
      <w:pPr>
        <w:pStyle w:val="BodyText"/>
        <w:rPr>
          <w:sz w:val="20"/>
        </w:rPr>
      </w:pPr>
    </w:p>
    <w:p w14:paraId="198F3A84" w14:textId="77777777" w:rsidR="0064166E" w:rsidRDefault="0064166E">
      <w:pPr>
        <w:pStyle w:val="BodyText"/>
        <w:rPr>
          <w:sz w:val="20"/>
        </w:rPr>
      </w:pPr>
    </w:p>
    <w:p w14:paraId="26C4A7A8" w14:textId="77777777" w:rsidR="0064166E" w:rsidRDefault="0064166E">
      <w:pPr>
        <w:pStyle w:val="BodyText"/>
        <w:rPr>
          <w:sz w:val="20"/>
        </w:rPr>
      </w:pPr>
    </w:p>
    <w:p w14:paraId="6160995E" w14:textId="77777777" w:rsidR="0064166E" w:rsidRDefault="0064166E">
      <w:pPr>
        <w:pStyle w:val="BodyText"/>
        <w:rPr>
          <w:sz w:val="20"/>
        </w:rPr>
      </w:pPr>
    </w:p>
    <w:p w14:paraId="51E893F9" w14:textId="77777777" w:rsidR="0064166E" w:rsidRDefault="0064166E">
      <w:pPr>
        <w:pStyle w:val="BodyText"/>
        <w:rPr>
          <w:sz w:val="20"/>
        </w:rPr>
      </w:pPr>
    </w:p>
    <w:p w14:paraId="628195B7" w14:textId="77777777" w:rsidR="0064166E" w:rsidRDefault="0064166E">
      <w:pPr>
        <w:pStyle w:val="BodyText"/>
        <w:rPr>
          <w:sz w:val="20"/>
        </w:rPr>
      </w:pPr>
    </w:p>
    <w:p w14:paraId="20597AA7" w14:textId="77777777" w:rsidR="0064166E" w:rsidRDefault="0064166E">
      <w:pPr>
        <w:pStyle w:val="BodyText"/>
        <w:rPr>
          <w:sz w:val="20"/>
        </w:rPr>
      </w:pPr>
    </w:p>
    <w:p w14:paraId="23C32519" w14:textId="77777777" w:rsidR="0064166E" w:rsidRDefault="0064166E">
      <w:pPr>
        <w:pStyle w:val="BodyText"/>
        <w:rPr>
          <w:sz w:val="20"/>
        </w:rPr>
      </w:pPr>
    </w:p>
    <w:p w14:paraId="1072EE0D" w14:textId="77777777" w:rsidR="0064166E" w:rsidRDefault="0064166E">
      <w:pPr>
        <w:pStyle w:val="BodyText"/>
        <w:rPr>
          <w:sz w:val="20"/>
        </w:rPr>
      </w:pPr>
    </w:p>
    <w:p w14:paraId="24232484" w14:textId="77777777" w:rsidR="0064166E" w:rsidRDefault="0064166E">
      <w:pPr>
        <w:rPr>
          <w:sz w:val="20"/>
        </w:rPr>
        <w:sectPr w:rsidR="0064166E">
          <w:type w:val="continuous"/>
          <w:pgSz w:w="12240" w:h="15840"/>
          <w:pgMar w:top="1440" w:right="1320" w:bottom="280" w:left="1340" w:header="720" w:footer="720" w:gutter="0"/>
          <w:cols w:space="720"/>
        </w:sectPr>
      </w:pPr>
    </w:p>
    <w:p w14:paraId="733CB3D7" w14:textId="77777777" w:rsidR="0064166E" w:rsidRDefault="0064166E">
      <w:pPr>
        <w:pStyle w:val="BodyText"/>
        <w:spacing w:before="8"/>
        <w:rPr>
          <w:sz w:val="23"/>
        </w:rPr>
      </w:pPr>
    </w:p>
    <w:p w14:paraId="7ACC41C7" w14:textId="77777777" w:rsidR="0064166E" w:rsidRDefault="0082114C">
      <w:pPr>
        <w:spacing w:line="338" w:lineRule="auto"/>
        <w:ind w:left="117"/>
        <w:rPr>
          <w:sz w:val="16"/>
        </w:rPr>
      </w:pPr>
      <w:r>
        <w:rPr>
          <w:color w:val="202020"/>
          <w:sz w:val="16"/>
        </w:rPr>
        <w:t>2300 Yonge Street, 27</w:t>
      </w:r>
      <w:proofErr w:type="spellStart"/>
      <w:r>
        <w:rPr>
          <w:color w:val="202020"/>
          <w:position w:val="6"/>
          <w:sz w:val="10"/>
        </w:rPr>
        <w:t>th</w:t>
      </w:r>
      <w:proofErr w:type="spellEnd"/>
      <w:r>
        <w:rPr>
          <w:color w:val="202020"/>
          <w:position w:val="6"/>
          <w:sz w:val="10"/>
        </w:rPr>
        <w:t xml:space="preserve"> </w:t>
      </w:r>
      <w:r>
        <w:rPr>
          <w:color w:val="202020"/>
          <w:sz w:val="16"/>
        </w:rPr>
        <w:t>floor, P.O. Box 2319, Toronto, ON, M4P 1E4 2300, rue Yonge, 27</w:t>
      </w:r>
      <w:r>
        <w:rPr>
          <w:color w:val="202020"/>
          <w:position w:val="6"/>
          <w:sz w:val="10"/>
        </w:rPr>
        <w:t xml:space="preserve">e </w:t>
      </w:r>
      <w:r>
        <w:rPr>
          <w:color w:val="202020"/>
          <w:sz w:val="16"/>
        </w:rPr>
        <w:t>étage, C.P. 2319, Toronto (Ontario) M4P 1E4</w:t>
      </w:r>
    </w:p>
    <w:p w14:paraId="0904671B" w14:textId="77777777" w:rsidR="0064166E" w:rsidRDefault="0082114C">
      <w:pPr>
        <w:pStyle w:val="BodyText"/>
      </w:pPr>
      <w:r>
        <w:br w:type="column"/>
      </w:r>
    </w:p>
    <w:p w14:paraId="08F43B5F" w14:textId="77777777" w:rsidR="0064166E" w:rsidRDefault="0082114C">
      <w:pPr>
        <w:spacing w:before="1"/>
        <w:ind w:left="117"/>
        <w:rPr>
          <w:sz w:val="16"/>
        </w:rPr>
      </w:pPr>
      <w:r>
        <w:rPr>
          <w:b/>
          <w:color w:val="202020"/>
          <w:sz w:val="16"/>
        </w:rPr>
        <w:t xml:space="preserve">T </w:t>
      </w:r>
      <w:r>
        <w:rPr>
          <w:color w:val="202020"/>
          <w:sz w:val="16"/>
        </w:rPr>
        <w:t>416-481-1967 1-888-632-6273</w:t>
      </w:r>
    </w:p>
    <w:p w14:paraId="1C9666B5" w14:textId="77777777" w:rsidR="0064166E" w:rsidRDefault="0082114C">
      <w:pPr>
        <w:spacing w:before="78"/>
        <w:ind w:left="117"/>
        <w:rPr>
          <w:b/>
          <w:sz w:val="18"/>
        </w:rPr>
      </w:pPr>
      <w:r>
        <w:rPr>
          <w:b/>
          <w:color w:val="202020"/>
          <w:sz w:val="16"/>
        </w:rPr>
        <w:t xml:space="preserve">F </w:t>
      </w:r>
      <w:r>
        <w:rPr>
          <w:color w:val="202020"/>
          <w:sz w:val="16"/>
        </w:rPr>
        <w:t xml:space="preserve">416-440-7656 </w:t>
      </w:r>
      <w:r>
        <w:rPr>
          <w:b/>
          <w:color w:val="404040"/>
          <w:sz w:val="18"/>
        </w:rPr>
        <w:t>OEB.ca</w:t>
      </w:r>
    </w:p>
    <w:p w14:paraId="50EEF443" w14:textId="77777777" w:rsidR="0064166E" w:rsidRDefault="0064166E">
      <w:pPr>
        <w:rPr>
          <w:sz w:val="18"/>
        </w:rPr>
        <w:sectPr w:rsidR="0064166E">
          <w:type w:val="continuous"/>
          <w:pgSz w:w="12240" w:h="15840"/>
          <w:pgMar w:top="1440" w:right="1320" w:bottom="280" w:left="1340" w:header="720" w:footer="720" w:gutter="0"/>
          <w:cols w:num="2" w:space="720" w:equalWidth="0">
            <w:col w:w="5047" w:space="1191"/>
            <w:col w:w="3342"/>
          </w:cols>
        </w:sectPr>
      </w:pPr>
    </w:p>
    <w:p w14:paraId="7A1D8541" w14:textId="77777777" w:rsidR="0064166E" w:rsidRDefault="0082114C">
      <w:pPr>
        <w:spacing w:before="189"/>
        <w:ind w:left="3098" w:right="3115"/>
        <w:jc w:val="center"/>
        <w:rPr>
          <w:b/>
          <w:sz w:val="28"/>
        </w:rPr>
      </w:pPr>
      <w:r>
        <w:rPr>
          <w:b/>
          <w:sz w:val="28"/>
        </w:rPr>
        <w:lastRenderedPageBreak/>
        <w:t>OEB Staff Interrogatories InnPower Corporation EB-2022-0043</w:t>
      </w:r>
    </w:p>
    <w:p w14:paraId="598E036D" w14:textId="77777777" w:rsidR="0064166E" w:rsidRDefault="0064166E">
      <w:pPr>
        <w:pStyle w:val="BodyText"/>
        <w:spacing w:before="3"/>
        <w:rPr>
          <w:b/>
          <w:sz w:val="31"/>
        </w:rPr>
      </w:pPr>
    </w:p>
    <w:p w14:paraId="38264D55" w14:textId="77777777" w:rsidR="0064166E" w:rsidRDefault="0082114C">
      <w:pPr>
        <w:spacing w:before="1"/>
        <w:ind w:left="100" w:right="362"/>
        <w:rPr>
          <w:sz w:val="24"/>
        </w:rPr>
      </w:pPr>
      <w:r>
        <w:rPr>
          <w:sz w:val="24"/>
        </w:rPr>
        <w:t xml:space="preserve">Please note, InnPower Corporation (InnPower) is responsible for ensuring that all documents it files with the OEB, including responses to OEB staff interrogatories and any other supporting documentation, do not include personal information (as that phrase is defined in the </w:t>
      </w:r>
      <w:r>
        <w:rPr>
          <w:i/>
          <w:sz w:val="24"/>
        </w:rPr>
        <w:t>Freedom of Information and Protection of Privacy Act</w:t>
      </w:r>
      <w:r>
        <w:rPr>
          <w:sz w:val="24"/>
        </w:rPr>
        <w:t xml:space="preserve">), unless filed in accordance with rule 9A of the OEB’s </w:t>
      </w:r>
      <w:r>
        <w:rPr>
          <w:i/>
          <w:sz w:val="24"/>
        </w:rPr>
        <w:t>Rules of Practice and Procedure</w:t>
      </w:r>
      <w:r>
        <w:rPr>
          <w:sz w:val="24"/>
        </w:rPr>
        <w:t>.</w:t>
      </w:r>
    </w:p>
    <w:p w14:paraId="30717C76" w14:textId="77777777" w:rsidR="0064166E" w:rsidRDefault="0064166E">
      <w:pPr>
        <w:pStyle w:val="BodyText"/>
        <w:rPr>
          <w:sz w:val="26"/>
        </w:rPr>
      </w:pPr>
    </w:p>
    <w:p w14:paraId="0CC098C1" w14:textId="77777777" w:rsidR="0064166E" w:rsidRDefault="0064166E">
      <w:pPr>
        <w:pStyle w:val="BodyText"/>
        <w:spacing w:before="8"/>
        <w:rPr>
          <w:sz w:val="28"/>
        </w:rPr>
      </w:pPr>
    </w:p>
    <w:p w14:paraId="53B0EE71" w14:textId="77777777" w:rsidR="0064166E" w:rsidRDefault="0082114C">
      <w:pPr>
        <w:pStyle w:val="Heading1"/>
      </w:pPr>
      <w:r>
        <w:t>OEB Staff – 1</w:t>
      </w:r>
    </w:p>
    <w:p w14:paraId="45B84615" w14:textId="77777777" w:rsidR="0064166E" w:rsidRDefault="0064166E">
      <w:pPr>
        <w:pStyle w:val="BodyText"/>
        <w:spacing w:before="10"/>
        <w:rPr>
          <w:b/>
          <w:sz w:val="20"/>
        </w:rPr>
      </w:pPr>
    </w:p>
    <w:p w14:paraId="49657616" w14:textId="77777777" w:rsidR="0064166E" w:rsidRDefault="0082114C">
      <w:pPr>
        <w:ind w:left="100"/>
        <w:rPr>
          <w:b/>
          <w:sz w:val="24"/>
        </w:rPr>
      </w:pPr>
      <w:r>
        <w:rPr>
          <w:b/>
          <w:sz w:val="24"/>
        </w:rPr>
        <w:t>Group 1 DVA accounts</w:t>
      </w:r>
    </w:p>
    <w:p w14:paraId="546FF764" w14:textId="77777777" w:rsidR="0064166E" w:rsidRDefault="0082114C">
      <w:pPr>
        <w:spacing w:before="123"/>
        <w:ind w:left="100"/>
        <w:rPr>
          <w:b/>
          <w:sz w:val="24"/>
        </w:rPr>
      </w:pPr>
      <w:r>
        <w:rPr>
          <w:b/>
          <w:sz w:val="24"/>
        </w:rPr>
        <w:t>Ref. 1: Manager’s Summary, page 13</w:t>
      </w:r>
    </w:p>
    <w:p w14:paraId="6672A984" w14:textId="77777777" w:rsidR="0064166E" w:rsidRDefault="0082114C">
      <w:pPr>
        <w:spacing w:before="120"/>
        <w:ind w:left="100"/>
        <w:rPr>
          <w:b/>
          <w:sz w:val="24"/>
        </w:rPr>
      </w:pPr>
      <w:r>
        <w:rPr>
          <w:b/>
          <w:sz w:val="24"/>
        </w:rPr>
        <w:t>Ref 2: IRM Rate Generator, Tab.3 Continuity Schedule</w:t>
      </w:r>
    </w:p>
    <w:p w14:paraId="57DE2643" w14:textId="77777777" w:rsidR="0064166E" w:rsidRDefault="0082114C">
      <w:pPr>
        <w:pStyle w:val="BodyText"/>
        <w:spacing w:before="122"/>
        <w:ind w:left="100"/>
      </w:pPr>
      <w:r>
        <w:t>In Reference 1, InnPower Corporation indicated the total balance of group 1 accounts is</w:t>
      </w:r>
    </w:p>
    <w:p w14:paraId="006EB51B" w14:textId="77777777" w:rsidR="0064166E" w:rsidRDefault="0082114C">
      <w:pPr>
        <w:pStyle w:val="BodyText"/>
        <w:spacing w:before="41"/>
        <w:ind w:left="100"/>
      </w:pPr>
      <w:r>
        <w:t>$3,256,736 excluding Global adjustment. This amount does not match the balance of</w:t>
      </w:r>
    </w:p>
    <w:p w14:paraId="32267B57" w14:textId="77777777" w:rsidR="0064166E" w:rsidRDefault="0082114C">
      <w:pPr>
        <w:pStyle w:val="BodyText"/>
        <w:spacing w:before="41" w:line="278" w:lineRule="auto"/>
        <w:ind w:left="100" w:right="360"/>
      </w:pPr>
      <w:r>
        <w:t>$3,149,425 for the total group 1 balance excluding Global Adjustment in the continuity schedule of the IRM rate generator.</w:t>
      </w:r>
    </w:p>
    <w:p w14:paraId="09568ABB" w14:textId="77777777" w:rsidR="0064166E" w:rsidRDefault="0082114C">
      <w:pPr>
        <w:pStyle w:val="Heading1"/>
        <w:spacing w:before="195"/>
      </w:pPr>
      <w:r>
        <w:t>Question:</w:t>
      </w:r>
    </w:p>
    <w:p w14:paraId="5814E9E8" w14:textId="77777777" w:rsidR="0064166E" w:rsidRDefault="0064166E">
      <w:pPr>
        <w:pStyle w:val="BodyText"/>
        <w:spacing w:before="1"/>
        <w:rPr>
          <w:b/>
          <w:sz w:val="21"/>
        </w:rPr>
      </w:pPr>
    </w:p>
    <w:p w14:paraId="355E53CB" w14:textId="110A95E1" w:rsidR="0064166E" w:rsidRDefault="0082114C" w:rsidP="00DC0F71">
      <w:pPr>
        <w:pStyle w:val="BodyText"/>
        <w:numPr>
          <w:ilvl w:val="0"/>
          <w:numId w:val="4"/>
        </w:numPr>
        <w:spacing w:line="259" w:lineRule="auto"/>
      </w:pPr>
      <w:r>
        <w:t>Please confirm the balance of the group 1 accounts sought for disposition in the current application including and excluding the global adjustment balance.</w:t>
      </w:r>
    </w:p>
    <w:p w14:paraId="7A5103C5" w14:textId="27CE9598" w:rsidR="00DC0F71" w:rsidRDefault="00DC0F71" w:rsidP="00DC0F71">
      <w:pPr>
        <w:pStyle w:val="BodyText"/>
        <w:spacing w:line="259" w:lineRule="auto"/>
      </w:pPr>
    </w:p>
    <w:p w14:paraId="7D2B87A2" w14:textId="375C4D74" w:rsidR="00F12CD5" w:rsidRDefault="00F12CD5" w:rsidP="00F12CD5">
      <w:pPr>
        <w:pStyle w:val="BodyText"/>
        <w:spacing w:line="259" w:lineRule="auto"/>
        <w:rPr>
          <w:color w:val="FF0000"/>
        </w:rPr>
      </w:pPr>
      <w:r>
        <w:rPr>
          <w:color w:val="FF0000"/>
        </w:rPr>
        <w:t>The Group 1 account principal balances</w:t>
      </w:r>
      <w:r w:rsidR="004D4804">
        <w:rPr>
          <w:color w:val="FF0000"/>
        </w:rPr>
        <w:t xml:space="preserve"> (in the report)</w:t>
      </w:r>
      <w:r>
        <w:rPr>
          <w:color w:val="FF0000"/>
        </w:rPr>
        <w:t xml:space="preserve"> included </w:t>
      </w:r>
      <w:r w:rsidR="004D4804">
        <w:rPr>
          <w:color w:val="FF0000"/>
        </w:rPr>
        <w:t>i</w:t>
      </w:r>
      <w:r>
        <w:rPr>
          <w:color w:val="FF0000"/>
        </w:rPr>
        <w:t>nterest balances</w:t>
      </w:r>
      <w:r w:rsidR="004D4804">
        <w:rPr>
          <w:color w:val="FF0000"/>
        </w:rPr>
        <w:t>,</w:t>
      </w:r>
      <w:r>
        <w:rPr>
          <w:color w:val="FF0000"/>
        </w:rPr>
        <w:t xml:space="preserve"> </w:t>
      </w:r>
      <w:r w:rsidR="004D4804">
        <w:rPr>
          <w:color w:val="FF0000"/>
        </w:rPr>
        <w:t>which totaled</w:t>
      </w:r>
      <w:r>
        <w:rPr>
          <w:color w:val="FF0000"/>
        </w:rPr>
        <w:t xml:space="preserve"> $3,256,736.</w:t>
      </w:r>
      <w:r w:rsidR="00FD7EB6">
        <w:rPr>
          <w:color w:val="FF0000"/>
        </w:rPr>
        <w:t xml:space="preserve">  </w:t>
      </w:r>
    </w:p>
    <w:p w14:paraId="587B61E0" w14:textId="77777777" w:rsidR="00F12CD5" w:rsidRDefault="00F12CD5" w:rsidP="00DC0F71">
      <w:pPr>
        <w:pStyle w:val="BodyText"/>
        <w:spacing w:line="259" w:lineRule="auto"/>
        <w:rPr>
          <w:color w:val="FF0000"/>
        </w:rPr>
      </w:pPr>
    </w:p>
    <w:p w14:paraId="73E4A863" w14:textId="73AB8281" w:rsidR="00FD7EB6" w:rsidRDefault="00DC0F71" w:rsidP="00DC0F71">
      <w:pPr>
        <w:pStyle w:val="BodyText"/>
        <w:spacing w:line="259" w:lineRule="auto"/>
        <w:rPr>
          <w:color w:val="FF0000"/>
        </w:rPr>
      </w:pPr>
      <w:r>
        <w:rPr>
          <w:color w:val="FF0000"/>
        </w:rPr>
        <w:t>Please see the updated table below</w:t>
      </w:r>
      <w:r w:rsidR="00F12CD5">
        <w:rPr>
          <w:color w:val="FF0000"/>
        </w:rPr>
        <w:t xml:space="preserve">.  InnPower is seeking disposition of $3,149,425 </w:t>
      </w:r>
      <w:r w:rsidR="00AF0640">
        <w:rPr>
          <w:color w:val="FF0000"/>
        </w:rPr>
        <w:t>f</w:t>
      </w:r>
      <w:r w:rsidR="00F12CD5">
        <w:rPr>
          <w:color w:val="FF0000"/>
        </w:rPr>
        <w:t>or Group 1 accounts, excluding Global adjustment</w:t>
      </w:r>
      <w:r w:rsidR="00AF0640">
        <w:rPr>
          <w:color w:val="FF0000"/>
        </w:rPr>
        <w:t xml:space="preserve"> (as indicated in the continuity schedule)</w:t>
      </w:r>
      <w:r w:rsidR="00F12CD5">
        <w:rPr>
          <w:color w:val="FF0000"/>
        </w:rPr>
        <w:t>.</w:t>
      </w:r>
    </w:p>
    <w:p w14:paraId="5A98BAB7" w14:textId="585C6483" w:rsidR="00FD7EB6" w:rsidRDefault="00DC0F71" w:rsidP="00FD7EB6">
      <w:pPr>
        <w:pStyle w:val="BodyText"/>
        <w:spacing w:line="259" w:lineRule="auto"/>
        <w:rPr>
          <w:color w:val="FF0000"/>
        </w:rPr>
      </w:pPr>
      <w:r>
        <w:rPr>
          <w:noProof/>
        </w:rPr>
        <w:drawing>
          <wp:inline distT="0" distB="0" distL="0" distR="0" wp14:anchorId="67FE0BE2" wp14:editId="35C08ED3">
            <wp:extent cx="6083300" cy="2253615"/>
            <wp:effectExtent l="0" t="0" r="0" b="0"/>
            <wp:docPr id="2" name="Picture 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a:blip r:embed="rId9"/>
                    <a:stretch>
                      <a:fillRect/>
                    </a:stretch>
                  </pic:blipFill>
                  <pic:spPr>
                    <a:xfrm>
                      <a:off x="0" y="0"/>
                      <a:ext cx="6083300" cy="2253615"/>
                    </a:xfrm>
                    <a:prstGeom prst="rect">
                      <a:avLst/>
                    </a:prstGeom>
                  </pic:spPr>
                </pic:pic>
              </a:graphicData>
            </a:graphic>
          </wp:inline>
        </w:drawing>
      </w:r>
    </w:p>
    <w:p w14:paraId="1BB3DAF7" w14:textId="7CB299B5" w:rsidR="00FD7EB6" w:rsidRDefault="00FD7EB6" w:rsidP="00FD7EB6">
      <w:pPr>
        <w:pStyle w:val="BodyText"/>
        <w:spacing w:line="259" w:lineRule="auto"/>
        <w:rPr>
          <w:highlight w:val="yellow"/>
        </w:rPr>
      </w:pPr>
      <w:r>
        <w:rPr>
          <w:color w:val="FF0000"/>
        </w:rPr>
        <w:lastRenderedPageBreak/>
        <w:t>Please note, this does not impact the final rates, as the amount of $3,256,736 was only reflected in a reference table in the pdf report.</w:t>
      </w:r>
    </w:p>
    <w:p w14:paraId="0CB85972" w14:textId="77777777" w:rsidR="00FD7EB6" w:rsidRDefault="00FD7EB6">
      <w:pPr>
        <w:pStyle w:val="Heading1"/>
        <w:spacing w:line="510" w:lineRule="atLeast"/>
        <w:ind w:right="7899"/>
        <w:rPr>
          <w:highlight w:val="yellow"/>
        </w:rPr>
      </w:pPr>
    </w:p>
    <w:p w14:paraId="5BB7BBF3" w14:textId="5DE3F199" w:rsidR="0064166E" w:rsidRPr="00E30459" w:rsidRDefault="0082114C">
      <w:pPr>
        <w:pStyle w:val="Heading1"/>
        <w:spacing w:line="510" w:lineRule="atLeast"/>
        <w:ind w:right="7899"/>
      </w:pPr>
      <w:r w:rsidRPr="00E30459">
        <w:t>OEB Staff – 2 Account 1588</w:t>
      </w:r>
    </w:p>
    <w:p w14:paraId="32B24374" w14:textId="77777777" w:rsidR="0064166E" w:rsidRPr="00E30459" w:rsidRDefault="0082114C">
      <w:pPr>
        <w:spacing w:before="128" w:line="276" w:lineRule="auto"/>
        <w:ind w:left="100" w:right="229"/>
        <w:rPr>
          <w:b/>
          <w:sz w:val="24"/>
        </w:rPr>
      </w:pPr>
      <w:r w:rsidRPr="00E30459">
        <w:rPr>
          <w:b/>
          <w:sz w:val="24"/>
        </w:rPr>
        <w:t>Ref. 1: InnPower_2023_GA_Analysis_Workform_1.0_20220527.xlsb, Tab Account 1588</w:t>
      </w:r>
    </w:p>
    <w:p w14:paraId="7BD27B60" w14:textId="77777777" w:rsidR="0064166E" w:rsidRPr="00E30459" w:rsidRDefault="0082114C">
      <w:pPr>
        <w:spacing w:before="81"/>
        <w:ind w:left="100"/>
        <w:rPr>
          <w:b/>
          <w:sz w:val="24"/>
        </w:rPr>
      </w:pPr>
      <w:r w:rsidRPr="00E30459">
        <w:rPr>
          <w:b/>
          <w:sz w:val="24"/>
        </w:rPr>
        <w:t xml:space="preserve">Ref. 2: EB-2021-0036, </w:t>
      </w:r>
      <w:proofErr w:type="spellStart"/>
      <w:r w:rsidRPr="00E30459">
        <w:rPr>
          <w:b/>
          <w:sz w:val="24"/>
        </w:rPr>
        <w:t>InnPower’s</w:t>
      </w:r>
      <w:proofErr w:type="spellEnd"/>
      <w:r w:rsidRPr="00E30459">
        <w:rPr>
          <w:b/>
          <w:sz w:val="24"/>
        </w:rPr>
        <w:t xml:space="preserve"> Response to Staff question2</w:t>
      </w:r>
    </w:p>
    <w:p w14:paraId="1E1B6281" w14:textId="6E1E6F2C" w:rsidR="0064166E" w:rsidRPr="00E30459" w:rsidRDefault="0082114C" w:rsidP="00F12CD5">
      <w:pPr>
        <w:pStyle w:val="BodyText"/>
        <w:spacing w:before="120" w:line="276" w:lineRule="auto"/>
        <w:ind w:left="100" w:right="191"/>
      </w:pPr>
      <w:r w:rsidRPr="00E30459">
        <w:t xml:space="preserve">In reference 1, the total activity for account 1588 in the calendar year 2021 is about 2.0% when compared to the cost of power purchased. In response to Staff questions in EB-2021-0036 and as indicated in the account 1588 tab of the 2023 GA Analysis </w:t>
      </w:r>
      <w:proofErr w:type="spellStart"/>
      <w:r w:rsidRPr="00E30459">
        <w:t>Workform</w:t>
      </w:r>
      <w:proofErr w:type="spellEnd"/>
      <w:r w:rsidRPr="00E30459">
        <w:t>, InnPower Corporation indicated there were several factors inaccurately reported for the years 2012 to 2016 in EB-2016-0085, including the supply facilities loss factor and wholesale consumption. InnPower Corporation concluded that as a result of</w:t>
      </w:r>
      <w:r w:rsidR="00F12CD5" w:rsidRPr="00E30459">
        <w:t xml:space="preserve"> t</w:t>
      </w:r>
      <w:r w:rsidRPr="00E30459">
        <w:t>he inaccuracies reported, the loss factor of 1.0604 for the period 2017-2021 was understated resulting in an accumulation of costs not recovered in account 1588.</w:t>
      </w:r>
    </w:p>
    <w:p w14:paraId="1B9EB346" w14:textId="77777777" w:rsidR="0064166E" w:rsidRPr="00E30459" w:rsidRDefault="0082114C">
      <w:pPr>
        <w:pStyle w:val="Heading1"/>
        <w:spacing w:before="201"/>
      </w:pPr>
      <w:r w:rsidRPr="00E30459">
        <w:t>Question:</w:t>
      </w:r>
    </w:p>
    <w:p w14:paraId="3250580D" w14:textId="77777777" w:rsidR="0064166E" w:rsidRPr="00E30459" w:rsidRDefault="0064166E">
      <w:pPr>
        <w:pStyle w:val="BodyText"/>
        <w:spacing w:before="9"/>
        <w:rPr>
          <w:b/>
          <w:sz w:val="20"/>
        </w:rPr>
      </w:pPr>
    </w:p>
    <w:p w14:paraId="4F4EB979" w14:textId="3D6AF86A" w:rsidR="0064166E" w:rsidRDefault="0082114C">
      <w:pPr>
        <w:pStyle w:val="ListParagraph"/>
        <w:numPr>
          <w:ilvl w:val="0"/>
          <w:numId w:val="3"/>
        </w:numPr>
        <w:tabs>
          <w:tab w:val="left" w:pos="821"/>
        </w:tabs>
        <w:ind w:hanging="361"/>
        <w:rPr>
          <w:sz w:val="24"/>
        </w:rPr>
      </w:pPr>
      <w:r w:rsidRPr="00E30459">
        <w:rPr>
          <w:sz w:val="24"/>
        </w:rPr>
        <w:t>Please further explain the large activity in Account 1588 in</w:t>
      </w:r>
      <w:r w:rsidRPr="00E30459">
        <w:rPr>
          <w:spacing w:val="-11"/>
          <w:sz w:val="24"/>
        </w:rPr>
        <w:t xml:space="preserve"> </w:t>
      </w:r>
      <w:r w:rsidRPr="00E30459">
        <w:rPr>
          <w:sz w:val="24"/>
        </w:rPr>
        <w:t>2021.</w:t>
      </w:r>
    </w:p>
    <w:p w14:paraId="4BC8D060" w14:textId="702FB6CA" w:rsidR="00EA5DD7" w:rsidRDefault="00EA5DD7" w:rsidP="00EA5DD7">
      <w:pPr>
        <w:tabs>
          <w:tab w:val="left" w:pos="821"/>
        </w:tabs>
        <w:rPr>
          <w:sz w:val="24"/>
        </w:rPr>
      </w:pPr>
    </w:p>
    <w:p w14:paraId="718452CC" w14:textId="603CDA27" w:rsidR="00EA5DD7" w:rsidRPr="00EA5DD7" w:rsidRDefault="00EA5DD7" w:rsidP="00EA5DD7">
      <w:pPr>
        <w:tabs>
          <w:tab w:val="left" w:pos="821"/>
        </w:tabs>
        <w:ind w:left="820"/>
        <w:rPr>
          <w:color w:val="FF0000"/>
          <w:sz w:val="24"/>
        </w:rPr>
      </w:pPr>
      <w:r w:rsidRPr="00EA5DD7">
        <w:rPr>
          <w:color w:val="FF0000"/>
          <w:sz w:val="24"/>
        </w:rPr>
        <w:t>As stated above and calculated in</w:t>
      </w:r>
      <w:r w:rsidR="00892C28">
        <w:rPr>
          <w:color w:val="FF0000"/>
          <w:sz w:val="24"/>
        </w:rPr>
        <w:t xml:space="preserve"> b) and</w:t>
      </w:r>
      <w:r w:rsidRPr="00EA5DD7">
        <w:rPr>
          <w:color w:val="FF0000"/>
          <w:sz w:val="24"/>
        </w:rPr>
        <w:t xml:space="preserve"> c) below</w:t>
      </w:r>
      <w:r w:rsidR="003E6BC2">
        <w:rPr>
          <w:color w:val="FF0000"/>
          <w:sz w:val="24"/>
        </w:rPr>
        <w:t>,</w:t>
      </w:r>
      <w:r w:rsidRPr="00EA5DD7">
        <w:rPr>
          <w:color w:val="FF0000"/>
          <w:sz w:val="24"/>
        </w:rPr>
        <w:t xml:space="preserve"> InnPower has not recovered the costs of electricity losses within the distribution system</w:t>
      </w:r>
      <w:r w:rsidR="003C38E8">
        <w:rPr>
          <w:color w:val="FF0000"/>
          <w:sz w:val="24"/>
        </w:rPr>
        <w:t xml:space="preserve"> </w:t>
      </w:r>
      <w:r w:rsidRPr="00EA5DD7">
        <w:rPr>
          <w:color w:val="FF0000"/>
          <w:sz w:val="24"/>
        </w:rPr>
        <w:t xml:space="preserve">due to an inaccurate loss factor </w:t>
      </w:r>
      <w:r w:rsidR="008B23A9">
        <w:rPr>
          <w:color w:val="FF0000"/>
          <w:sz w:val="24"/>
        </w:rPr>
        <w:t>submitted</w:t>
      </w:r>
      <w:r w:rsidRPr="00EA5DD7">
        <w:rPr>
          <w:color w:val="FF0000"/>
          <w:sz w:val="24"/>
        </w:rPr>
        <w:t xml:space="preserve"> in the 2017 Cost of Service application.  As a result, the costs have</w:t>
      </w:r>
      <w:r w:rsidR="003C38E8">
        <w:rPr>
          <w:color w:val="FF0000"/>
          <w:sz w:val="24"/>
        </w:rPr>
        <w:t xml:space="preserve"> not been recovered through billed revenue and have</w:t>
      </w:r>
      <w:r w:rsidRPr="00EA5DD7">
        <w:rPr>
          <w:color w:val="FF0000"/>
          <w:sz w:val="24"/>
        </w:rPr>
        <w:t xml:space="preserve"> accumulated in account 1588.</w:t>
      </w:r>
    </w:p>
    <w:p w14:paraId="0580A77E" w14:textId="33A6328A" w:rsidR="00EA5DD7" w:rsidRDefault="00EA5DD7" w:rsidP="00EA5DD7">
      <w:pPr>
        <w:tabs>
          <w:tab w:val="left" w:pos="821"/>
        </w:tabs>
        <w:ind w:left="820"/>
        <w:rPr>
          <w:sz w:val="24"/>
        </w:rPr>
      </w:pPr>
    </w:p>
    <w:p w14:paraId="53D127BE" w14:textId="77777777" w:rsidR="00EA5DD7" w:rsidRPr="00EA5DD7" w:rsidRDefault="00EA5DD7" w:rsidP="00EA5DD7">
      <w:pPr>
        <w:tabs>
          <w:tab w:val="left" w:pos="821"/>
        </w:tabs>
        <w:rPr>
          <w:sz w:val="24"/>
        </w:rPr>
      </w:pPr>
    </w:p>
    <w:p w14:paraId="1A2E2D21" w14:textId="36CBB6AF" w:rsidR="0064166E" w:rsidRDefault="0082114C">
      <w:pPr>
        <w:pStyle w:val="ListParagraph"/>
        <w:numPr>
          <w:ilvl w:val="0"/>
          <w:numId w:val="3"/>
        </w:numPr>
        <w:tabs>
          <w:tab w:val="left" w:pos="821"/>
        </w:tabs>
        <w:spacing w:before="21" w:line="259" w:lineRule="auto"/>
        <w:ind w:right="182"/>
        <w:rPr>
          <w:sz w:val="24"/>
        </w:rPr>
      </w:pPr>
      <w:r w:rsidRPr="00E30459">
        <w:rPr>
          <w:sz w:val="24"/>
        </w:rPr>
        <w:t>Please provide a correct calculation for the approved loss factor (</w:t>
      </w:r>
      <w:proofErr w:type="gramStart"/>
      <w:r w:rsidRPr="00E30459">
        <w:rPr>
          <w:sz w:val="24"/>
        </w:rPr>
        <w:t>i.e.</w:t>
      </w:r>
      <w:proofErr w:type="gramEnd"/>
      <w:r w:rsidRPr="00E30459">
        <w:rPr>
          <w:sz w:val="24"/>
        </w:rPr>
        <w:t xml:space="preserve"> reproduce Appendix 2-R in </w:t>
      </w:r>
      <w:proofErr w:type="spellStart"/>
      <w:r w:rsidRPr="00E30459">
        <w:rPr>
          <w:sz w:val="24"/>
        </w:rPr>
        <w:t>InnPower’s</w:t>
      </w:r>
      <w:proofErr w:type="spellEnd"/>
      <w:r w:rsidRPr="00E30459">
        <w:rPr>
          <w:sz w:val="24"/>
        </w:rPr>
        <w:t xml:space="preserve"> last rebasing application) and compare it to the original Appendix 2-R as approved in </w:t>
      </w:r>
      <w:proofErr w:type="spellStart"/>
      <w:r w:rsidRPr="00E30459">
        <w:rPr>
          <w:sz w:val="24"/>
        </w:rPr>
        <w:t>InnPower’s</w:t>
      </w:r>
      <w:proofErr w:type="spellEnd"/>
      <w:r w:rsidRPr="00E30459">
        <w:rPr>
          <w:sz w:val="24"/>
        </w:rPr>
        <w:t xml:space="preserve"> last rebasing application for</w:t>
      </w:r>
      <w:r w:rsidRPr="00E30459">
        <w:rPr>
          <w:spacing w:val="-33"/>
          <w:sz w:val="24"/>
        </w:rPr>
        <w:t xml:space="preserve"> </w:t>
      </w:r>
      <w:r w:rsidRPr="00E30459">
        <w:rPr>
          <w:sz w:val="24"/>
        </w:rPr>
        <w:t>the incorrect inputs</w:t>
      </w:r>
      <w:r w:rsidRPr="00E30459">
        <w:rPr>
          <w:spacing w:val="-1"/>
          <w:sz w:val="24"/>
        </w:rPr>
        <w:t xml:space="preserve"> </w:t>
      </w:r>
      <w:r w:rsidRPr="00E30459">
        <w:rPr>
          <w:sz w:val="24"/>
        </w:rPr>
        <w:t>used.</w:t>
      </w:r>
    </w:p>
    <w:p w14:paraId="402C1983" w14:textId="24192ABC" w:rsidR="00E30459" w:rsidRDefault="00E30459" w:rsidP="00E30459">
      <w:pPr>
        <w:tabs>
          <w:tab w:val="left" w:pos="821"/>
        </w:tabs>
        <w:spacing w:before="21" w:line="259" w:lineRule="auto"/>
        <w:ind w:right="182"/>
        <w:rPr>
          <w:sz w:val="24"/>
        </w:rPr>
      </w:pPr>
    </w:p>
    <w:p w14:paraId="7489255E" w14:textId="5CD88178" w:rsidR="00E30459" w:rsidRDefault="00E30459" w:rsidP="00E30459">
      <w:pPr>
        <w:tabs>
          <w:tab w:val="left" w:pos="821"/>
        </w:tabs>
        <w:spacing w:before="21" w:line="259" w:lineRule="auto"/>
        <w:ind w:left="820" w:right="182"/>
        <w:rPr>
          <w:color w:val="FF0000"/>
          <w:sz w:val="24"/>
        </w:rPr>
      </w:pPr>
      <w:r>
        <w:rPr>
          <w:color w:val="FF0000"/>
          <w:sz w:val="24"/>
        </w:rPr>
        <w:t>Please refer to</w:t>
      </w:r>
      <w:r w:rsidR="000A39CE">
        <w:rPr>
          <w:color w:val="FF0000"/>
          <w:sz w:val="24"/>
        </w:rPr>
        <w:t xml:space="preserve"> the IPC_IRR_OEB_20221013.xml file.  T</w:t>
      </w:r>
      <w:r>
        <w:rPr>
          <w:color w:val="FF0000"/>
          <w:sz w:val="24"/>
        </w:rPr>
        <w:t>he original Appendix 2-R</w:t>
      </w:r>
      <w:r w:rsidR="00B07BA2">
        <w:rPr>
          <w:color w:val="FF0000"/>
          <w:sz w:val="24"/>
        </w:rPr>
        <w:t xml:space="preserve"> fil</w:t>
      </w:r>
      <w:r w:rsidR="000A39CE">
        <w:rPr>
          <w:color w:val="FF0000"/>
          <w:sz w:val="24"/>
        </w:rPr>
        <w:t xml:space="preserve">ed is located in the “OEB Staff 2a” tab </w:t>
      </w:r>
      <w:r>
        <w:rPr>
          <w:color w:val="FF0000"/>
          <w:sz w:val="24"/>
        </w:rPr>
        <w:t xml:space="preserve">and the </w:t>
      </w:r>
      <w:r w:rsidR="005C5B55">
        <w:rPr>
          <w:color w:val="FF0000"/>
          <w:sz w:val="24"/>
        </w:rPr>
        <w:t>amended</w:t>
      </w:r>
      <w:r>
        <w:rPr>
          <w:color w:val="FF0000"/>
          <w:sz w:val="24"/>
        </w:rPr>
        <w:t xml:space="preserve"> Appendix 2-R</w:t>
      </w:r>
      <w:r w:rsidR="000A39CE">
        <w:rPr>
          <w:color w:val="FF0000"/>
          <w:sz w:val="24"/>
        </w:rPr>
        <w:t xml:space="preserve"> is located in the “OEB Staff 2b” tab</w:t>
      </w:r>
      <w:r>
        <w:rPr>
          <w:color w:val="FF0000"/>
          <w:sz w:val="24"/>
        </w:rPr>
        <w:t>.</w:t>
      </w:r>
      <w:r w:rsidR="00B07BA2">
        <w:rPr>
          <w:color w:val="FF0000"/>
          <w:sz w:val="24"/>
        </w:rPr>
        <w:br/>
      </w:r>
    </w:p>
    <w:p w14:paraId="26E14997" w14:textId="45867A6E" w:rsidR="00B07BA2" w:rsidRDefault="00B07BA2" w:rsidP="00E30459">
      <w:pPr>
        <w:tabs>
          <w:tab w:val="left" w:pos="821"/>
        </w:tabs>
        <w:spacing w:before="21" w:line="259" w:lineRule="auto"/>
        <w:ind w:left="820" w:right="182"/>
        <w:rPr>
          <w:color w:val="FF0000"/>
          <w:sz w:val="24"/>
        </w:rPr>
      </w:pPr>
      <w:r>
        <w:rPr>
          <w:color w:val="FF0000"/>
          <w:sz w:val="24"/>
        </w:rPr>
        <w:t>The original Appendix 2-R filed exhibits a loss factor of 1.0604 compared to the amended file loss factor of 1.0710.</w:t>
      </w:r>
      <w:r w:rsidR="008541D8">
        <w:rPr>
          <w:color w:val="FF0000"/>
          <w:sz w:val="24"/>
        </w:rPr>
        <w:t xml:space="preserve">  As previously stated, the wholesale</w:t>
      </w:r>
      <w:r w:rsidR="006C2D97">
        <w:rPr>
          <w:color w:val="FF0000"/>
          <w:sz w:val="24"/>
        </w:rPr>
        <w:t xml:space="preserve"> and retail</w:t>
      </w:r>
      <w:r w:rsidR="008541D8">
        <w:rPr>
          <w:color w:val="FF0000"/>
          <w:sz w:val="24"/>
        </w:rPr>
        <w:t xml:space="preserve"> consumption</w:t>
      </w:r>
      <w:r w:rsidR="006C2D97">
        <w:rPr>
          <w:color w:val="FF0000"/>
          <w:sz w:val="24"/>
        </w:rPr>
        <w:t xml:space="preserve">, as well as the </w:t>
      </w:r>
      <w:r w:rsidR="008541D8">
        <w:rPr>
          <w:color w:val="FF0000"/>
          <w:sz w:val="24"/>
        </w:rPr>
        <w:t>supply facilities loss factor has been updated to reflect actuals.</w:t>
      </w:r>
    </w:p>
    <w:p w14:paraId="617CF8EE" w14:textId="77777777" w:rsidR="00EF2FBF" w:rsidRDefault="00EF2FBF" w:rsidP="00E30459">
      <w:pPr>
        <w:tabs>
          <w:tab w:val="left" w:pos="821"/>
        </w:tabs>
        <w:spacing w:before="21" w:line="259" w:lineRule="auto"/>
        <w:ind w:left="820" w:right="182"/>
        <w:rPr>
          <w:color w:val="FF0000"/>
          <w:sz w:val="24"/>
        </w:rPr>
      </w:pPr>
    </w:p>
    <w:p w14:paraId="07E07007" w14:textId="77777777" w:rsidR="00B07BA2" w:rsidRDefault="00B07BA2" w:rsidP="00E30459">
      <w:pPr>
        <w:tabs>
          <w:tab w:val="left" w:pos="821"/>
        </w:tabs>
        <w:spacing w:before="21" w:line="259" w:lineRule="auto"/>
        <w:ind w:left="820" w:right="182"/>
        <w:rPr>
          <w:color w:val="FF0000"/>
          <w:sz w:val="24"/>
        </w:rPr>
      </w:pPr>
    </w:p>
    <w:p w14:paraId="515D1A3C" w14:textId="77777777" w:rsidR="00E30459" w:rsidRPr="00E30459" w:rsidRDefault="00E30459" w:rsidP="00E30459">
      <w:pPr>
        <w:tabs>
          <w:tab w:val="left" w:pos="821"/>
        </w:tabs>
        <w:spacing w:before="21" w:line="259" w:lineRule="auto"/>
        <w:ind w:right="182"/>
        <w:rPr>
          <w:sz w:val="24"/>
        </w:rPr>
      </w:pPr>
    </w:p>
    <w:p w14:paraId="7885FA1D" w14:textId="506ECDAE" w:rsidR="0064166E" w:rsidRDefault="0082114C">
      <w:pPr>
        <w:pStyle w:val="ListParagraph"/>
        <w:numPr>
          <w:ilvl w:val="0"/>
          <w:numId w:val="3"/>
        </w:numPr>
        <w:tabs>
          <w:tab w:val="left" w:pos="821"/>
        </w:tabs>
        <w:spacing w:line="259" w:lineRule="auto"/>
        <w:ind w:right="870"/>
        <w:rPr>
          <w:sz w:val="24"/>
        </w:rPr>
      </w:pPr>
      <w:r w:rsidRPr="00E30459">
        <w:rPr>
          <w:sz w:val="24"/>
        </w:rPr>
        <w:t>Please provide quantify the impact of the incorrect approved loss factor on Account</w:t>
      </w:r>
      <w:r w:rsidRPr="00E30459">
        <w:rPr>
          <w:spacing w:val="-1"/>
          <w:sz w:val="24"/>
        </w:rPr>
        <w:t xml:space="preserve"> </w:t>
      </w:r>
      <w:r w:rsidRPr="00E30459">
        <w:rPr>
          <w:sz w:val="24"/>
        </w:rPr>
        <w:t>1588.</w:t>
      </w:r>
    </w:p>
    <w:p w14:paraId="45D57988" w14:textId="426B978B" w:rsidR="00F45AA9" w:rsidRPr="00F45AA9" w:rsidRDefault="00F45AA9" w:rsidP="00F45AA9">
      <w:pPr>
        <w:tabs>
          <w:tab w:val="left" w:pos="821"/>
        </w:tabs>
        <w:spacing w:line="259" w:lineRule="auto"/>
        <w:ind w:right="870"/>
        <w:rPr>
          <w:color w:val="FF0000"/>
          <w:sz w:val="24"/>
        </w:rPr>
      </w:pPr>
    </w:p>
    <w:p w14:paraId="34A19985" w14:textId="01C2B00E" w:rsidR="00F45AA9" w:rsidRPr="00F45AA9" w:rsidRDefault="00F45AA9" w:rsidP="00F45AA9">
      <w:pPr>
        <w:tabs>
          <w:tab w:val="left" w:pos="821"/>
        </w:tabs>
        <w:spacing w:line="259" w:lineRule="auto"/>
        <w:ind w:left="820" w:right="870"/>
        <w:rPr>
          <w:color w:val="FF0000"/>
          <w:sz w:val="24"/>
        </w:rPr>
      </w:pPr>
      <w:r w:rsidRPr="00F45AA9">
        <w:rPr>
          <w:color w:val="FF0000"/>
          <w:sz w:val="24"/>
        </w:rPr>
        <w:t>Please refer to</w:t>
      </w:r>
      <w:r w:rsidR="005C5B55">
        <w:rPr>
          <w:color w:val="FF0000"/>
          <w:sz w:val="24"/>
        </w:rPr>
        <w:t xml:space="preserve"> the “OEB Staff 2c” tab, for the </w:t>
      </w:r>
      <w:r w:rsidRPr="00F45AA9">
        <w:rPr>
          <w:color w:val="FF0000"/>
          <w:sz w:val="24"/>
        </w:rPr>
        <w:t>impact of the incorrect approved loss factor.</w:t>
      </w:r>
      <w:r w:rsidR="005C5B55">
        <w:rPr>
          <w:color w:val="FF0000"/>
          <w:sz w:val="24"/>
        </w:rPr>
        <w:t xml:space="preserve">  In 2021, InnPower did not recover costs for approximately 8.7 million kWh of electricity.    </w:t>
      </w:r>
    </w:p>
    <w:p w14:paraId="1F7D2DB8" w14:textId="77777777" w:rsidR="00F12CD5" w:rsidRDefault="00F12CD5">
      <w:pPr>
        <w:pStyle w:val="Heading1"/>
      </w:pPr>
    </w:p>
    <w:p w14:paraId="2BCAA581" w14:textId="77777777" w:rsidR="00F12CD5" w:rsidRDefault="00F12CD5">
      <w:pPr>
        <w:pStyle w:val="Heading1"/>
      </w:pPr>
    </w:p>
    <w:p w14:paraId="70630029" w14:textId="21925DC9" w:rsidR="0064166E" w:rsidRDefault="0082114C">
      <w:pPr>
        <w:pStyle w:val="Heading1"/>
      </w:pPr>
      <w:r>
        <w:t>OEB Staff – 3</w:t>
      </w:r>
    </w:p>
    <w:p w14:paraId="210A2373" w14:textId="77777777" w:rsidR="0064166E" w:rsidRDefault="0064166E">
      <w:pPr>
        <w:pStyle w:val="BodyText"/>
        <w:spacing w:before="10"/>
        <w:rPr>
          <w:b/>
          <w:sz w:val="20"/>
        </w:rPr>
      </w:pPr>
    </w:p>
    <w:p w14:paraId="1CFEC4AD" w14:textId="77777777" w:rsidR="0064166E" w:rsidRDefault="0082114C">
      <w:pPr>
        <w:spacing w:line="276" w:lineRule="auto"/>
        <w:ind w:left="100" w:right="350"/>
        <w:rPr>
          <w:b/>
          <w:sz w:val="24"/>
        </w:rPr>
      </w:pPr>
      <w:r>
        <w:rPr>
          <w:b/>
          <w:sz w:val="24"/>
        </w:rPr>
        <w:t>Accounts 1584 - RSVA-Retail Transmission Network Charge, and Account 1586- RSVA Retail Transmission Connection Charge</w:t>
      </w:r>
    </w:p>
    <w:p w14:paraId="74CBE8C7" w14:textId="77777777" w:rsidR="0064166E" w:rsidRDefault="0082114C">
      <w:pPr>
        <w:spacing w:before="81" w:line="343" w:lineRule="auto"/>
        <w:ind w:left="100" w:right="842"/>
        <w:rPr>
          <w:b/>
          <w:sz w:val="24"/>
        </w:rPr>
      </w:pPr>
      <w:r>
        <w:rPr>
          <w:b/>
          <w:sz w:val="24"/>
        </w:rPr>
        <w:t xml:space="preserve">Ref. 1: InnPower_2023-IRM-Rate-Generator-Model_20220721_20220803.xlsb Ref. 2: </w:t>
      </w:r>
      <w:proofErr w:type="spellStart"/>
      <w:r>
        <w:rPr>
          <w:b/>
          <w:sz w:val="24"/>
        </w:rPr>
        <w:t>dec_rate</w:t>
      </w:r>
      <w:proofErr w:type="spellEnd"/>
      <w:r>
        <w:rPr>
          <w:b/>
          <w:sz w:val="24"/>
        </w:rPr>
        <w:t xml:space="preserve"> order_2022-IRM-Rate-Generator-Model_20211209.xlsb</w:t>
      </w:r>
    </w:p>
    <w:p w14:paraId="4DAE0285" w14:textId="77777777" w:rsidR="0064166E" w:rsidRDefault="0082114C">
      <w:pPr>
        <w:pStyle w:val="BodyText"/>
        <w:spacing w:before="5"/>
        <w:ind w:left="100"/>
      </w:pPr>
      <w:r>
        <w:t>In Reference 2, the transactions registered in 2020 for these two accounts were</w:t>
      </w:r>
    </w:p>
    <w:p w14:paraId="27A37545" w14:textId="77777777" w:rsidR="0064166E" w:rsidRDefault="0082114C">
      <w:pPr>
        <w:pStyle w:val="BodyText"/>
        <w:spacing w:before="41" w:line="276" w:lineRule="auto"/>
        <w:ind w:left="100"/>
      </w:pPr>
      <w:r>
        <w:t>$341,505 and $319,070 respectively. In Reference 1, the transactions recorded in 2021 increased to $650,424 and $602,005.</w:t>
      </w:r>
    </w:p>
    <w:p w14:paraId="44D6A072" w14:textId="77777777" w:rsidR="0064166E" w:rsidRDefault="0082114C">
      <w:pPr>
        <w:pStyle w:val="Heading1"/>
        <w:spacing w:before="201"/>
      </w:pPr>
      <w:r>
        <w:t>Question:</w:t>
      </w:r>
    </w:p>
    <w:p w14:paraId="78D62115" w14:textId="77777777" w:rsidR="0064166E" w:rsidRDefault="0064166E">
      <w:pPr>
        <w:pStyle w:val="BodyText"/>
        <w:rPr>
          <w:b/>
          <w:sz w:val="21"/>
        </w:rPr>
      </w:pPr>
    </w:p>
    <w:p w14:paraId="49C02381" w14:textId="025BF25E" w:rsidR="0064166E" w:rsidRDefault="0082114C" w:rsidP="00FD7EB6">
      <w:pPr>
        <w:pStyle w:val="BodyText"/>
        <w:numPr>
          <w:ilvl w:val="0"/>
          <w:numId w:val="6"/>
        </w:numPr>
        <w:spacing w:before="1" w:line="259" w:lineRule="auto"/>
      </w:pPr>
      <w:r>
        <w:t>Please explain the drivers behind this significant increase in the transactions recorded in these two accounts.</w:t>
      </w:r>
    </w:p>
    <w:p w14:paraId="592BDA20" w14:textId="212C9B8F" w:rsidR="00FD7EB6" w:rsidRDefault="00FD7EB6" w:rsidP="00FD7EB6">
      <w:pPr>
        <w:pStyle w:val="BodyText"/>
        <w:spacing w:before="1" w:line="259" w:lineRule="auto"/>
      </w:pPr>
    </w:p>
    <w:p w14:paraId="0BA0D415" w14:textId="5F5CBA72" w:rsidR="00C3209F" w:rsidRPr="00691398" w:rsidRDefault="00C3209F" w:rsidP="00FD7EB6">
      <w:pPr>
        <w:pStyle w:val="BodyText"/>
        <w:spacing w:before="1" w:line="259" w:lineRule="auto"/>
        <w:rPr>
          <w:color w:val="FF0000"/>
        </w:rPr>
      </w:pPr>
      <w:r w:rsidRPr="00691398">
        <w:rPr>
          <w:color w:val="FF0000"/>
        </w:rPr>
        <w:t>The driver</w:t>
      </w:r>
      <w:r w:rsidR="00777658">
        <w:rPr>
          <w:color w:val="FF0000"/>
        </w:rPr>
        <w:t>s</w:t>
      </w:r>
      <w:r w:rsidRPr="00691398">
        <w:rPr>
          <w:color w:val="FF0000"/>
        </w:rPr>
        <w:t xml:space="preserve"> behind the significant increase</w:t>
      </w:r>
      <w:r w:rsidR="00777658">
        <w:rPr>
          <w:color w:val="FF0000"/>
        </w:rPr>
        <w:t xml:space="preserve"> in the transactions recorded</w:t>
      </w:r>
      <w:r w:rsidRPr="00691398">
        <w:rPr>
          <w:color w:val="FF0000"/>
        </w:rPr>
        <w:t xml:space="preserve"> include:</w:t>
      </w:r>
    </w:p>
    <w:p w14:paraId="70975AC3" w14:textId="6F82E652" w:rsidR="00691398" w:rsidRDefault="00691398" w:rsidP="00C3209F">
      <w:pPr>
        <w:pStyle w:val="BodyText"/>
        <w:numPr>
          <w:ilvl w:val="0"/>
          <w:numId w:val="7"/>
        </w:numPr>
        <w:spacing w:before="1" w:line="259" w:lineRule="auto"/>
        <w:rPr>
          <w:color w:val="FF0000"/>
        </w:rPr>
      </w:pPr>
      <w:r>
        <w:rPr>
          <w:color w:val="FF0000"/>
        </w:rPr>
        <w:t>A</w:t>
      </w:r>
      <w:r w:rsidR="00CE4903">
        <w:rPr>
          <w:color w:val="FF0000"/>
        </w:rPr>
        <w:t xml:space="preserve"> significant </w:t>
      </w:r>
      <w:r>
        <w:rPr>
          <w:color w:val="FF0000"/>
        </w:rPr>
        <w:t>increase in units billed by Hydro One</w:t>
      </w:r>
      <w:r w:rsidR="00F611F0">
        <w:rPr>
          <w:color w:val="FF0000"/>
        </w:rPr>
        <w:t xml:space="preserve"> from 2020 to 2021.</w:t>
      </w:r>
    </w:p>
    <w:p w14:paraId="0C2CF078" w14:textId="4699A44D" w:rsidR="00A702A3" w:rsidRPr="00A702A3" w:rsidRDefault="00CE4903" w:rsidP="00CE4903">
      <w:pPr>
        <w:pStyle w:val="BodyText"/>
        <w:numPr>
          <w:ilvl w:val="1"/>
          <w:numId w:val="7"/>
        </w:numPr>
        <w:spacing w:before="1" w:line="259" w:lineRule="auto"/>
        <w:rPr>
          <w:color w:val="FF0000"/>
        </w:rPr>
      </w:pPr>
      <w:r w:rsidRPr="00A702A3">
        <w:rPr>
          <w:color w:val="FF0000"/>
        </w:rPr>
        <w:t xml:space="preserve">InnPower is billed by Hydro One on peaks per transmission station versus actual system peaks.  For instance, </w:t>
      </w:r>
      <w:r w:rsidR="00A702A3" w:rsidRPr="00A702A3">
        <w:rPr>
          <w:color w:val="FF0000"/>
        </w:rPr>
        <w:t xml:space="preserve">if there are two transmission stations, one </w:t>
      </w:r>
      <w:r w:rsidR="0013286B">
        <w:rPr>
          <w:color w:val="FF0000"/>
        </w:rPr>
        <w:t>that</w:t>
      </w:r>
      <w:r w:rsidR="00A702A3">
        <w:rPr>
          <w:color w:val="FF0000"/>
        </w:rPr>
        <w:t xml:space="preserve"> peaks </w:t>
      </w:r>
      <w:r w:rsidR="00A702A3" w:rsidRPr="00A702A3">
        <w:rPr>
          <w:color w:val="FF0000"/>
        </w:rPr>
        <w:t xml:space="preserve">at </w:t>
      </w:r>
      <w:r w:rsidRPr="00A702A3">
        <w:rPr>
          <w:color w:val="FF0000"/>
        </w:rPr>
        <w:t>30M</w:t>
      </w:r>
      <w:r w:rsidR="00A702A3" w:rsidRPr="00A702A3">
        <w:rPr>
          <w:color w:val="FF0000"/>
        </w:rPr>
        <w:t>W</w:t>
      </w:r>
      <w:r w:rsidRPr="00A702A3">
        <w:rPr>
          <w:color w:val="FF0000"/>
        </w:rPr>
        <w:t xml:space="preserve"> </w:t>
      </w:r>
      <w:r w:rsidR="00A702A3" w:rsidRPr="00A702A3">
        <w:rPr>
          <w:color w:val="FF0000"/>
        </w:rPr>
        <w:t xml:space="preserve">and </w:t>
      </w:r>
      <w:r w:rsidR="00A702A3">
        <w:rPr>
          <w:color w:val="FF0000"/>
        </w:rPr>
        <w:t>anoth</w:t>
      </w:r>
      <w:r w:rsidR="00A702A3" w:rsidRPr="00A702A3">
        <w:rPr>
          <w:color w:val="FF0000"/>
        </w:rPr>
        <w:t>er at</w:t>
      </w:r>
      <w:r w:rsidRPr="00A702A3">
        <w:rPr>
          <w:color w:val="FF0000"/>
        </w:rPr>
        <w:t xml:space="preserve"> 10M</w:t>
      </w:r>
      <w:r w:rsidR="00A702A3" w:rsidRPr="00A702A3">
        <w:rPr>
          <w:color w:val="FF0000"/>
        </w:rPr>
        <w:t xml:space="preserve">W a month (on average), </w:t>
      </w:r>
      <w:r w:rsidR="0013286B">
        <w:rPr>
          <w:color w:val="FF0000"/>
        </w:rPr>
        <w:t>InnPower</w:t>
      </w:r>
      <w:r w:rsidR="00A702A3" w:rsidRPr="00A702A3">
        <w:rPr>
          <w:color w:val="FF0000"/>
        </w:rPr>
        <w:t xml:space="preserve"> would be billed 30MW and 10MW for the month.  If at any point </w:t>
      </w:r>
      <w:r w:rsidR="006D14D7">
        <w:rPr>
          <w:color w:val="FF0000"/>
        </w:rPr>
        <w:t xml:space="preserve">during the month </w:t>
      </w:r>
      <w:r w:rsidR="00A702A3" w:rsidRPr="00A702A3">
        <w:rPr>
          <w:color w:val="FF0000"/>
        </w:rPr>
        <w:t>load is switched between the transmission stations, the monthly billed amount from Hydro One will increase by the shifted load (i.e.</w:t>
      </w:r>
      <w:r w:rsidR="00A702A3">
        <w:rPr>
          <w:color w:val="FF0000"/>
        </w:rPr>
        <w:t>,</w:t>
      </w:r>
      <w:r w:rsidR="00A702A3" w:rsidRPr="00A702A3">
        <w:rPr>
          <w:color w:val="FF0000"/>
        </w:rPr>
        <w:t xml:space="preserve"> if 30MW is shifted from one transmission station to the other, the billed amount will be 30MW average and 40MW (10MW average + 30MW shifted)).  Please note, the increase </w:t>
      </w:r>
      <w:r w:rsidR="00A702A3">
        <w:rPr>
          <w:color w:val="FF0000"/>
        </w:rPr>
        <w:t xml:space="preserve">in </w:t>
      </w:r>
      <w:r w:rsidR="0013286B">
        <w:rPr>
          <w:color w:val="FF0000"/>
        </w:rPr>
        <w:t>the billed amount</w:t>
      </w:r>
      <w:r w:rsidR="00A702A3">
        <w:rPr>
          <w:color w:val="FF0000"/>
        </w:rPr>
        <w:t xml:space="preserve"> from Hydro One</w:t>
      </w:r>
      <w:r w:rsidR="00A702A3" w:rsidRPr="00A702A3">
        <w:rPr>
          <w:color w:val="FF0000"/>
        </w:rPr>
        <w:t xml:space="preserve"> will occur if load is </w:t>
      </w:r>
      <w:r w:rsidR="0013286B">
        <w:rPr>
          <w:color w:val="FF0000"/>
        </w:rPr>
        <w:t xml:space="preserve">only </w:t>
      </w:r>
      <w:r w:rsidR="00A702A3" w:rsidRPr="00A702A3">
        <w:rPr>
          <w:color w:val="FF0000"/>
        </w:rPr>
        <w:t xml:space="preserve">shifted </w:t>
      </w:r>
      <w:r w:rsidR="0013286B">
        <w:rPr>
          <w:color w:val="FF0000"/>
        </w:rPr>
        <w:t xml:space="preserve">on </w:t>
      </w:r>
      <w:r w:rsidR="00A702A3" w:rsidRPr="00A702A3">
        <w:rPr>
          <w:color w:val="FF0000"/>
        </w:rPr>
        <w:t>one hour, one day in the month.</w:t>
      </w:r>
    </w:p>
    <w:p w14:paraId="1DCBE021" w14:textId="0DD47468" w:rsidR="0064166E" w:rsidRDefault="0064166E">
      <w:pPr>
        <w:pStyle w:val="BodyText"/>
        <w:spacing w:before="8"/>
        <w:rPr>
          <w:sz w:val="32"/>
        </w:rPr>
      </w:pPr>
    </w:p>
    <w:p w14:paraId="2A826A7C" w14:textId="683BF36E" w:rsidR="00D315D0" w:rsidRDefault="00D315D0">
      <w:pPr>
        <w:pStyle w:val="BodyText"/>
        <w:spacing w:before="8"/>
        <w:rPr>
          <w:sz w:val="32"/>
        </w:rPr>
      </w:pPr>
    </w:p>
    <w:p w14:paraId="5EF6C1BD" w14:textId="3B735663" w:rsidR="00D315D0" w:rsidRDefault="00D315D0">
      <w:pPr>
        <w:pStyle w:val="BodyText"/>
        <w:spacing w:before="8"/>
        <w:rPr>
          <w:sz w:val="32"/>
        </w:rPr>
      </w:pPr>
    </w:p>
    <w:p w14:paraId="5C9F8DF9" w14:textId="77777777" w:rsidR="00D315D0" w:rsidRDefault="00D315D0">
      <w:pPr>
        <w:pStyle w:val="BodyText"/>
        <w:spacing w:before="8"/>
        <w:rPr>
          <w:sz w:val="32"/>
        </w:rPr>
      </w:pPr>
    </w:p>
    <w:p w14:paraId="7D7E1287" w14:textId="77777777" w:rsidR="00777658" w:rsidRDefault="00777658">
      <w:pPr>
        <w:pStyle w:val="BodyText"/>
        <w:spacing w:before="8"/>
        <w:rPr>
          <w:sz w:val="32"/>
        </w:rPr>
      </w:pPr>
    </w:p>
    <w:p w14:paraId="316223BC" w14:textId="77777777" w:rsidR="0064166E" w:rsidRDefault="0082114C">
      <w:pPr>
        <w:pStyle w:val="Heading1"/>
        <w:spacing w:before="1"/>
      </w:pPr>
      <w:r>
        <w:t>OEB Staff – 4</w:t>
      </w:r>
    </w:p>
    <w:p w14:paraId="1D01C3A8" w14:textId="77777777" w:rsidR="0064166E" w:rsidRDefault="0064166E">
      <w:pPr>
        <w:pStyle w:val="BodyText"/>
        <w:spacing w:before="9"/>
        <w:rPr>
          <w:b/>
          <w:sz w:val="20"/>
        </w:rPr>
      </w:pPr>
    </w:p>
    <w:p w14:paraId="67BBCE22" w14:textId="77777777" w:rsidR="0064166E" w:rsidRDefault="0082114C">
      <w:pPr>
        <w:spacing w:before="1"/>
        <w:ind w:left="100"/>
        <w:rPr>
          <w:b/>
          <w:sz w:val="24"/>
        </w:rPr>
      </w:pPr>
      <w:r>
        <w:rPr>
          <w:b/>
          <w:sz w:val="24"/>
        </w:rPr>
        <w:t>Accounts 1588 and 1589</w:t>
      </w:r>
    </w:p>
    <w:p w14:paraId="2ADFE0D8" w14:textId="77777777" w:rsidR="0064166E" w:rsidRDefault="0082114C">
      <w:pPr>
        <w:spacing w:before="122"/>
        <w:ind w:left="100"/>
        <w:rPr>
          <w:b/>
          <w:sz w:val="24"/>
        </w:rPr>
      </w:pPr>
      <w:r>
        <w:rPr>
          <w:b/>
          <w:sz w:val="24"/>
        </w:rPr>
        <w:t>Ref. 1: InnPower_2022_GA_Analysis_Workform_1.0_20210722_20211105.xlsb</w:t>
      </w:r>
    </w:p>
    <w:p w14:paraId="69C186EC" w14:textId="77777777" w:rsidR="0064166E" w:rsidRDefault="0082114C">
      <w:pPr>
        <w:spacing w:before="121"/>
        <w:ind w:left="100"/>
        <w:rPr>
          <w:b/>
          <w:sz w:val="24"/>
        </w:rPr>
      </w:pPr>
      <w:r>
        <w:rPr>
          <w:b/>
          <w:sz w:val="24"/>
        </w:rPr>
        <w:t>Ref. 2: InnPower_2023-IRM-Rate-Generator-Model_20220721_20220803.xlsb</w:t>
      </w:r>
    </w:p>
    <w:p w14:paraId="4061FE60" w14:textId="77777777" w:rsidR="0064166E" w:rsidRDefault="0082114C">
      <w:pPr>
        <w:spacing w:before="122"/>
        <w:ind w:left="100"/>
        <w:rPr>
          <w:b/>
          <w:sz w:val="24"/>
        </w:rPr>
      </w:pPr>
      <w:r>
        <w:rPr>
          <w:b/>
          <w:sz w:val="24"/>
        </w:rPr>
        <w:t>Ref. 3: EB-2022-0043, page 14</w:t>
      </w:r>
    </w:p>
    <w:p w14:paraId="65E73E19" w14:textId="77777777" w:rsidR="0064166E" w:rsidRDefault="0064166E">
      <w:pPr>
        <w:pStyle w:val="BodyText"/>
        <w:spacing w:before="6"/>
        <w:rPr>
          <w:b/>
          <w:sz w:val="29"/>
        </w:rPr>
      </w:pPr>
    </w:p>
    <w:p w14:paraId="73464296" w14:textId="77777777" w:rsidR="0064166E" w:rsidRDefault="0082114C">
      <w:pPr>
        <w:pStyle w:val="BodyText"/>
        <w:spacing w:line="276" w:lineRule="auto"/>
        <w:ind w:left="100" w:right="170"/>
        <w:jc w:val="both"/>
      </w:pPr>
      <w:r>
        <w:t xml:space="preserve">As per the principal adjustment tab of </w:t>
      </w:r>
      <w:proofErr w:type="spellStart"/>
      <w:r>
        <w:t>InnPower’s</w:t>
      </w:r>
      <w:proofErr w:type="spellEnd"/>
      <w:r>
        <w:t xml:space="preserve"> 2022 GA Analysis </w:t>
      </w:r>
      <w:proofErr w:type="spellStart"/>
      <w:r>
        <w:t>Workform</w:t>
      </w:r>
      <w:proofErr w:type="spellEnd"/>
      <w:r>
        <w:t xml:space="preserve"> shown</w:t>
      </w:r>
      <w:r>
        <w:rPr>
          <w:spacing w:val="-35"/>
        </w:rPr>
        <w:t xml:space="preserve"> </w:t>
      </w:r>
      <w:r>
        <w:t>in the tables below, the principal adjustments were included in the 2020 account 1589 and 1588 balances for disposition as they were recorded in the GL in 2021 instead of</w:t>
      </w:r>
      <w:r>
        <w:rPr>
          <w:spacing w:val="-28"/>
        </w:rPr>
        <w:t xml:space="preserve"> </w:t>
      </w:r>
      <w:r>
        <w:t>2020.</w:t>
      </w:r>
    </w:p>
    <w:p w14:paraId="55B7F446" w14:textId="77777777" w:rsidR="0064166E" w:rsidRDefault="0082114C">
      <w:pPr>
        <w:pStyle w:val="BodyText"/>
        <w:spacing w:before="190" w:line="276" w:lineRule="auto"/>
        <w:ind w:left="100"/>
      </w:pPr>
      <w:r>
        <w:t xml:space="preserve">The 2021 transactions in the 2023 DVA continuity schedule should agree with the 2021 transactions recorded in </w:t>
      </w:r>
      <w:proofErr w:type="spellStart"/>
      <w:r>
        <w:t>InnPower’s</w:t>
      </w:r>
      <w:proofErr w:type="spellEnd"/>
      <w:r>
        <w:t xml:space="preserve"> GL, which would include the noted principal adjustments. Therefore, it appears that the adjustments would be double counted for disposition purposes if they are not reversed in the 2021 account 1589 and 1588 balances.</w:t>
      </w:r>
    </w:p>
    <w:p w14:paraId="0D231679" w14:textId="77777777" w:rsidR="0064166E" w:rsidRDefault="0082114C">
      <w:pPr>
        <w:spacing w:before="199"/>
        <w:ind w:left="100"/>
        <w:rPr>
          <w:b/>
          <w:sz w:val="24"/>
        </w:rPr>
      </w:pPr>
      <w:r>
        <w:rPr>
          <w:noProof/>
        </w:rPr>
        <w:drawing>
          <wp:anchor distT="0" distB="0" distL="0" distR="0" simplePos="0" relativeHeight="251658240" behindDoc="0" locked="0" layoutInCell="1" allowOverlap="1" wp14:anchorId="3CD3EE78" wp14:editId="29703D20">
            <wp:simplePos x="0" y="0"/>
            <wp:positionH relativeFrom="page">
              <wp:posOffset>914400</wp:posOffset>
            </wp:positionH>
            <wp:positionV relativeFrom="paragraph">
              <wp:posOffset>353134</wp:posOffset>
            </wp:positionV>
            <wp:extent cx="5943453" cy="1513998"/>
            <wp:effectExtent l="0" t="0" r="0" b="0"/>
            <wp:wrapTopAndBottom/>
            <wp:docPr id="3" name="image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943453" cy="1513998"/>
                    </a:xfrm>
                    <a:prstGeom prst="rect">
                      <a:avLst/>
                    </a:prstGeom>
                  </pic:spPr>
                </pic:pic>
              </a:graphicData>
            </a:graphic>
          </wp:anchor>
        </w:drawing>
      </w:r>
      <w:r>
        <w:rPr>
          <w:b/>
          <w:sz w:val="24"/>
          <w:u w:val="thick"/>
        </w:rPr>
        <w:t>Account 1589 – RSVA Global Adjustment</w:t>
      </w:r>
    </w:p>
    <w:p w14:paraId="1621C8CC" w14:textId="77777777" w:rsidR="0064166E" w:rsidRDefault="0064166E">
      <w:pPr>
        <w:pStyle w:val="BodyText"/>
        <w:rPr>
          <w:b/>
          <w:sz w:val="26"/>
        </w:rPr>
      </w:pPr>
    </w:p>
    <w:p w14:paraId="562D97F9" w14:textId="2AC5F46A" w:rsidR="0064166E" w:rsidRDefault="0082114C">
      <w:pPr>
        <w:spacing w:before="189"/>
        <w:ind w:left="100"/>
        <w:rPr>
          <w:rFonts w:ascii="Calibri" w:hAnsi="Calibri"/>
          <w:b/>
        </w:rPr>
      </w:pPr>
      <w:r>
        <w:rPr>
          <w:noProof/>
        </w:rPr>
        <w:drawing>
          <wp:anchor distT="0" distB="0" distL="0" distR="0" simplePos="0" relativeHeight="251659264" behindDoc="0" locked="0" layoutInCell="1" allowOverlap="1" wp14:anchorId="51E5ABB2" wp14:editId="72F8B8E8">
            <wp:simplePos x="0" y="0"/>
            <wp:positionH relativeFrom="page">
              <wp:posOffset>921613</wp:posOffset>
            </wp:positionH>
            <wp:positionV relativeFrom="paragraph">
              <wp:posOffset>366695</wp:posOffset>
            </wp:positionV>
            <wp:extent cx="5931633" cy="1339214"/>
            <wp:effectExtent l="0" t="0" r="0" b="0"/>
            <wp:wrapTopAndBottom/>
            <wp:docPr id="5" name="image3.pn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931633" cy="1339214"/>
                    </a:xfrm>
                    <a:prstGeom prst="rect">
                      <a:avLst/>
                    </a:prstGeom>
                  </pic:spPr>
                </pic:pic>
              </a:graphicData>
            </a:graphic>
          </wp:anchor>
        </w:drawing>
      </w:r>
      <w:r w:rsidR="00D315D0">
        <w:rPr>
          <w:rFonts w:ascii="Calibri" w:hAnsi="Calibri"/>
          <w:b/>
          <w:u w:val="single"/>
        </w:rPr>
        <w:t>A</w:t>
      </w:r>
      <w:r>
        <w:rPr>
          <w:rFonts w:ascii="Calibri" w:hAnsi="Calibri"/>
          <w:b/>
          <w:u w:val="single"/>
        </w:rPr>
        <w:t>ccount 1588 – RSVA Power</w:t>
      </w:r>
    </w:p>
    <w:p w14:paraId="2E2C1F13" w14:textId="77777777" w:rsidR="0064166E" w:rsidRDefault="0082114C">
      <w:pPr>
        <w:pStyle w:val="BodyText"/>
        <w:spacing w:before="144"/>
        <w:ind w:left="100"/>
      </w:pPr>
      <w:r>
        <w:t>In reference 3, InnPower Corporation stated:</w:t>
      </w:r>
    </w:p>
    <w:p w14:paraId="6DB0D9CA" w14:textId="77777777" w:rsidR="0064166E" w:rsidRDefault="0064166E">
      <w:pPr>
        <w:pStyle w:val="BodyText"/>
        <w:spacing w:before="9"/>
        <w:rPr>
          <w:sz w:val="20"/>
        </w:rPr>
      </w:pPr>
    </w:p>
    <w:p w14:paraId="34A01BEF" w14:textId="77777777" w:rsidR="0064166E" w:rsidRDefault="0082114C">
      <w:pPr>
        <w:pStyle w:val="BodyText"/>
        <w:spacing w:before="1" w:line="276" w:lineRule="auto"/>
        <w:ind w:left="820" w:right="228"/>
      </w:pPr>
      <w:r>
        <w:t>Please note, the prior year’s principal adjustments have not been included in the current year’s principal adjustment column (</w:t>
      </w:r>
      <w:proofErr w:type="gramStart"/>
      <w:r>
        <w:t>i.e.</w:t>
      </w:r>
      <w:proofErr w:type="gramEnd"/>
      <w:r>
        <w:t xml:space="preserve"> rate generator model), as they have been accounted for in the disposition amounts recorded during 2022.</w:t>
      </w:r>
    </w:p>
    <w:p w14:paraId="7D5C7BE8" w14:textId="06811C66" w:rsidR="0064166E" w:rsidRDefault="0082114C">
      <w:pPr>
        <w:pStyle w:val="BodyText"/>
        <w:spacing w:line="276" w:lineRule="auto"/>
        <w:ind w:left="820" w:right="535"/>
      </w:pPr>
      <w:r>
        <w:lastRenderedPageBreak/>
        <w:t>Including them as a reversal in the current year’s balance would duplicate the amounts.</w:t>
      </w:r>
    </w:p>
    <w:p w14:paraId="600A7C8C" w14:textId="77777777" w:rsidR="0064166E" w:rsidRDefault="0082114C">
      <w:pPr>
        <w:pStyle w:val="Heading1"/>
        <w:spacing w:before="201"/>
      </w:pPr>
      <w:r>
        <w:t>Question:</w:t>
      </w:r>
    </w:p>
    <w:p w14:paraId="0D58FE13" w14:textId="77777777" w:rsidR="0064166E" w:rsidRDefault="0064166E">
      <w:pPr>
        <w:pStyle w:val="BodyText"/>
        <w:spacing w:before="10"/>
        <w:rPr>
          <w:b/>
          <w:sz w:val="20"/>
        </w:rPr>
      </w:pPr>
    </w:p>
    <w:p w14:paraId="2A17D201" w14:textId="77777777" w:rsidR="0064166E" w:rsidRDefault="0082114C">
      <w:pPr>
        <w:pStyle w:val="BodyText"/>
        <w:spacing w:line="261" w:lineRule="auto"/>
        <w:ind w:left="820" w:right="362" w:hanging="360"/>
      </w:pPr>
      <w:r>
        <w:t xml:space="preserve">a) Please explain </w:t>
      </w:r>
      <w:proofErr w:type="spellStart"/>
      <w:r>
        <w:t>InnPower’s</w:t>
      </w:r>
      <w:proofErr w:type="spellEnd"/>
      <w:r>
        <w:t xml:space="preserve"> statement in consideration of the above and adjust the evidence if required.</w:t>
      </w:r>
    </w:p>
    <w:p w14:paraId="0D477BC3" w14:textId="77777777" w:rsidR="00A00A20" w:rsidRDefault="00A00A20">
      <w:pPr>
        <w:spacing w:line="261" w:lineRule="auto"/>
      </w:pPr>
    </w:p>
    <w:p w14:paraId="3CCAD0F3" w14:textId="0BA48DBB" w:rsidR="00300BA6" w:rsidRDefault="00300BA6">
      <w:pPr>
        <w:spacing w:line="261" w:lineRule="auto"/>
        <w:rPr>
          <w:color w:val="FF0000"/>
        </w:rPr>
      </w:pPr>
      <w:r w:rsidRPr="00300BA6">
        <w:rPr>
          <w:color w:val="FF0000"/>
        </w:rPr>
        <w:t xml:space="preserve">Please refer to </w:t>
      </w:r>
      <w:r w:rsidR="00D315D0">
        <w:rPr>
          <w:color w:val="FF0000"/>
        </w:rPr>
        <w:t>“OEB Staff 4” tab.</w:t>
      </w:r>
    </w:p>
    <w:p w14:paraId="2B8851CF" w14:textId="77777777" w:rsidR="00300BA6" w:rsidRDefault="00300BA6">
      <w:pPr>
        <w:spacing w:line="261" w:lineRule="auto"/>
        <w:rPr>
          <w:color w:val="FF0000"/>
        </w:rPr>
      </w:pPr>
    </w:p>
    <w:p w14:paraId="55AA50AA" w14:textId="1BA76684" w:rsidR="00300BA6" w:rsidRDefault="00300BA6">
      <w:pPr>
        <w:spacing w:line="261" w:lineRule="auto"/>
        <w:rPr>
          <w:color w:val="FF0000"/>
        </w:rPr>
      </w:pPr>
      <w:r>
        <w:rPr>
          <w:color w:val="FF0000"/>
        </w:rPr>
        <w:t xml:space="preserve">In the OEB Rate Generator Model, </w:t>
      </w:r>
      <w:r w:rsidR="008C2691">
        <w:rPr>
          <w:color w:val="FF0000"/>
        </w:rPr>
        <w:t>T</w:t>
      </w:r>
      <w:r>
        <w:rPr>
          <w:color w:val="FF0000"/>
        </w:rPr>
        <w:t>ab 3. Continuity Schedule, Note 4. it states, “The amount in the “Transactions” column in this DVA Continuity Schedule are equal to the transactions in the General Ledger (excluding any amounts approved for disposition, which is shown separately in the “OEB Approved Disposition” columns)”.</w:t>
      </w:r>
    </w:p>
    <w:p w14:paraId="5B389313" w14:textId="77777777" w:rsidR="00300BA6" w:rsidRDefault="00300BA6">
      <w:pPr>
        <w:spacing w:line="261" w:lineRule="auto"/>
        <w:rPr>
          <w:color w:val="FF0000"/>
        </w:rPr>
      </w:pPr>
    </w:p>
    <w:p w14:paraId="21FB3120" w14:textId="37F1102D" w:rsidR="00300BA6" w:rsidRDefault="00300BA6">
      <w:pPr>
        <w:spacing w:line="261" w:lineRule="auto"/>
        <w:rPr>
          <w:color w:val="FF0000"/>
        </w:rPr>
      </w:pPr>
      <w:r>
        <w:rPr>
          <w:color w:val="FF0000"/>
        </w:rPr>
        <w:t xml:space="preserve">As shown in </w:t>
      </w:r>
      <w:r w:rsidR="00D315D0">
        <w:rPr>
          <w:color w:val="FF0000"/>
        </w:rPr>
        <w:t>the “OEB Staff 4” tab</w:t>
      </w:r>
      <w:r>
        <w:rPr>
          <w:color w:val="FF0000"/>
        </w:rPr>
        <w:t xml:space="preserve">, InnPower has </w:t>
      </w:r>
      <w:r w:rsidR="00D315D0">
        <w:rPr>
          <w:color w:val="FF0000"/>
        </w:rPr>
        <w:t>referenced</w:t>
      </w:r>
      <w:r>
        <w:rPr>
          <w:color w:val="FF0000"/>
        </w:rPr>
        <w:t xml:space="preserve"> the amount of the transactions recorded in General Ledger in 2021, less the disposition (which is shown in the “OEB Approved Disposition” column).  </w:t>
      </w:r>
    </w:p>
    <w:p w14:paraId="3BF9989B" w14:textId="77777777" w:rsidR="00300BA6" w:rsidRDefault="00300BA6">
      <w:pPr>
        <w:spacing w:line="261" w:lineRule="auto"/>
        <w:rPr>
          <w:color w:val="FF0000"/>
        </w:rPr>
      </w:pPr>
    </w:p>
    <w:p w14:paraId="32586E91" w14:textId="77777777" w:rsidR="003439D7" w:rsidRDefault="00300BA6">
      <w:pPr>
        <w:spacing w:line="261" w:lineRule="auto"/>
        <w:rPr>
          <w:color w:val="FF0000"/>
        </w:rPr>
      </w:pPr>
      <w:r>
        <w:rPr>
          <w:color w:val="FF0000"/>
        </w:rPr>
        <w:t xml:space="preserve">Within the transactions recorded in General Ledger are </w:t>
      </w:r>
      <w:r w:rsidR="003439D7">
        <w:rPr>
          <w:color w:val="FF0000"/>
        </w:rPr>
        <w:t>amounts that true-up balances from 2020.</w:t>
      </w:r>
    </w:p>
    <w:p w14:paraId="7A2D488E" w14:textId="77777777" w:rsidR="003439D7" w:rsidRDefault="003439D7">
      <w:pPr>
        <w:spacing w:line="261" w:lineRule="auto"/>
        <w:rPr>
          <w:color w:val="FF0000"/>
        </w:rPr>
      </w:pPr>
    </w:p>
    <w:p w14:paraId="59103829" w14:textId="348E04EA" w:rsidR="003439D7" w:rsidRDefault="003439D7">
      <w:pPr>
        <w:spacing w:line="261" w:lineRule="auto"/>
        <w:rPr>
          <w:color w:val="FF0000"/>
        </w:rPr>
      </w:pPr>
      <w:r>
        <w:rPr>
          <w:color w:val="FF0000"/>
        </w:rPr>
        <w:t>An example is provided below:</w:t>
      </w:r>
    </w:p>
    <w:p w14:paraId="728973F3" w14:textId="77777777" w:rsidR="003439D7" w:rsidRDefault="003439D7">
      <w:pPr>
        <w:spacing w:line="261" w:lineRule="auto"/>
        <w:rPr>
          <w:color w:val="FF0000"/>
        </w:rPr>
      </w:pPr>
    </w:p>
    <w:p w14:paraId="3641E131" w14:textId="076EBA70" w:rsidR="003439D7" w:rsidRDefault="003439D7">
      <w:pPr>
        <w:spacing w:line="261" w:lineRule="auto"/>
        <w:rPr>
          <w:color w:val="FF0000"/>
        </w:rPr>
      </w:pPr>
      <w:r>
        <w:rPr>
          <w:color w:val="FF0000"/>
        </w:rPr>
        <w:t>Unbilled to Actual Revenue Differences:</w:t>
      </w:r>
    </w:p>
    <w:p w14:paraId="3F1CC412" w14:textId="386BB923" w:rsidR="003439D7" w:rsidRDefault="003439D7" w:rsidP="003439D7">
      <w:pPr>
        <w:pStyle w:val="ListParagraph"/>
        <w:numPr>
          <w:ilvl w:val="0"/>
          <w:numId w:val="8"/>
        </w:numPr>
        <w:spacing w:line="261" w:lineRule="auto"/>
        <w:rPr>
          <w:color w:val="FF0000"/>
        </w:rPr>
      </w:pPr>
      <w:r w:rsidRPr="003439D7">
        <w:rPr>
          <w:color w:val="FF0000"/>
        </w:rPr>
        <w:t>December</w:t>
      </w:r>
      <w:r w:rsidR="0032309F">
        <w:rPr>
          <w:color w:val="FF0000"/>
        </w:rPr>
        <w:t xml:space="preserve"> 2020</w:t>
      </w:r>
      <w:r w:rsidRPr="003439D7">
        <w:rPr>
          <w:color w:val="FF0000"/>
        </w:rPr>
        <w:t xml:space="preserve"> consumption is recorded as revenue in January</w:t>
      </w:r>
      <w:r w:rsidR="0032309F">
        <w:rPr>
          <w:color w:val="FF0000"/>
        </w:rPr>
        <w:t xml:space="preserve"> 2021</w:t>
      </w:r>
      <w:r w:rsidRPr="003439D7">
        <w:rPr>
          <w:color w:val="FF0000"/>
        </w:rPr>
        <w:t xml:space="preserve">. </w:t>
      </w:r>
    </w:p>
    <w:p w14:paraId="3D2F28F6" w14:textId="077AD5B5" w:rsidR="003439D7" w:rsidRDefault="003439D7" w:rsidP="003439D7">
      <w:pPr>
        <w:pStyle w:val="ListParagraph"/>
        <w:numPr>
          <w:ilvl w:val="0"/>
          <w:numId w:val="8"/>
        </w:numPr>
        <w:spacing w:line="261" w:lineRule="auto"/>
        <w:rPr>
          <w:color w:val="FF0000"/>
        </w:rPr>
      </w:pPr>
      <w:r>
        <w:rPr>
          <w:color w:val="FF0000"/>
        </w:rPr>
        <w:t xml:space="preserve">If revenue for December </w:t>
      </w:r>
      <w:r w:rsidR="00117C41">
        <w:rPr>
          <w:color w:val="FF0000"/>
        </w:rPr>
        <w:t>202</w:t>
      </w:r>
      <w:r w:rsidR="00692F21">
        <w:rPr>
          <w:color w:val="FF0000"/>
        </w:rPr>
        <w:t>0</w:t>
      </w:r>
      <w:r w:rsidR="00117C41">
        <w:rPr>
          <w:color w:val="FF0000"/>
        </w:rPr>
        <w:t xml:space="preserve"> </w:t>
      </w:r>
      <w:r>
        <w:rPr>
          <w:color w:val="FF0000"/>
        </w:rPr>
        <w:t>is $1,000,000, the full $1,000,000 is posted in January</w:t>
      </w:r>
      <w:r w:rsidR="00117C41">
        <w:rPr>
          <w:color w:val="FF0000"/>
        </w:rPr>
        <w:t xml:space="preserve"> 202</w:t>
      </w:r>
      <w:r w:rsidR="00692F21">
        <w:rPr>
          <w:color w:val="FF0000"/>
        </w:rPr>
        <w:t>1</w:t>
      </w:r>
      <w:r>
        <w:rPr>
          <w:color w:val="FF0000"/>
        </w:rPr>
        <w:t>.</w:t>
      </w:r>
    </w:p>
    <w:p w14:paraId="598E8E87" w14:textId="5C83023E" w:rsidR="00117C41" w:rsidRDefault="003439D7" w:rsidP="00117C41">
      <w:pPr>
        <w:pStyle w:val="ListParagraph"/>
        <w:numPr>
          <w:ilvl w:val="0"/>
          <w:numId w:val="8"/>
        </w:numPr>
        <w:spacing w:line="261" w:lineRule="auto"/>
        <w:rPr>
          <w:color w:val="FF0000"/>
        </w:rPr>
      </w:pPr>
      <w:r>
        <w:rPr>
          <w:color w:val="FF0000"/>
        </w:rPr>
        <w:t>If the unbilled revenue</w:t>
      </w:r>
      <w:r w:rsidR="00117C41">
        <w:rPr>
          <w:color w:val="FF0000"/>
        </w:rPr>
        <w:t xml:space="preserve"> estimate</w:t>
      </w:r>
      <w:r w:rsidR="005C752F">
        <w:rPr>
          <w:color w:val="FF0000"/>
        </w:rPr>
        <w:t xml:space="preserve"> posted</w:t>
      </w:r>
      <w:r>
        <w:rPr>
          <w:color w:val="FF0000"/>
        </w:rPr>
        <w:t xml:space="preserve"> in December</w:t>
      </w:r>
      <w:r w:rsidR="00117C41">
        <w:rPr>
          <w:color w:val="FF0000"/>
        </w:rPr>
        <w:t xml:space="preserve"> 202</w:t>
      </w:r>
      <w:r w:rsidR="00692F21">
        <w:rPr>
          <w:color w:val="FF0000"/>
        </w:rPr>
        <w:t>0</w:t>
      </w:r>
      <w:r>
        <w:rPr>
          <w:color w:val="FF0000"/>
        </w:rPr>
        <w:t xml:space="preserve"> </w:t>
      </w:r>
      <w:r w:rsidR="00117C41">
        <w:rPr>
          <w:color w:val="FF0000"/>
        </w:rPr>
        <w:t>is</w:t>
      </w:r>
      <w:r>
        <w:rPr>
          <w:color w:val="FF0000"/>
        </w:rPr>
        <w:t xml:space="preserve"> </w:t>
      </w:r>
      <w:r w:rsidR="00117C41">
        <w:rPr>
          <w:color w:val="FF0000"/>
        </w:rPr>
        <w:t>$800,0000, there is a difference of $200,000.</w:t>
      </w:r>
    </w:p>
    <w:p w14:paraId="51A6D988" w14:textId="14A0A9CA" w:rsidR="00117C41" w:rsidRDefault="00117C41" w:rsidP="00117C41">
      <w:pPr>
        <w:pStyle w:val="ListParagraph"/>
        <w:numPr>
          <w:ilvl w:val="0"/>
          <w:numId w:val="8"/>
        </w:numPr>
        <w:spacing w:line="261" w:lineRule="auto"/>
        <w:rPr>
          <w:color w:val="FF0000"/>
        </w:rPr>
      </w:pPr>
      <w:r>
        <w:rPr>
          <w:color w:val="FF0000"/>
        </w:rPr>
        <w:t>InnPower would then include $200,000 as a principal adjustment in the 202</w:t>
      </w:r>
      <w:r w:rsidR="00692F21">
        <w:rPr>
          <w:color w:val="FF0000"/>
        </w:rPr>
        <w:t>0</w:t>
      </w:r>
      <w:r>
        <w:rPr>
          <w:color w:val="FF0000"/>
        </w:rPr>
        <w:t xml:space="preserve"> rate generator model to account for the difference.  As a result, the revenue is adjusted from $800,000 to $1,000,000.</w:t>
      </w:r>
    </w:p>
    <w:p w14:paraId="6BE23FF1" w14:textId="401097C4" w:rsidR="00200324" w:rsidRDefault="00200324" w:rsidP="00200324">
      <w:pPr>
        <w:pStyle w:val="ListParagraph"/>
        <w:numPr>
          <w:ilvl w:val="0"/>
          <w:numId w:val="8"/>
        </w:numPr>
        <w:spacing w:line="261" w:lineRule="auto"/>
        <w:rPr>
          <w:color w:val="FF0000"/>
        </w:rPr>
      </w:pPr>
      <w:r>
        <w:rPr>
          <w:color w:val="FF0000"/>
        </w:rPr>
        <w:t>InnPower completes the 1588 reconciliation for January, using the $1,000,000 and the unbilled revenue for February 202</w:t>
      </w:r>
      <w:r w:rsidR="00692F21">
        <w:rPr>
          <w:color w:val="FF0000"/>
        </w:rPr>
        <w:t>1</w:t>
      </w:r>
      <w:r>
        <w:rPr>
          <w:color w:val="FF0000"/>
        </w:rPr>
        <w:t xml:space="preserve"> (January consumption).  The difference in revenue and expenses now becomes part of the transactions recorded in the General Ledger.</w:t>
      </w:r>
    </w:p>
    <w:p w14:paraId="02378B24" w14:textId="191BDA90" w:rsidR="00200324" w:rsidRDefault="00200324" w:rsidP="00200324">
      <w:pPr>
        <w:pStyle w:val="ListParagraph"/>
        <w:numPr>
          <w:ilvl w:val="0"/>
          <w:numId w:val="8"/>
        </w:numPr>
        <w:spacing w:line="261" w:lineRule="auto"/>
        <w:rPr>
          <w:color w:val="FF0000"/>
        </w:rPr>
      </w:pPr>
      <w:r>
        <w:rPr>
          <w:color w:val="FF0000"/>
        </w:rPr>
        <w:t>If InnPower was to include a reversal of the prior year principal adjustments, this would reduce the $1,000,000 back to $800,000, therefore, revenue would be understated by $200,000.</w:t>
      </w:r>
    </w:p>
    <w:p w14:paraId="5C9C8A6C" w14:textId="686BA9DB" w:rsidR="00200324" w:rsidRDefault="00200324" w:rsidP="00200324">
      <w:pPr>
        <w:spacing w:line="261" w:lineRule="auto"/>
        <w:rPr>
          <w:color w:val="FF0000"/>
        </w:rPr>
      </w:pPr>
    </w:p>
    <w:p w14:paraId="337DD21B" w14:textId="1AB9ADC9" w:rsidR="0068331A" w:rsidRDefault="0068331A" w:rsidP="00200324">
      <w:pPr>
        <w:spacing w:line="261" w:lineRule="auto"/>
        <w:rPr>
          <w:color w:val="FF0000"/>
        </w:rPr>
      </w:pPr>
      <w:r>
        <w:rPr>
          <w:noProof/>
        </w:rPr>
        <w:lastRenderedPageBreak/>
        <w:drawing>
          <wp:inline distT="0" distB="0" distL="0" distR="0" wp14:anchorId="2E19FE0B" wp14:editId="3DA26997">
            <wp:extent cx="6083300" cy="2882265"/>
            <wp:effectExtent l="0" t="0" r="0" b="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able&#10;&#10;Description automatically generated"/>
                    <pic:cNvPicPr/>
                  </pic:nvPicPr>
                  <pic:blipFill>
                    <a:blip r:embed="rId12"/>
                    <a:stretch>
                      <a:fillRect/>
                    </a:stretch>
                  </pic:blipFill>
                  <pic:spPr>
                    <a:xfrm>
                      <a:off x="0" y="0"/>
                      <a:ext cx="6083300" cy="2882265"/>
                    </a:xfrm>
                    <a:prstGeom prst="rect">
                      <a:avLst/>
                    </a:prstGeom>
                  </pic:spPr>
                </pic:pic>
              </a:graphicData>
            </a:graphic>
          </wp:inline>
        </w:drawing>
      </w:r>
    </w:p>
    <w:p w14:paraId="604CA905" w14:textId="77777777" w:rsidR="0068331A" w:rsidRDefault="0068331A" w:rsidP="00200324">
      <w:pPr>
        <w:spacing w:line="261" w:lineRule="auto"/>
        <w:rPr>
          <w:color w:val="FF0000"/>
        </w:rPr>
      </w:pPr>
    </w:p>
    <w:p w14:paraId="19972D26" w14:textId="7F0E9747" w:rsidR="00200324" w:rsidRPr="00200324" w:rsidRDefault="00200324" w:rsidP="00200324">
      <w:pPr>
        <w:spacing w:line="261" w:lineRule="auto"/>
        <w:rPr>
          <w:color w:val="FF0000"/>
        </w:rPr>
      </w:pPr>
      <w:r>
        <w:rPr>
          <w:color w:val="FF0000"/>
        </w:rPr>
        <w:t xml:space="preserve">Based on the methodology above, it is of </w:t>
      </w:r>
      <w:proofErr w:type="spellStart"/>
      <w:r>
        <w:rPr>
          <w:color w:val="FF0000"/>
        </w:rPr>
        <w:t>InnPower’s</w:t>
      </w:r>
      <w:proofErr w:type="spellEnd"/>
      <w:r>
        <w:rPr>
          <w:color w:val="FF0000"/>
        </w:rPr>
        <w:t xml:space="preserve"> view that the principal adjustments should not be reversed in the following year.  If required, the OEB should clarify that the prior year adjustments should be removed from the “Transactions” column and </w:t>
      </w:r>
      <w:r w:rsidR="005C752F">
        <w:rPr>
          <w:color w:val="FF0000"/>
        </w:rPr>
        <w:t xml:space="preserve">instead </w:t>
      </w:r>
      <w:r>
        <w:rPr>
          <w:color w:val="FF0000"/>
        </w:rPr>
        <w:t>included in the “Principal Adjustment” column.  In this case, the transactions amount will not match what was posted to the General Ledger for the corresponding year.</w:t>
      </w:r>
    </w:p>
    <w:p w14:paraId="6E2714C4" w14:textId="77777777" w:rsidR="00014274" w:rsidRDefault="00014274">
      <w:pPr>
        <w:pStyle w:val="Heading1"/>
        <w:spacing w:before="190"/>
      </w:pPr>
    </w:p>
    <w:p w14:paraId="2CD94695" w14:textId="269646CE" w:rsidR="0064166E" w:rsidRDefault="0082114C">
      <w:pPr>
        <w:pStyle w:val="Heading1"/>
        <w:spacing w:before="190"/>
      </w:pPr>
      <w:r>
        <w:t>OEB Staff – 5</w:t>
      </w:r>
    </w:p>
    <w:p w14:paraId="26758E7C" w14:textId="77777777" w:rsidR="0064166E" w:rsidRDefault="0064166E">
      <w:pPr>
        <w:pStyle w:val="BodyText"/>
        <w:spacing w:before="10"/>
        <w:rPr>
          <w:b/>
          <w:sz w:val="20"/>
        </w:rPr>
      </w:pPr>
    </w:p>
    <w:p w14:paraId="06E7E20C" w14:textId="77777777" w:rsidR="0064166E" w:rsidRDefault="0082114C">
      <w:pPr>
        <w:ind w:left="100"/>
        <w:rPr>
          <w:b/>
          <w:sz w:val="24"/>
        </w:rPr>
      </w:pPr>
      <w:r>
        <w:rPr>
          <w:b/>
          <w:sz w:val="24"/>
        </w:rPr>
        <w:t>Ref: IRM Rate Generator Tab 17, 19 and 20 Smart Meter Entity (SME) Charge</w:t>
      </w:r>
    </w:p>
    <w:p w14:paraId="08D7A647" w14:textId="77777777" w:rsidR="0064166E" w:rsidRDefault="0064166E">
      <w:pPr>
        <w:pStyle w:val="BodyText"/>
        <w:spacing w:before="10"/>
        <w:rPr>
          <w:b/>
          <w:sz w:val="20"/>
        </w:rPr>
      </w:pPr>
    </w:p>
    <w:p w14:paraId="5412A2F2" w14:textId="77777777" w:rsidR="0064166E" w:rsidRDefault="0082114C">
      <w:pPr>
        <w:pStyle w:val="BodyText"/>
        <w:ind w:left="100"/>
      </w:pPr>
      <w:r w:rsidRPr="002D7459">
        <w:t>OEB staff has updated the SME charge from $0.43 to $0.42.</w:t>
      </w:r>
    </w:p>
    <w:p w14:paraId="6A01FDBF" w14:textId="77777777" w:rsidR="0064166E" w:rsidRDefault="0064166E">
      <w:pPr>
        <w:pStyle w:val="BodyText"/>
        <w:spacing w:before="10"/>
        <w:rPr>
          <w:sz w:val="20"/>
        </w:rPr>
      </w:pPr>
    </w:p>
    <w:p w14:paraId="69706E70" w14:textId="77777777" w:rsidR="0064166E" w:rsidRDefault="0082114C">
      <w:pPr>
        <w:pStyle w:val="Heading1"/>
      </w:pPr>
      <w:r>
        <w:t>Question:</w:t>
      </w:r>
    </w:p>
    <w:p w14:paraId="1949A7AA" w14:textId="77777777" w:rsidR="0064166E" w:rsidRDefault="0064166E">
      <w:pPr>
        <w:pStyle w:val="BodyText"/>
        <w:spacing w:before="10"/>
        <w:rPr>
          <w:b/>
          <w:sz w:val="20"/>
        </w:rPr>
      </w:pPr>
    </w:p>
    <w:p w14:paraId="39B1EA97" w14:textId="3D7D70E9" w:rsidR="0064166E" w:rsidRDefault="0082114C" w:rsidP="0082114C">
      <w:pPr>
        <w:pStyle w:val="BodyText"/>
        <w:numPr>
          <w:ilvl w:val="0"/>
          <w:numId w:val="5"/>
        </w:numPr>
      </w:pPr>
      <w:r>
        <w:t>Please confirm this is correct.</w:t>
      </w:r>
    </w:p>
    <w:p w14:paraId="3136D106" w14:textId="77777777" w:rsidR="002D7459" w:rsidRDefault="002D7459" w:rsidP="0082114C">
      <w:pPr>
        <w:pStyle w:val="BodyText"/>
      </w:pPr>
    </w:p>
    <w:p w14:paraId="31A7BD66" w14:textId="2BDF5118" w:rsidR="0082114C" w:rsidRDefault="002D7459" w:rsidP="0082114C">
      <w:pPr>
        <w:pStyle w:val="BodyText"/>
      </w:pPr>
      <w:r w:rsidRPr="0032309F">
        <w:rPr>
          <w:color w:val="FF0000"/>
        </w:rPr>
        <w:t>Yes, this is correct.</w:t>
      </w:r>
    </w:p>
    <w:p w14:paraId="7942F731" w14:textId="77777777" w:rsidR="0064166E" w:rsidRDefault="0064166E">
      <w:pPr>
        <w:pStyle w:val="BodyText"/>
        <w:rPr>
          <w:sz w:val="26"/>
        </w:rPr>
      </w:pPr>
    </w:p>
    <w:p w14:paraId="1912169A" w14:textId="77777777" w:rsidR="0064166E" w:rsidRDefault="0082114C">
      <w:pPr>
        <w:pStyle w:val="Heading1"/>
        <w:spacing w:before="175"/>
      </w:pPr>
      <w:r>
        <w:t>OEB Staff – 6</w:t>
      </w:r>
    </w:p>
    <w:p w14:paraId="65F9D8E7" w14:textId="77777777" w:rsidR="0064166E" w:rsidRDefault="0064166E">
      <w:pPr>
        <w:pStyle w:val="BodyText"/>
        <w:spacing w:before="11"/>
        <w:rPr>
          <w:b/>
          <w:sz w:val="20"/>
        </w:rPr>
      </w:pPr>
    </w:p>
    <w:p w14:paraId="3D02F048" w14:textId="77777777" w:rsidR="0064166E" w:rsidRDefault="0082114C">
      <w:pPr>
        <w:ind w:left="100"/>
        <w:rPr>
          <w:b/>
          <w:sz w:val="24"/>
        </w:rPr>
      </w:pPr>
      <w:r>
        <w:rPr>
          <w:b/>
          <w:sz w:val="24"/>
        </w:rPr>
        <w:t>Ref. 1: IRM Rate Generator Tab 18</w:t>
      </w:r>
    </w:p>
    <w:p w14:paraId="34C8D63E" w14:textId="77777777" w:rsidR="0064166E" w:rsidRDefault="0082114C">
      <w:pPr>
        <w:ind w:left="100"/>
        <w:rPr>
          <w:b/>
          <w:sz w:val="24"/>
        </w:rPr>
      </w:pPr>
      <w:r>
        <w:rPr>
          <w:b/>
          <w:sz w:val="24"/>
        </w:rPr>
        <w:t>Ref. 2: Managers Summary Pages 16 – 17</w:t>
      </w:r>
    </w:p>
    <w:p w14:paraId="17CFEB6E" w14:textId="77777777" w:rsidR="0064166E" w:rsidRDefault="0064166E">
      <w:pPr>
        <w:pStyle w:val="BodyText"/>
        <w:rPr>
          <w:b/>
        </w:rPr>
      </w:pPr>
    </w:p>
    <w:p w14:paraId="1E87ABD0" w14:textId="77777777" w:rsidR="0064166E" w:rsidRDefault="0082114C">
      <w:pPr>
        <w:pStyle w:val="BodyText"/>
        <w:ind w:left="100" w:right="149"/>
      </w:pPr>
      <w:r>
        <w:t>In the approval for InnPower to defer its Cost of Service (</w:t>
      </w:r>
      <w:proofErr w:type="spellStart"/>
      <w:r>
        <w:t>CoS</w:t>
      </w:r>
      <w:proofErr w:type="spellEnd"/>
      <w:r>
        <w:t xml:space="preserve">), the OEB requested InnPower seek disposition of a Group 2 account in the amount of ($67,453) in its 2023 rate application, which is normally disposed of during a </w:t>
      </w:r>
      <w:proofErr w:type="spellStart"/>
      <w:r>
        <w:t>CoS</w:t>
      </w:r>
      <w:proofErr w:type="spellEnd"/>
      <w:r>
        <w:t xml:space="preserve"> application. In the Decision and Order for </w:t>
      </w:r>
      <w:proofErr w:type="spellStart"/>
      <w:r>
        <w:t>InnPower’s</w:t>
      </w:r>
      <w:proofErr w:type="spellEnd"/>
      <w:r>
        <w:t xml:space="preserve"> last </w:t>
      </w:r>
      <w:proofErr w:type="spellStart"/>
      <w:r>
        <w:t>CoS</w:t>
      </w:r>
      <w:proofErr w:type="spellEnd"/>
      <w:r>
        <w:t xml:space="preserve"> proceeding (EB-2016-0085), two new variance accounts were created Account 1508 – Other Regulatory Assets, Sub-account </w:t>
      </w:r>
      <w:r>
        <w:lastRenderedPageBreak/>
        <w:t>differences in Revenue from Affiliate Services Account 1508 – Other Regulatory Assets, Sub-account differences in Expenses from Affiliate Services.</w:t>
      </w:r>
    </w:p>
    <w:p w14:paraId="55D6FDAA" w14:textId="77777777" w:rsidR="0064166E" w:rsidRDefault="0064166E">
      <w:pPr>
        <w:pStyle w:val="BodyText"/>
      </w:pPr>
    </w:p>
    <w:p w14:paraId="33CE37F4" w14:textId="77777777" w:rsidR="0064166E" w:rsidRDefault="0082114C">
      <w:pPr>
        <w:pStyle w:val="Heading1"/>
      </w:pPr>
      <w:r>
        <w:t>Question:</w:t>
      </w:r>
    </w:p>
    <w:p w14:paraId="09455347" w14:textId="77777777" w:rsidR="0064166E" w:rsidRDefault="0064166E">
      <w:pPr>
        <w:pStyle w:val="BodyText"/>
        <w:spacing w:before="10"/>
        <w:rPr>
          <w:b/>
          <w:sz w:val="20"/>
        </w:rPr>
      </w:pPr>
    </w:p>
    <w:p w14:paraId="439870C8" w14:textId="3E2CED8D" w:rsidR="0064166E" w:rsidRDefault="0082114C">
      <w:pPr>
        <w:pStyle w:val="ListParagraph"/>
        <w:numPr>
          <w:ilvl w:val="0"/>
          <w:numId w:val="2"/>
        </w:numPr>
        <w:tabs>
          <w:tab w:val="left" w:pos="821"/>
        </w:tabs>
        <w:ind w:right="297"/>
        <w:rPr>
          <w:sz w:val="24"/>
        </w:rPr>
      </w:pPr>
      <w:r>
        <w:rPr>
          <w:sz w:val="24"/>
        </w:rPr>
        <w:t>Please provide an Excel spreadsheet of the rate rider calculations for the Group two</w:t>
      </w:r>
      <w:r>
        <w:rPr>
          <w:spacing w:val="-1"/>
          <w:sz w:val="24"/>
        </w:rPr>
        <w:t xml:space="preserve"> </w:t>
      </w:r>
      <w:r>
        <w:rPr>
          <w:sz w:val="24"/>
        </w:rPr>
        <w:t>accounts.</w:t>
      </w:r>
    </w:p>
    <w:p w14:paraId="5CA20599" w14:textId="499F2000" w:rsidR="00AF19E9" w:rsidRDefault="00AF19E9" w:rsidP="00AF19E9">
      <w:pPr>
        <w:tabs>
          <w:tab w:val="left" w:pos="821"/>
        </w:tabs>
        <w:ind w:right="297"/>
        <w:rPr>
          <w:sz w:val="24"/>
        </w:rPr>
      </w:pPr>
    </w:p>
    <w:p w14:paraId="789B7005" w14:textId="561E46C5" w:rsidR="00AF19E9" w:rsidRDefault="00AF19E9" w:rsidP="00AF19E9">
      <w:pPr>
        <w:tabs>
          <w:tab w:val="left" w:pos="821"/>
        </w:tabs>
        <w:ind w:right="297"/>
        <w:rPr>
          <w:color w:val="FF0000"/>
          <w:sz w:val="24"/>
        </w:rPr>
      </w:pPr>
      <w:r>
        <w:rPr>
          <w:color w:val="FF0000"/>
          <w:sz w:val="24"/>
        </w:rPr>
        <w:t xml:space="preserve">Please refer to </w:t>
      </w:r>
      <w:r w:rsidR="0032309F">
        <w:rPr>
          <w:color w:val="FF0000"/>
          <w:sz w:val="24"/>
        </w:rPr>
        <w:t>the “OEB Staff 6a” and “OEB Staff 6b” tabs</w:t>
      </w:r>
      <w:r>
        <w:rPr>
          <w:color w:val="FF0000"/>
          <w:sz w:val="24"/>
        </w:rPr>
        <w:t>.  The following table shows the rate rider calculations for the Group 2 accounts.</w:t>
      </w:r>
    </w:p>
    <w:p w14:paraId="2C1CE5C3" w14:textId="29893C91" w:rsidR="00AF19E9" w:rsidRDefault="00AF19E9" w:rsidP="00AF19E9">
      <w:pPr>
        <w:tabs>
          <w:tab w:val="left" w:pos="821"/>
        </w:tabs>
        <w:ind w:right="297"/>
        <w:rPr>
          <w:color w:val="FF0000"/>
          <w:sz w:val="24"/>
        </w:rPr>
      </w:pPr>
    </w:p>
    <w:p w14:paraId="10E55C66" w14:textId="5B2C372F" w:rsidR="003B3C97" w:rsidRDefault="003B3C97" w:rsidP="00AF19E9">
      <w:pPr>
        <w:tabs>
          <w:tab w:val="left" w:pos="821"/>
        </w:tabs>
        <w:ind w:right="297"/>
        <w:rPr>
          <w:color w:val="FF0000"/>
          <w:sz w:val="24"/>
        </w:rPr>
      </w:pPr>
      <w:r>
        <w:rPr>
          <w:noProof/>
        </w:rPr>
        <w:drawing>
          <wp:inline distT="0" distB="0" distL="0" distR="0" wp14:anchorId="4A4DE502" wp14:editId="32839A1A">
            <wp:extent cx="6083300" cy="1614805"/>
            <wp:effectExtent l="0" t="0" r="0" b="4445"/>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3"/>
                    <a:stretch>
                      <a:fillRect/>
                    </a:stretch>
                  </pic:blipFill>
                  <pic:spPr>
                    <a:xfrm>
                      <a:off x="0" y="0"/>
                      <a:ext cx="6083300" cy="1614805"/>
                    </a:xfrm>
                    <a:prstGeom prst="rect">
                      <a:avLst/>
                    </a:prstGeom>
                  </pic:spPr>
                </pic:pic>
              </a:graphicData>
            </a:graphic>
          </wp:inline>
        </w:drawing>
      </w:r>
    </w:p>
    <w:p w14:paraId="4005C61D" w14:textId="40F22B57" w:rsidR="00AF19E9" w:rsidRDefault="00AF19E9" w:rsidP="00AF19E9">
      <w:pPr>
        <w:tabs>
          <w:tab w:val="left" w:pos="821"/>
        </w:tabs>
        <w:ind w:right="297"/>
        <w:rPr>
          <w:color w:val="FF0000"/>
          <w:sz w:val="24"/>
        </w:rPr>
      </w:pPr>
    </w:p>
    <w:p w14:paraId="005FBC0D" w14:textId="73BDDE7D" w:rsidR="00AF19E9" w:rsidRDefault="00AF19E9" w:rsidP="00AF19E9">
      <w:pPr>
        <w:tabs>
          <w:tab w:val="left" w:pos="821"/>
        </w:tabs>
        <w:ind w:right="297"/>
        <w:rPr>
          <w:color w:val="FF0000"/>
          <w:sz w:val="24"/>
        </w:rPr>
      </w:pPr>
    </w:p>
    <w:p w14:paraId="4A2B8604" w14:textId="19DFC9D9" w:rsidR="0064166E" w:rsidRDefault="0082114C">
      <w:pPr>
        <w:pStyle w:val="ListParagraph"/>
        <w:numPr>
          <w:ilvl w:val="0"/>
          <w:numId w:val="2"/>
        </w:numPr>
        <w:tabs>
          <w:tab w:val="left" w:pos="821"/>
        </w:tabs>
        <w:spacing w:before="0"/>
        <w:ind w:hanging="361"/>
        <w:rPr>
          <w:sz w:val="24"/>
        </w:rPr>
      </w:pPr>
      <w:r>
        <w:rPr>
          <w:sz w:val="24"/>
        </w:rPr>
        <w:t>Please update Tab 18 for the rate riders</w:t>
      </w:r>
      <w:r>
        <w:rPr>
          <w:spacing w:val="-12"/>
          <w:sz w:val="24"/>
        </w:rPr>
        <w:t xml:space="preserve"> </w:t>
      </w:r>
      <w:r>
        <w:rPr>
          <w:sz w:val="24"/>
        </w:rPr>
        <w:t>calculated.</w:t>
      </w:r>
    </w:p>
    <w:p w14:paraId="394F5390" w14:textId="2C1FACA9" w:rsidR="0082114C" w:rsidRPr="00AF19E9" w:rsidRDefault="0082114C" w:rsidP="0082114C">
      <w:pPr>
        <w:tabs>
          <w:tab w:val="left" w:pos="821"/>
        </w:tabs>
        <w:rPr>
          <w:color w:val="FF0000"/>
          <w:sz w:val="24"/>
        </w:rPr>
      </w:pPr>
    </w:p>
    <w:p w14:paraId="562F8D36" w14:textId="44DD4B1E" w:rsidR="0082114C" w:rsidRPr="00AF19E9" w:rsidRDefault="00AF19E9" w:rsidP="0082114C">
      <w:pPr>
        <w:tabs>
          <w:tab w:val="left" w:pos="821"/>
        </w:tabs>
        <w:rPr>
          <w:color w:val="FF0000"/>
          <w:sz w:val="24"/>
        </w:rPr>
      </w:pPr>
      <w:r w:rsidRPr="00AF19E9">
        <w:rPr>
          <w:color w:val="FF0000"/>
          <w:sz w:val="24"/>
        </w:rPr>
        <w:t xml:space="preserve">Please refer to the </w:t>
      </w:r>
      <w:r w:rsidR="0032309F">
        <w:rPr>
          <w:color w:val="FF0000"/>
          <w:sz w:val="24"/>
        </w:rPr>
        <w:t>2023-IRM-Rate-Generator-Model_20221013 file</w:t>
      </w:r>
      <w:r w:rsidRPr="00AF19E9">
        <w:rPr>
          <w:color w:val="FF0000"/>
          <w:sz w:val="24"/>
        </w:rPr>
        <w:t xml:space="preserve"> for the updated rate generator model.</w:t>
      </w:r>
    </w:p>
    <w:p w14:paraId="02C12DBC" w14:textId="77777777" w:rsidR="0064166E" w:rsidRDefault="0064166E">
      <w:pPr>
        <w:pStyle w:val="BodyText"/>
        <w:rPr>
          <w:sz w:val="26"/>
        </w:rPr>
      </w:pPr>
    </w:p>
    <w:p w14:paraId="48043673" w14:textId="77777777" w:rsidR="0064166E" w:rsidRDefault="0064166E">
      <w:pPr>
        <w:pStyle w:val="BodyText"/>
        <w:rPr>
          <w:sz w:val="26"/>
        </w:rPr>
      </w:pPr>
    </w:p>
    <w:p w14:paraId="64A9B99C" w14:textId="77777777" w:rsidR="0064166E" w:rsidRDefault="0082114C">
      <w:pPr>
        <w:pStyle w:val="Heading1"/>
        <w:spacing w:before="174"/>
      </w:pPr>
      <w:r>
        <w:t>OEB Staff – 7</w:t>
      </w:r>
    </w:p>
    <w:p w14:paraId="5E4292BA" w14:textId="77777777" w:rsidR="0064166E" w:rsidRDefault="0064166E">
      <w:pPr>
        <w:pStyle w:val="BodyText"/>
        <w:spacing w:before="10"/>
        <w:rPr>
          <w:b/>
          <w:sz w:val="20"/>
        </w:rPr>
      </w:pPr>
    </w:p>
    <w:p w14:paraId="3B03C97B" w14:textId="77777777" w:rsidR="0064166E" w:rsidRDefault="0082114C">
      <w:pPr>
        <w:spacing w:before="1"/>
        <w:ind w:left="100"/>
        <w:rPr>
          <w:b/>
          <w:sz w:val="24"/>
        </w:rPr>
      </w:pPr>
      <w:r>
        <w:rPr>
          <w:b/>
          <w:sz w:val="24"/>
        </w:rPr>
        <w:t>Ref. 1: Managers Summary Page 18</w:t>
      </w:r>
    </w:p>
    <w:p w14:paraId="1B553A58" w14:textId="77777777" w:rsidR="0064166E" w:rsidRDefault="0082114C">
      <w:pPr>
        <w:ind w:left="100"/>
        <w:rPr>
          <w:b/>
          <w:sz w:val="24"/>
        </w:rPr>
      </w:pPr>
      <w:r>
        <w:rPr>
          <w:b/>
          <w:sz w:val="24"/>
        </w:rPr>
        <w:t>Ref. 2: IRM Rate Generator Tab 6.1 GA, Tab 7, Tab 19 and Tab 20</w:t>
      </w:r>
    </w:p>
    <w:p w14:paraId="2FAC0076" w14:textId="77777777" w:rsidR="0064166E" w:rsidRDefault="0064166E">
      <w:pPr>
        <w:pStyle w:val="BodyText"/>
        <w:spacing w:before="11"/>
        <w:rPr>
          <w:b/>
          <w:sz w:val="23"/>
        </w:rPr>
      </w:pPr>
    </w:p>
    <w:p w14:paraId="749A7512" w14:textId="77777777" w:rsidR="0064166E" w:rsidRDefault="0082114C">
      <w:pPr>
        <w:pStyle w:val="BodyText"/>
        <w:ind w:left="100" w:right="548"/>
      </w:pPr>
      <w:r>
        <w:t>InnPower has requested a 24-month recovery for the Sentinel Rate class to mitigate rate impacts over 10%.</w:t>
      </w:r>
    </w:p>
    <w:p w14:paraId="648A3B4F" w14:textId="77777777" w:rsidR="0064166E" w:rsidRDefault="0064166E">
      <w:pPr>
        <w:pStyle w:val="BodyText"/>
        <w:spacing w:before="1"/>
      </w:pPr>
    </w:p>
    <w:p w14:paraId="261224A3" w14:textId="77777777" w:rsidR="0064166E" w:rsidRDefault="0082114C">
      <w:pPr>
        <w:pStyle w:val="Heading1"/>
      </w:pPr>
      <w:r>
        <w:t>Question:</w:t>
      </w:r>
    </w:p>
    <w:p w14:paraId="21143A03" w14:textId="77777777" w:rsidR="0064166E" w:rsidRDefault="0064166E">
      <w:pPr>
        <w:pStyle w:val="BodyText"/>
        <w:rPr>
          <w:b/>
        </w:rPr>
      </w:pPr>
    </w:p>
    <w:p w14:paraId="200252CB" w14:textId="44C7551E" w:rsidR="0064166E" w:rsidRDefault="0082114C" w:rsidP="007274B7">
      <w:pPr>
        <w:pStyle w:val="BodyText"/>
        <w:numPr>
          <w:ilvl w:val="0"/>
          <w:numId w:val="9"/>
        </w:numPr>
        <w:ind w:right="362"/>
      </w:pPr>
      <w:r>
        <w:t>Please confirm OEB staff has updated Tabs 6.1 GA, Tab 7, Tab 19 and Tab 20 for the Sentinel rate class correctly.</w:t>
      </w:r>
    </w:p>
    <w:p w14:paraId="2E193073" w14:textId="0B61EEFE" w:rsidR="00EC7481" w:rsidRDefault="00EC7481" w:rsidP="00EC7481">
      <w:pPr>
        <w:pStyle w:val="BodyText"/>
        <w:ind w:right="362"/>
      </w:pPr>
    </w:p>
    <w:p w14:paraId="471A3C72" w14:textId="55254624" w:rsidR="007D47D5" w:rsidRPr="0042301A" w:rsidRDefault="0042301A" w:rsidP="00EC7481">
      <w:pPr>
        <w:pStyle w:val="BodyText"/>
        <w:ind w:right="362"/>
        <w:rPr>
          <w:color w:val="FF0000"/>
        </w:rPr>
      </w:pPr>
      <w:r w:rsidRPr="0042301A">
        <w:rPr>
          <w:color w:val="FF0000"/>
        </w:rPr>
        <w:t>Yes, OEB staff has updated Tabs 6.1 GA, Tab 7, Tab 19 and Tab 20 correctly</w:t>
      </w:r>
      <w:r>
        <w:rPr>
          <w:color w:val="FF0000"/>
        </w:rPr>
        <w:t>.</w:t>
      </w:r>
    </w:p>
    <w:p w14:paraId="022B20D5" w14:textId="77777777" w:rsidR="00EC7481" w:rsidRDefault="00EC7481" w:rsidP="00EC7481">
      <w:pPr>
        <w:pStyle w:val="BodyText"/>
        <w:ind w:right="362"/>
      </w:pPr>
    </w:p>
    <w:p w14:paraId="25A5EE07" w14:textId="07E3552D" w:rsidR="007274B7" w:rsidRDefault="007274B7" w:rsidP="007274B7">
      <w:pPr>
        <w:pStyle w:val="BodyText"/>
        <w:ind w:right="362"/>
      </w:pPr>
    </w:p>
    <w:p w14:paraId="37474603" w14:textId="4455B070" w:rsidR="00214248" w:rsidRDefault="00214248" w:rsidP="007274B7">
      <w:pPr>
        <w:pStyle w:val="BodyText"/>
        <w:ind w:right="362"/>
      </w:pPr>
    </w:p>
    <w:p w14:paraId="265EA03E" w14:textId="17361F0D" w:rsidR="00214248" w:rsidRDefault="00214248" w:rsidP="007274B7">
      <w:pPr>
        <w:pStyle w:val="BodyText"/>
        <w:ind w:right="362"/>
      </w:pPr>
    </w:p>
    <w:p w14:paraId="1251F5DD" w14:textId="77777777" w:rsidR="00214248" w:rsidRDefault="00214248" w:rsidP="007274B7">
      <w:pPr>
        <w:pStyle w:val="BodyText"/>
        <w:ind w:right="362"/>
      </w:pPr>
    </w:p>
    <w:p w14:paraId="296D473A" w14:textId="77777777" w:rsidR="0064166E" w:rsidRDefault="0064166E">
      <w:pPr>
        <w:pStyle w:val="BodyText"/>
        <w:spacing w:before="6"/>
        <w:rPr>
          <w:sz w:val="16"/>
        </w:rPr>
      </w:pPr>
    </w:p>
    <w:p w14:paraId="6052487F" w14:textId="77777777" w:rsidR="0064166E" w:rsidRDefault="0082114C">
      <w:pPr>
        <w:pStyle w:val="Heading1"/>
        <w:spacing w:before="92"/>
      </w:pPr>
      <w:r>
        <w:t>OEB Staff – 8</w:t>
      </w:r>
    </w:p>
    <w:p w14:paraId="4FB41477" w14:textId="77777777" w:rsidR="0064166E" w:rsidRDefault="0064166E">
      <w:pPr>
        <w:pStyle w:val="BodyText"/>
        <w:spacing w:before="10"/>
        <w:rPr>
          <w:b/>
          <w:sz w:val="20"/>
        </w:rPr>
      </w:pPr>
    </w:p>
    <w:p w14:paraId="4A81FB63" w14:textId="77777777" w:rsidR="0064166E" w:rsidRDefault="0082114C">
      <w:pPr>
        <w:ind w:left="100"/>
        <w:rPr>
          <w:b/>
          <w:sz w:val="24"/>
        </w:rPr>
      </w:pPr>
      <w:r>
        <w:rPr>
          <w:b/>
          <w:sz w:val="24"/>
        </w:rPr>
        <w:t>Ref. 1: Managers Summary Page 17</w:t>
      </w:r>
    </w:p>
    <w:p w14:paraId="7795DCDA" w14:textId="77777777" w:rsidR="0064166E" w:rsidRDefault="0064166E">
      <w:pPr>
        <w:pStyle w:val="BodyText"/>
        <w:rPr>
          <w:b/>
        </w:rPr>
      </w:pPr>
    </w:p>
    <w:p w14:paraId="4B4699DF" w14:textId="77777777" w:rsidR="0064166E" w:rsidRDefault="0082114C">
      <w:pPr>
        <w:pStyle w:val="BodyText"/>
        <w:spacing w:line="276" w:lineRule="auto"/>
        <w:ind w:left="100" w:right="322"/>
      </w:pPr>
      <w:r>
        <w:t>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w:t>
      </w:r>
    </w:p>
    <w:p w14:paraId="6E89D175" w14:textId="77777777" w:rsidR="0064166E" w:rsidRDefault="0082114C">
      <w:pPr>
        <w:pStyle w:val="Heading1"/>
        <w:spacing w:before="200"/>
      </w:pPr>
      <w:r>
        <w:t>Questions:</w:t>
      </w:r>
    </w:p>
    <w:p w14:paraId="3835605A" w14:textId="77777777" w:rsidR="0064166E" w:rsidRDefault="0064166E">
      <w:pPr>
        <w:pStyle w:val="BodyText"/>
        <w:rPr>
          <w:b/>
          <w:sz w:val="21"/>
        </w:rPr>
      </w:pPr>
    </w:p>
    <w:p w14:paraId="72BE376E" w14:textId="77777777" w:rsidR="0064166E" w:rsidRDefault="0082114C">
      <w:pPr>
        <w:pStyle w:val="ListParagraph"/>
        <w:numPr>
          <w:ilvl w:val="0"/>
          <w:numId w:val="1"/>
        </w:numPr>
        <w:tabs>
          <w:tab w:val="left" w:pos="821"/>
        </w:tabs>
        <w:spacing w:line="259" w:lineRule="auto"/>
        <w:ind w:right="136"/>
        <w:rPr>
          <w:sz w:val="24"/>
        </w:rPr>
      </w:pPr>
      <w:r>
        <w:rPr>
          <w:sz w:val="24"/>
        </w:rPr>
        <w:t xml:space="preserve">Please confirm that the </w:t>
      </w:r>
      <w:r w:rsidRPr="007274B7">
        <w:rPr>
          <w:sz w:val="24"/>
          <w:highlight w:val="yellow"/>
        </w:rPr>
        <w:t>Niagara-on-the-Lake Hydro</w:t>
      </w:r>
      <w:r>
        <w:rPr>
          <w:sz w:val="24"/>
        </w:rPr>
        <w:t xml:space="preserve"> will not be seeking to dispose of any balance in the LRAMVA due to LRAM-eligible CDM activities funded by the IESO through the Conservation First Framework or Interim Framework in</w:t>
      </w:r>
      <w:r>
        <w:rPr>
          <w:spacing w:val="-20"/>
          <w:sz w:val="24"/>
        </w:rPr>
        <w:t xml:space="preserve"> </w:t>
      </w:r>
      <w:r>
        <w:rPr>
          <w:sz w:val="24"/>
        </w:rPr>
        <w:t>a</w:t>
      </w:r>
    </w:p>
    <w:p w14:paraId="066175E5" w14:textId="77777777" w:rsidR="0064166E" w:rsidRDefault="0082114C">
      <w:pPr>
        <w:pStyle w:val="BodyText"/>
        <w:spacing w:line="275" w:lineRule="exact"/>
        <w:ind w:left="820"/>
      </w:pPr>
      <w:r>
        <w:t>future year’s application.</w:t>
      </w:r>
    </w:p>
    <w:p w14:paraId="63F47A47" w14:textId="77777777" w:rsidR="0064166E" w:rsidRDefault="0064166E">
      <w:pPr>
        <w:pStyle w:val="BodyText"/>
        <w:spacing w:before="8"/>
        <w:rPr>
          <w:sz w:val="27"/>
        </w:rPr>
      </w:pPr>
    </w:p>
    <w:p w14:paraId="3503D674" w14:textId="4F073872" w:rsidR="0064166E" w:rsidRDefault="0082114C">
      <w:pPr>
        <w:pStyle w:val="ListParagraph"/>
        <w:numPr>
          <w:ilvl w:val="1"/>
          <w:numId w:val="1"/>
        </w:numPr>
        <w:tabs>
          <w:tab w:val="left" w:pos="1181"/>
        </w:tabs>
        <w:spacing w:before="0" w:line="259" w:lineRule="auto"/>
        <w:ind w:right="1078"/>
        <w:rPr>
          <w:sz w:val="24"/>
        </w:rPr>
      </w:pPr>
      <w:r>
        <w:rPr>
          <w:sz w:val="24"/>
        </w:rPr>
        <w:t>If not confirmed, please explain why a request for disposition was</w:t>
      </w:r>
      <w:r>
        <w:rPr>
          <w:spacing w:val="-24"/>
          <w:sz w:val="24"/>
        </w:rPr>
        <w:t xml:space="preserve"> </w:t>
      </w:r>
      <w:r>
        <w:rPr>
          <w:sz w:val="24"/>
        </w:rPr>
        <w:t>not submitted as part of this</w:t>
      </w:r>
      <w:r>
        <w:rPr>
          <w:spacing w:val="-5"/>
          <w:sz w:val="24"/>
        </w:rPr>
        <w:t xml:space="preserve"> </w:t>
      </w:r>
      <w:r>
        <w:rPr>
          <w:sz w:val="24"/>
        </w:rPr>
        <w:t>application.</w:t>
      </w:r>
    </w:p>
    <w:p w14:paraId="060603CD" w14:textId="77777777" w:rsidR="007274B7" w:rsidRDefault="007274B7" w:rsidP="007274B7">
      <w:pPr>
        <w:tabs>
          <w:tab w:val="left" w:pos="1181"/>
        </w:tabs>
        <w:spacing w:line="259" w:lineRule="auto"/>
        <w:ind w:right="1078"/>
        <w:rPr>
          <w:sz w:val="24"/>
        </w:rPr>
      </w:pPr>
    </w:p>
    <w:p w14:paraId="28895DBE" w14:textId="13BC406A" w:rsidR="007274B7" w:rsidRPr="007274B7" w:rsidRDefault="007274B7" w:rsidP="007274B7">
      <w:pPr>
        <w:tabs>
          <w:tab w:val="left" w:pos="1181"/>
        </w:tabs>
        <w:spacing w:line="259" w:lineRule="auto"/>
        <w:ind w:right="1078"/>
        <w:rPr>
          <w:sz w:val="24"/>
        </w:rPr>
      </w:pPr>
      <w:r w:rsidRPr="007274B7">
        <w:rPr>
          <w:color w:val="FF0000"/>
          <w:sz w:val="24"/>
        </w:rPr>
        <w:t>It is assumed this question is addressed to InnPower Corporation.</w:t>
      </w:r>
    </w:p>
    <w:p w14:paraId="6ABF3680" w14:textId="77777777" w:rsidR="007274B7" w:rsidRDefault="007274B7" w:rsidP="007274B7">
      <w:pPr>
        <w:tabs>
          <w:tab w:val="left" w:pos="1181"/>
        </w:tabs>
        <w:spacing w:line="259" w:lineRule="auto"/>
        <w:ind w:right="1078"/>
        <w:rPr>
          <w:color w:val="FF0000"/>
          <w:sz w:val="24"/>
        </w:rPr>
      </w:pPr>
    </w:p>
    <w:p w14:paraId="4A91016B" w14:textId="5BF58E46" w:rsidR="007274B7" w:rsidRDefault="007274B7" w:rsidP="007274B7">
      <w:pPr>
        <w:tabs>
          <w:tab w:val="left" w:pos="1181"/>
        </w:tabs>
        <w:spacing w:line="259" w:lineRule="auto"/>
        <w:ind w:right="1078"/>
        <w:rPr>
          <w:color w:val="FF0000"/>
          <w:sz w:val="24"/>
        </w:rPr>
      </w:pPr>
      <w:r>
        <w:rPr>
          <w:color w:val="FF0000"/>
          <w:sz w:val="24"/>
        </w:rPr>
        <w:t>InnPower will not be seeking disposition of any balances in the LRAMVA</w:t>
      </w:r>
      <w:r w:rsidR="008469BC">
        <w:rPr>
          <w:color w:val="FF0000"/>
          <w:sz w:val="24"/>
        </w:rPr>
        <w:t xml:space="preserve"> in order to</w:t>
      </w:r>
      <w:r w:rsidR="00B95E68">
        <w:rPr>
          <w:color w:val="FF0000"/>
          <w:sz w:val="24"/>
        </w:rPr>
        <w:t xml:space="preserve"> </w:t>
      </w:r>
      <w:r>
        <w:rPr>
          <w:color w:val="FF0000"/>
          <w:sz w:val="24"/>
        </w:rPr>
        <w:t>mitigate bill impacts for customers.</w:t>
      </w:r>
      <w:r w:rsidR="00C71ABB">
        <w:rPr>
          <w:color w:val="FF0000"/>
          <w:sz w:val="24"/>
        </w:rPr>
        <w:t xml:space="preserve"> </w:t>
      </w:r>
    </w:p>
    <w:p w14:paraId="116C729E" w14:textId="77777777" w:rsidR="00CD2737" w:rsidRPr="007274B7" w:rsidRDefault="00CD2737" w:rsidP="007274B7">
      <w:pPr>
        <w:tabs>
          <w:tab w:val="left" w:pos="1181"/>
        </w:tabs>
        <w:spacing w:line="259" w:lineRule="auto"/>
        <w:ind w:right="1078"/>
        <w:rPr>
          <w:color w:val="FF0000"/>
          <w:sz w:val="24"/>
        </w:rPr>
      </w:pPr>
    </w:p>
    <w:p w14:paraId="0D02D11F" w14:textId="77777777" w:rsidR="0064166E" w:rsidRDefault="0082114C">
      <w:pPr>
        <w:pStyle w:val="ListParagraph"/>
        <w:numPr>
          <w:ilvl w:val="1"/>
          <w:numId w:val="1"/>
        </w:numPr>
        <w:tabs>
          <w:tab w:val="left" w:pos="1181"/>
        </w:tabs>
        <w:spacing w:before="0" w:line="259" w:lineRule="auto"/>
        <w:ind w:right="228"/>
        <w:rPr>
          <w:sz w:val="24"/>
        </w:rPr>
      </w:pPr>
      <w:r>
        <w:rPr>
          <w:sz w:val="24"/>
        </w:rPr>
        <w:t>If confirmed, please also confirm that InnPower has verified that, relative to the LRAMVA threshold (if any) established in InnPower most recent rebasing application, the balance in the LRAMVA, and any prospective LRAM-eligible amounts until the next rebasing, are either zero or a debit (i.e., not a credit that would need to be refunded to</w:t>
      </w:r>
      <w:r>
        <w:rPr>
          <w:spacing w:val="-8"/>
          <w:sz w:val="24"/>
        </w:rPr>
        <w:t xml:space="preserve"> </w:t>
      </w:r>
      <w:r>
        <w:rPr>
          <w:sz w:val="24"/>
        </w:rPr>
        <w:t>customers).</w:t>
      </w:r>
    </w:p>
    <w:sectPr w:rsidR="0064166E">
      <w:headerReference w:type="default" r:id="rId14"/>
      <w:footerReference w:type="default" r:id="rId15"/>
      <w:pgSz w:w="12240" w:h="15840"/>
      <w:pgMar w:top="1440" w:right="1320" w:bottom="1180" w:left="1340" w:header="715"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EA66" w14:textId="77777777" w:rsidR="00CF7CBF" w:rsidRDefault="0082114C">
      <w:r>
        <w:separator/>
      </w:r>
    </w:p>
  </w:endnote>
  <w:endnote w:type="continuationSeparator" w:id="0">
    <w:p w14:paraId="262AC5FB" w14:textId="77777777" w:rsidR="00CF7CBF" w:rsidRDefault="0082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13B9" w14:textId="136C5C70" w:rsidR="0064166E" w:rsidRDefault="0082114C">
    <w:pPr>
      <w:pStyle w:val="BodyText"/>
      <w:spacing w:line="14" w:lineRule="auto"/>
      <w:rPr>
        <w:sz w:val="20"/>
      </w:rPr>
    </w:pPr>
    <w:r>
      <w:rPr>
        <w:noProof/>
      </w:rPr>
      <mc:AlternateContent>
        <mc:Choice Requires="wps">
          <w:drawing>
            <wp:anchor distT="0" distB="0" distL="114300" distR="114300" simplePos="0" relativeHeight="251435008" behindDoc="1" locked="0" layoutInCell="1" allowOverlap="1" wp14:anchorId="14341392" wp14:editId="60DCD88C">
              <wp:simplePos x="0" y="0"/>
              <wp:positionH relativeFrom="page">
                <wp:posOffset>3764280</wp:posOffset>
              </wp:positionH>
              <wp:positionV relativeFrom="page">
                <wp:posOffset>9286240</wp:posOffset>
              </wp:positionV>
              <wp:extent cx="247015"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F93C3" w14:textId="77777777" w:rsidR="0064166E" w:rsidRDefault="0082114C">
                          <w:pPr>
                            <w:spacing w:line="245"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t>2</w:t>
                          </w:r>
                          <w:r>
                            <w:fldChar w:fldCharType="end"/>
                          </w:r>
                          <w:r>
                            <w:rPr>
                              <w:rFonts w:ascii="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41392" id="_x0000_t202" coordsize="21600,21600" o:spt="202" path="m,l,21600r21600,l21600,xe">
              <v:stroke joinstyle="miter"/>
              <v:path gradientshapeok="t" o:connecttype="rect"/>
            </v:shapetype>
            <v:shape id="Text Box 1" o:spid="_x0000_s1027" type="#_x0000_t202" style="position:absolute;margin-left:296.4pt;margin-top:731.2pt;width:19.45pt;height:13.0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" filled="f" stroked="f">
              <v:textbox inset="0,0,0,0">
                <w:txbxContent>
                  <w:p w14:paraId="35BF93C3" w14:textId="77777777" w:rsidR="0064166E" w:rsidRDefault="0082114C">
                    <w:pPr>
                      <w:spacing w:line="245"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t>2</w:t>
                    </w:r>
                    <w:r>
                      <w:fldChar w:fldCharType="end"/>
                    </w:r>
                    <w:r>
                      <w:rPr>
                        <w:rFonts w:ascii="Calibri"/>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960A" w14:textId="77777777" w:rsidR="00CF7CBF" w:rsidRDefault="0082114C">
      <w:r>
        <w:separator/>
      </w:r>
    </w:p>
  </w:footnote>
  <w:footnote w:type="continuationSeparator" w:id="0">
    <w:p w14:paraId="21E04382" w14:textId="77777777" w:rsidR="00CF7CBF" w:rsidRDefault="0082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48B7" w14:textId="597F4D12" w:rsidR="0064166E" w:rsidRDefault="0082114C">
    <w:pPr>
      <w:pStyle w:val="BodyText"/>
      <w:spacing w:line="14" w:lineRule="auto"/>
      <w:rPr>
        <w:sz w:val="20"/>
      </w:rPr>
    </w:pPr>
    <w:r>
      <w:rPr>
        <w:noProof/>
      </w:rPr>
      <mc:AlternateContent>
        <mc:Choice Requires="wps">
          <w:drawing>
            <wp:anchor distT="0" distB="0" distL="114300" distR="114300" simplePos="0" relativeHeight="251433984" behindDoc="1" locked="0" layoutInCell="1" allowOverlap="1" wp14:anchorId="5C8FD039" wp14:editId="366B9D53">
              <wp:simplePos x="0" y="0"/>
              <wp:positionH relativeFrom="page">
                <wp:posOffset>5427345</wp:posOffset>
              </wp:positionH>
              <wp:positionV relativeFrom="page">
                <wp:posOffset>441325</wp:posOffset>
              </wp:positionV>
              <wp:extent cx="1443355" cy="4597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F7AFE" w14:textId="77777777" w:rsidR="0064166E" w:rsidRDefault="0082114C">
                          <w:pPr>
                            <w:spacing w:before="12"/>
                            <w:ind w:left="20" w:right="19" w:firstLine="288"/>
                            <w:jc w:val="right"/>
                            <w:rPr>
                              <w:sz w:val="20"/>
                            </w:rPr>
                          </w:pPr>
                          <w:r>
                            <w:rPr>
                              <w:sz w:val="20"/>
                            </w:rPr>
                            <w:t>InnPower</w:t>
                          </w:r>
                          <w:r>
                            <w:rPr>
                              <w:spacing w:val="-20"/>
                              <w:sz w:val="20"/>
                            </w:rPr>
                            <w:t xml:space="preserve"> </w:t>
                          </w:r>
                          <w:r>
                            <w:rPr>
                              <w:sz w:val="20"/>
                            </w:rPr>
                            <w:t>Corporation</w:t>
                          </w:r>
                          <w:r>
                            <w:rPr>
                              <w:w w:val="99"/>
                              <w:sz w:val="20"/>
                            </w:rPr>
                            <w:t xml:space="preserve"> </w:t>
                          </w:r>
                          <w:r>
                            <w:rPr>
                              <w:sz w:val="20"/>
                            </w:rPr>
                            <w:t>OEB Staff</w:t>
                          </w:r>
                          <w:r>
                            <w:rPr>
                              <w:spacing w:val="-21"/>
                              <w:sz w:val="20"/>
                            </w:rPr>
                            <w:t xml:space="preserve"> </w:t>
                          </w:r>
                          <w:r>
                            <w:rPr>
                              <w:sz w:val="20"/>
                            </w:rPr>
                            <w:t>Interrogatories</w:t>
                          </w:r>
                        </w:p>
                        <w:p w14:paraId="147E2989" w14:textId="77777777" w:rsidR="0064166E" w:rsidRDefault="0082114C">
                          <w:pPr>
                            <w:spacing w:before="1"/>
                            <w:ind w:right="18"/>
                            <w:jc w:val="right"/>
                            <w:rPr>
                              <w:sz w:val="20"/>
                            </w:rPr>
                          </w:pPr>
                          <w:r>
                            <w:rPr>
                              <w:spacing w:val="-1"/>
                              <w:sz w:val="20"/>
                            </w:rPr>
                            <w:t>EB-2022-0043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FD039" id="_x0000_t202" coordsize="21600,21600" o:spt="202" path="m,l,21600r21600,l21600,xe">
              <v:stroke joinstyle="miter"/>
              <v:path gradientshapeok="t" o:connecttype="rect"/>
            </v:shapetype>
            <v:shape id="Text Box 2" o:spid="_x0000_s1026" type="#_x0000_t202" style="position:absolute;margin-left:427.35pt;margin-top:34.75pt;width:113.65pt;height:36.2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" filled="f" stroked="f">
              <v:textbox inset="0,0,0,0">
                <w:txbxContent>
                  <w:p w14:paraId="2CDF7AFE" w14:textId="77777777" w:rsidR="0064166E" w:rsidRDefault="0082114C">
                    <w:pPr>
                      <w:spacing w:before="12"/>
                      <w:ind w:left="20" w:right="19" w:firstLine="288"/>
                      <w:jc w:val="right"/>
                      <w:rPr>
                        <w:sz w:val="20"/>
                      </w:rPr>
                    </w:pPr>
                    <w:r>
                      <w:rPr>
                        <w:sz w:val="20"/>
                      </w:rPr>
                      <w:t>InnPower</w:t>
                    </w:r>
                    <w:r>
                      <w:rPr>
                        <w:spacing w:val="-20"/>
                        <w:sz w:val="20"/>
                      </w:rPr>
                      <w:t xml:space="preserve"> </w:t>
                    </w:r>
                    <w:r>
                      <w:rPr>
                        <w:sz w:val="20"/>
                      </w:rPr>
                      <w:t>Corporation</w:t>
                    </w:r>
                    <w:r>
                      <w:rPr>
                        <w:w w:val="99"/>
                        <w:sz w:val="20"/>
                      </w:rPr>
                      <w:t xml:space="preserve"> </w:t>
                    </w:r>
                    <w:r>
                      <w:rPr>
                        <w:sz w:val="20"/>
                      </w:rPr>
                      <w:t>OEB Staff</w:t>
                    </w:r>
                    <w:r>
                      <w:rPr>
                        <w:spacing w:val="-21"/>
                        <w:sz w:val="20"/>
                      </w:rPr>
                      <w:t xml:space="preserve"> </w:t>
                    </w:r>
                    <w:r>
                      <w:rPr>
                        <w:sz w:val="20"/>
                      </w:rPr>
                      <w:t>Interrogatories</w:t>
                    </w:r>
                  </w:p>
                  <w:p w14:paraId="147E2989" w14:textId="77777777" w:rsidR="0064166E" w:rsidRDefault="0082114C">
                    <w:pPr>
                      <w:spacing w:before="1"/>
                      <w:ind w:right="18"/>
                      <w:jc w:val="right"/>
                      <w:rPr>
                        <w:sz w:val="20"/>
                      </w:rPr>
                    </w:pPr>
                    <w:r>
                      <w:rPr>
                        <w:spacing w:val="-1"/>
                        <w:sz w:val="20"/>
                      </w:rPr>
                      <w:t>EB-2022-0043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106"/>
    <w:multiLevelType w:val="hybridMultilevel"/>
    <w:tmpl w:val="8F16BAA4"/>
    <w:lvl w:ilvl="0" w:tplc="C4D250A6">
      <w:start w:val="1"/>
      <w:numFmt w:val="decimal"/>
      <w:lvlText w:val="%1."/>
      <w:lvlJc w:val="left"/>
      <w:pPr>
        <w:ind w:left="820" w:hanging="360"/>
        <w:jc w:val="left"/>
      </w:pPr>
      <w:rPr>
        <w:rFonts w:ascii="Arial" w:eastAsia="Arial" w:hAnsi="Arial" w:cs="Arial" w:hint="default"/>
        <w:spacing w:val="-4"/>
        <w:w w:val="99"/>
        <w:sz w:val="24"/>
        <w:szCs w:val="24"/>
        <w:lang w:val="en-US" w:eastAsia="en-US" w:bidi="en-US"/>
      </w:rPr>
    </w:lvl>
    <w:lvl w:ilvl="1" w:tplc="8B18A430">
      <w:start w:val="1"/>
      <w:numFmt w:val="lowerLetter"/>
      <w:lvlText w:val="%2)"/>
      <w:lvlJc w:val="left"/>
      <w:pPr>
        <w:ind w:left="1180" w:hanging="360"/>
        <w:jc w:val="left"/>
      </w:pPr>
      <w:rPr>
        <w:rFonts w:ascii="Arial" w:eastAsia="Arial" w:hAnsi="Arial" w:cs="Arial" w:hint="default"/>
        <w:w w:val="99"/>
        <w:sz w:val="24"/>
        <w:szCs w:val="24"/>
        <w:lang w:val="en-US" w:eastAsia="en-US" w:bidi="en-US"/>
      </w:rPr>
    </w:lvl>
    <w:lvl w:ilvl="2" w:tplc="68446B50">
      <w:numFmt w:val="bullet"/>
      <w:lvlText w:val="•"/>
      <w:lvlJc w:val="left"/>
      <w:pPr>
        <w:ind w:left="2113" w:hanging="360"/>
      </w:pPr>
      <w:rPr>
        <w:rFonts w:hint="default"/>
        <w:lang w:val="en-US" w:eastAsia="en-US" w:bidi="en-US"/>
      </w:rPr>
    </w:lvl>
    <w:lvl w:ilvl="3" w:tplc="47DAEB4E">
      <w:numFmt w:val="bullet"/>
      <w:lvlText w:val="•"/>
      <w:lvlJc w:val="left"/>
      <w:pPr>
        <w:ind w:left="3046" w:hanging="360"/>
      </w:pPr>
      <w:rPr>
        <w:rFonts w:hint="default"/>
        <w:lang w:val="en-US" w:eastAsia="en-US" w:bidi="en-US"/>
      </w:rPr>
    </w:lvl>
    <w:lvl w:ilvl="4" w:tplc="94805CEC">
      <w:numFmt w:val="bullet"/>
      <w:lvlText w:val="•"/>
      <w:lvlJc w:val="left"/>
      <w:pPr>
        <w:ind w:left="3980" w:hanging="360"/>
      </w:pPr>
      <w:rPr>
        <w:rFonts w:hint="default"/>
        <w:lang w:val="en-US" w:eastAsia="en-US" w:bidi="en-US"/>
      </w:rPr>
    </w:lvl>
    <w:lvl w:ilvl="5" w:tplc="4BB241A8">
      <w:numFmt w:val="bullet"/>
      <w:lvlText w:val="•"/>
      <w:lvlJc w:val="left"/>
      <w:pPr>
        <w:ind w:left="4913" w:hanging="360"/>
      </w:pPr>
      <w:rPr>
        <w:rFonts w:hint="default"/>
        <w:lang w:val="en-US" w:eastAsia="en-US" w:bidi="en-US"/>
      </w:rPr>
    </w:lvl>
    <w:lvl w:ilvl="6" w:tplc="2E9EB0D6">
      <w:numFmt w:val="bullet"/>
      <w:lvlText w:val="•"/>
      <w:lvlJc w:val="left"/>
      <w:pPr>
        <w:ind w:left="5846" w:hanging="360"/>
      </w:pPr>
      <w:rPr>
        <w:rFonts w:hint="default"/>
        <w:lang w:val="en-US" w:eastAsia="en-US" w:bidi="en-US"/>
      </w:rPr>
    </w:lvl>
    <w:lvl w:ilvl="7" w:tplc="9ADC6044">
      <w:numFmt w:val="bullet"/>
      <w:lvlText w:val="•"/>
      <w:lvlJc w:val="left"/>
      <w:pPr>
        <w:ind w:left="6780" w:hanging="360"/>
      </w:pPr>
      <w:rPr>
        <w:rFonts w:hint="default"/>
        <w:lang w:val="en-US" w:eastAsia="en-US" w:bidi="en-US"/>
      </w:rPr>
    </w:lvl>
    <w:lvl w:ilvl="8" w:tplc="6F50B394">
      <w:numFmt w:val="bullet"/>
      <w:lvlText w:val="•"/>
      <w:lvlJc w:val="left"/>
      <w:pPr>
        <w:ind w:left="7713" w:hanging="360"/>
      </w:pPr>
      <w:rPr>
        <w:rFonts w:hint="default"/>
        <w:lang w:val="en-US" w:eastAsia="en-US" w:bidi="en-US"/>
      </w:rPr>
    </w:lvl>
  </w:abstractNum>
  <w:abstractNum w:abstractNumId="1" w15:restartNumberingAfterBreak="0">
    <w:nsid w:val="12381B9B"/>
    <w:multiLevelType w:val="hybridMultilevel"/>
    <w:tmpl w:val="380A4128"/>
    <w:lvl w:ilvl="0" w:tplc="2F54FA26">
      <w:start w:val="1"/>
      <w:numFmt w:val="lowerLetter"/>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 w15:restartNumberingAfterBreak="0">
    <w:nsid w:val="20A633E2"/>
    <w:multiLevelType w:val="hybridMultilevel"/>
    <w:tmpl w:val="8F005C08"/>
    <w:lvl w:ilvl="0" w:tplc="582C0830">
      <w:start w:val="1"/>
      <w:numFmt w:val="lowerLetter"/>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3" w15:restartNumberingAfterBreak="0">
    <w:nsid w:val="2B855790"/>
    <w:multiLevelType w:val="hybridMultilevel"/>
    <w:tmpl w:val="11962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46010A"/>
    <w:multiLevelType w:val="hybridMultilevel"/>
    <w:tmpl w:val="2114786A"/>
    <w:lvl w:ilvl="0" w:tplc="1C4E5C2A">
      <w:start w:val="1"/>
      <w:numFmt w:val="lowerLetter"/>
      <w:lvlText w:val="%1)"/>
      <w:lvlJc w:val="left"/>
      <w:pPr>
        <w:ind w:left="820" w:hanging="360"/>
        <w:jc w:val="left"/>
      </w:pPr>
      <w:rPr>
        <w:rFonts w:ascii="Arial" w:eastAsia="Arial" w:hAnsi="Arial" w:cs="Arial" w:hint="default"/>
        <w:w w:val="99"/>
        <w:sz w:val="24"/>
        <w:szCs w:val="24"/>
        <w:lang w:val="en-US" w:eastAsia="en-US" w:bidi="en-US"/>
      </w:rPr>
    </w:lvl>
    <w:lvl w:ilvl="1" w:tplc="3D9E567E">
      <w:numFmt w:val="bullet"/>
      <w:lvlText w:val="•"/>
      <w:lvlJc w:val="left"/>
      <w:pPr>
        <w:ind w:left="1696" w:hanging="360"/>
      </w:pPr>
      <w:rPr>
        <w:rFonts w:hint="default"/>
        <w:lang w:val="en-US" w:eastAsia="en-US" w:bidi="en-US"/>
      </w:rPr>
    </w:lvl>
    <w:lvl w:ilvl="2" w:tplc="B97A2DD4">
      <w:numFmt w:val="bullet"/>
      <w:lvlText w:val="•"/>
      <w:lvlJc w:val="left"/>
      <w:pPr>
        <w:ind w:left="2572" w:hanging="360"/>
      </w:pPr>
      <w:rPr>
        <w:rFonts w:hint="default"/>
        <w:lang w:val="en-US" w:eastAsia="en-US" w:bidi="en-US"/>
      </w:rPr>
    </w:lvl>
    <w:lvl w:ilvl="3" w:tplc="726AC88A">
      <w:numFmt w:val="bullet"/>
      <w:lvlText w:val="•"/>
      <w:lvlJc w:val="left"/>
      <w:pPr>
        <w:ind w:left="3448" w:hanging="360"/>
      </w:pPr>
      <w:rPr>
        <w:rFonts w:hint="default"/>
        <w:lang w:val="en-US" w:eastAsia="en-US" w:bidi="en-US"/>
      </w:rPr>
    </w:lvl>
    <w:lvl w:ilvl="4" w:tplc="0946FBAA">
      <w:numFmt w:val="bullet"/>
      <w:lvlText w:val="•"/>
      <w:lvlJc w:val="left"/>
      <w:pPr>
        <w:ind w:left="4324" w:hanging="360"/>
      </w:pPr>
      <w:rPr>
        <w:rFonts w:hint="default"/>
        <w:lang w:val="en-US" w:eastAsia="en-US" w:bidi="en-US"/>
      </w:rPr>
    </w:lvl>
    <w:lvl w:ilvl="5" w:tplc="6422E4DA">
      <w:numFmt w:val="bullet"/>
      <w:lvlText w:val="•"/>
      <w:lvlJc w:val="left"/>
      <w:pPr>
        <w:ind w:left="5200" w:hanging="360"/>
      </w:pPr>
      <w:rPr>
        <w:rFonts w:hint="default"/>
        <w:lang w:val="en-US" w:eastAsia="en-US" w:bidi="en-US"/>
      </w:rPr>
    </w:lvl>
    <w:lvl w:ilvl="6" w:tplc="44643F64">
      <w:numFmt w:val="bullet"/>
      <w:lvlText w:val="•"/>
      <w:lvlJc w:val="left"/>
      <w:pPr>
        <w:ind w:left="6076" w:hanging="360"/>
      </w:pPr>
      <w:rPr>
        <w:rFonts w:hint="default"/>
        <w:lang w:val="en-US" w:eastAsia="en-US" w:bidi="en-US"/>
      </w:rPr>
    </w:lvl>
    <w:lvl w:ilvl="7" w:tplc="5B02C2D8">
      <w:numFmt w:val="bullet"/>
      <w:lvlText w:val="•"/>
      <w:lvlJc w:val="left"/>
      <w:pPr>
        <w:ind w:left="6952" w:hanging="360"/>
      </w:pPr>
      <w:rPr>
        <w:rFonts w:hint="default"/>
        <w:lang w:val="en-US" w:eastAsia="en-US" w:bidi="en-US"/>
      </w:rPr>
    </w:lvl>
    <w:lvl w:ilvl="8" w:tplc="55389884">
      <w:numFmt w:val="bullet"/>
      <w:lvlText w:val="•"/>
      <w:lvlJc w:val="left"/>
      <w:pPr>
        <w:ind w:left="7828" w:hanging="360"/>
      </w:pPr>
      <w:rPr>
        <w:rFonts w:hint="default"/>
        <w:lang w:val="en-US" w:eastAsia="en-US" w:bidi="en-US"/>
      </w:rPr>
    </w:lvl>
  </w:abstractNum>
  <w:abstractNum w:abstractNumId="5" w15:restartNumberingAfterBreak="0">
    <w:nsid w:val="68043D3C"/>
    <w:multiLevelType w:val="hybridMultilevel"/>
    <w:tmpl w:val="C9FC5036"/>
    <w:lvl w:ilvl="0" w:tplc="B3E04420">
      <w:start w:val="1"/>
      <w:numFmt w:val="lowerLetter"/>
      <w:lvlText w:val="%1)"/>
      <w:lvlJc w:val="left"/>
      <w:pPr>
        <w:ind w:left="820" w:hanging="360"/>
        <w:jc w:val="left"/>
      </w:pPr>
      <w:rPr>
        <w:rFonts w:ascii="Arial" w:eastAsia="Arial" w:hAnsi="Arial" w:cs="Arial" w:hint="default"/>
        <w:w w:val="99"/>
        <w:sz w:val="24"/>
        <w:szCs w:val="24"/>
        <w:lang w:val="en-US" w:eastAsia="en-US" w:bidi="en-US"/>
      </w:rPr>
    </w:lvl>
    <w:lvl w:ilvl="1" w:tplc="E10E9C00">
      <w:numFmt w:val="bullet"/>
      <w:lvlText w:val="•"/>
      <w:lvlJc w:val="left"/>
      <w:pPr>
        <w:ind w:left="1696" w:hanging="360"/>
      </w:pPr>
      <w:rPr>
        <w:rFonts w:hint="default"/>
        <w:lang w:val="en-US" w:eastAsia="en-US" w:bidi="en-US"/>
      </w:rPr>
    </w:lvl>
    <w:lvl w:ilvl="2" w:tplc="12A45F24">
      <w:numFmt w:val="bullet"/>
      <w:lvlText w:val="•"/>
      <w:lvlJc w:val="left"/>
      <w:pPr>
        <w:ind w:left="2572" w:hanging="360"/>
      </w:pPr>
      <w:rPr>
        <w:rFonts w:hint="default"/>
        <w:lang w:val="en-US" w:eastAsia="en-US" w:bidi="en-US"/>
      </w:rPr>
    </w:lvl>
    <w:lvl w:ilvl="3" w:tplc="6A98B79A">
      <w:numFmt w:val="bullet"/>
      <w:lvlText w:val="•"/>
      <w:lvlJc w:val="left"/>
      <w:pPr>
        <w:ind w:left="3448" w:hanging="360"/>
      </w:pPr>
      <w:rPr>
        <w:rFonts w:hint="default"/>
        <w:lang w:val="en-US" w:eastAsia="en-US" w:bidi="en-US"/>
      </w:rPr>
    </w:lvl>
    <w:lvl w:ilvl="4" w:tplc="2F6A670C">
      <w:numFmt w:val="bullet"/>
      <w:lvlText w:val="•"/>
      <w:lvlJc w:val="left"/>
      <w:pPr>
        <w:ind w:left="4324" w:hanging="360"/>
      </w:pPr>
      <w:rPr>
        <w:rFonts w:hint="default"/>
        <w:lang w:val="en-US" w:eastAsia="en-US" w:bidi="en-US"/>
      </w:rPr>
    </w:lvl>
    <w:lvl w:ilvl="5" w:tplc="9B7213CE">
      <w:numFmt w:val="bullet"/>
      <w:lvlText w:val="•"/>
      <w:lvlJc w:val="left"/>
      <w:pPr>
        <w:ind w:left="5200" w:hanging="360"/>
      </w:pPr>
      <w:rPr>
        <w:rFonts w:hint="default"/>
        <w:lang w:val="en-US" w:eastAsia="en-US" w:bidi="en-US"/>
      </w:rPr>
    </w:lvl>
    <w:lvl w:ilvl="6" w:tplc="09705F2A">
      <w:numFmt w:val="bullet"/>
      <w:lvlText w:val="•"/>
      <w:lvlJc w:val="left"/>
      <w:pPr>
        <w:ind w:left="6076" w:hanging="360"/>
      </w:pPr>
      <w:rPr>
        <w:rFonts w:hint="default"/>
        <w:lang w:val="en-US" w:eastAsia="en-US" w:bidi="en-US"/>
      </w:rPr>
    </w:lvl>
    <w:lvl w:ilvl="7" w:tplc="3C2481AC">
      <w:numFmt w:val="bullet"/>
      <w:lvlText w:val="•"/>
      <w:lvlJc w:val="left"/>
      <w:pPr>
        <w:ind w:left="6952" w:hanging="360"/>
      </w:pPr>
      <w:rPr>
        <w:rFonts w:hint="default"/>
        <w:lang w:val="en-US" w:eastAsia="en-US" w:bidi="en-US"/>
      </w:rPr>
    </w:lvl>
    <w:lvl w:ilvl="8" w:tplc="45C63C36">
      <w:numFmt w:val="bullet"/>
      <w:lvlText w:val="•"/>
      <w:lvlJc w:val="left"/>
      <w:pPr>
        <w:ind w:left="7828" w:hanging="360"/>
      </w:pPr>
      <w:rPr>
        <w:rFonts w:hint="default"/>
        <w:lang w:val="en-US" w:eastAsia="en-US" w:bidi="en-US"/>
      </w:rPr>
    </w:lvl>
  </w:abstractNum>
  <w:abstractNum w:abstractNumId="6" w15:restartNumberingAfterBreak="0">
    <w:nsid w:val="6E546D18"/>
    <w:multiLevelType w:val="hybridMultilevel"/>
    <w:tmpl w:val="1D78070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7217F26"/>
    <w:multiLevelType w:val="hybridMultilevel"/>
    <w:tmpl w:val="75246A52"/>
    <w:lvl w:ilvl="0" w:tplc="EC04D510">
      <w:start w:val="1"/>
      <w:numFmt w:val="lowerLetter"/>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8" w15:restartNumberingAfterBreak="0">
    <w:nsid w:val="7C8724E0"/>
    <w:multiLevelType w:val="hybridMultilevel"/>
    <w:tmpl w:val="4CEC748A"/>
    <w:lvl w:ilvl="0" w:tplc="D2EE91C2">
      <w:start w:val="1"/>
      <w:numFmt w:val="lowerLetter"/>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num w:numId="1" w16cid:durableId="422067709">
    <w:abstractNumId w:val="0"/>
  </w:num>
  <w:num w:numId="2" w16cid:durableId="1609968883">
    <w:abstractNumId w:val="4"/>
  </w:num>
  <w:num w:numId="3" w16cid:durableId="1002778846">
    <w:abstractNumId w:val="5"/>
  </w:num>
  <w:num w:numId="4" w16cid:durableId="1308322679">
    <w:abstractNumId w:val="7"/>
  </w:num>
  <w:num w:numId="5" w16cid:durableId="1158611169">
    <w:abstractNumId w:val="8"/>
  </w:num>
  <w:num w:numId="6" w16cid:durableId="930547125">
    <w:abstractNumId w:val="1"/>
  </w:num>
  <w:num w:numId="7" w16cid:durableId="1448770715">
    <w:abstractNumId w:val="6"/>
  </w:num>
  <w:num w:numId="8" w16cid:durableId="1073698592">
    <w:abstractNumId w:val="3"/>
  </w:num>
  <w:num w:numId="9" w16cid:durableId="180808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6E"/>
    <w:rsid w:val="00014274"/>
    <w:rsid w:val="000A2248"/>
    <w:rsid w:val="000A39CE"/>
    <w:rsid w:val="00117C41"/>
    <w:rsid w:val="0013286B"/>
    <w:rsid w:val="00200324"/>
    <w:rsid w:val="00214248"/>
    <w:rsid w:val="002D7459"/>
    <w:rsid w:val="00300BA6"/>
    <w:rsid w:val="00310E0F"/>
    <w:rsid w:val="0032309F"/>
    <w:rsid w:val="003439D7"/>
    <w:rsid w:val="003B3C97"/>
    <w:rsid w:val="003C38E8"/>
    <w:rsid w:val="003E6BC2"/>
    <w:rsid w:val="0042301A"/>
    <w:rsid w:val="004B5803"/>
    <w:rsid w:val="004D4804"/>
    <w:rsid w:val="005C5B55"/>
    <w:rsid w:val="005C752F"/>
    <w:rsid w:val="0064166E"/>
    <w:rsid w:val="0068331A"/>
    <w:rsid w:val="00691398"/>
    <w:rsid w:val="00692F21"/>
    <w:rsid w:val="006C2D97"/>
    <w:rsid w:val="006D14D7"/>
    <w:rsid w:val="007274B7"/>
    <w:rsid w:val="00777658"/>
    <w:rsid w:val="007D47D5"/>
    <w:rsid w:val="0082114C"/>
    <w:rsid w:val="008469BC"/>
    <w:rsid w:val="008541D8"/>
    <w:rsid w:val="00892C28"/>
    <w:rsid w:val="008B23A9"/>
    <w:rsid w:val="008C2691"/>
    <w:rsid w:val="009A4D02"/>
    <w:rsid w:val="009D1E0B"/>
    <w:rsid w:val="00A00A20"/>
    <w:rsid w:val="00A56D76"/>
    <w:rsid w:val="00A702A3"/>
    <w:rsid w:val="00AF0640"/>
    <w:rsid w:val="00AF19E9"/>
    <w:rsid w:val="00B07BA2"/>
    <w:rsid w:val="00B73619"/>
    <w:rsid w:val="00B95E68"/>
    <w:rsid w:val="00C3209F"/>
    <w:rsid w:val="00C71ABB"/>
    <w:rsid w:val="00CD2737"/>
    <w:rsid w:val="00CE4903"/>
    <w:rsid w:val="00CF7CBF"/>
    <w:rsid w:val="00D315D0"/>
    <w:rsid w:val="00DC0F71"/>
    <w:rsid w:val="00E30459"/>
    <w:rsid w:val="00EA5DD7"/>
    <w:rsid w:val="00EC7481"/>
    <w:rsid w:val="00EF2FBF"/>
    <w:rsid w:val="00F12CD5"/>
    <w:rsid w:val="00F45AA9"/>
    <w:rsid w:val="00F611F0"/>
    <w:rsid w:val="00F841BF"/>
    <w:rsid w:val="00FD7E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550C5"/>
  <w15:docId w15:val="{FC1506A1-DD7A-475D-A750-761EA524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lli.Benincasa@oeb.ca"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9</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HP Inc.</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Laura Hampton</cp:lastModifiedBy>
  <cp:revision>15</cp:revision>
  <dcterms:created xsi:type="dcterms:W3CDTF">2022-10-12T16:02:00Z</dcterms:created>
  <dcterms:modified xsi:type="dcterms:W3CDTF">2022-10-13T12:13:00Z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for Microsoft 365</vt:lpwstr>
  </property>
  <property fmtid="{D5CDD505-2E9C-101B-9397-08002B2CF9AE}" pid="4" name="LastSaved">
    <vt:filetime>2022-09-28T00:00:00Z</vt:filetime>
  </property>
</Properties>
</file>