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2C8D" w14:textId="59DA8575" w:rsidR="009F388B" w:rsidRPr="007A4767" w:rsidRDefault="007A4767" w:rsidP="007A47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4767">
        <w:rPr>
          <w:rFonts w:ascii="Arial" w:hAnsi="Arial" w:cs="Arial"/>
          <w:b/>
          <w:bCs/>
          <w:sz w:val="28"/>
          <w:szCs w:val="28"/>
        </w:rPr>
        <w:t>Staff Questions</w:t>
      </w:r>
      <w:r w:rsidRPr="007A4767">
        <w:rPr>
          <w:rFonts w:ascii="Arial" w:hAnsi="Arial" w:cs="Arial"/>
          <w:b/>
          <w:bCs/>
          <w:sz w:val="28"/>
          <w:szCs w:val="28"/>
        </w:rPr>
        <w:br/>
      </w:r>
      <w:r w:rsidR="00500BC2" w:rsidRPr="007A4767">
        <w:rPr>
          <w:rFonts w:ascii="Arial" w:hAnsi="Arial" w:cs="Arial"/>
          <w:b/>
          <w:bCs/>
          <w:sz w:val="28"/>
          <w:szCs w:val="28"/>
        </w:rPr>
        <w:t>Enova</w:t>
      </w:r>
      <w:r w:rsidR="002F2926" w:rsidRPr="007A4767">
        <w:rPr>
          <w:rFonts w:ascii="Arial" w:hAnsi="Arial" w:cs="Arial"/>
          <w:b/>
          <w:bCs/>
          <w:sz w:val="28"/>
          <w:szCs w:val="28"/>
        </w:rPr>
        <w:t xml:space="preserve"> Power Corp.</w:t>
      </w:r>
      <w:r w:rsidR="00DF4F71" w:rsidRPr="007A476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A4767">
        <w:rPr>
          <w:rFonts w:ascii="Arial" w:hAnsi="Arial" w:cs="Arial"/>
          <w:b/>
          <w:bCs/>
          <w:sz w:val="28"/>
          <w:szCs w:val="28"/>
        </w:rPr>
        <w:br/>
        <w:t>EB-2022-0045</w:t>
      </w:r>
    </w:p>
    <w:p w14:paraId="6C1E9A1D" w14:textId="5E7D045C" w:rsidR="007A4767" w:rsidRDefault="007A4767" w:rsidP="007A4767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>
        <w:rPr>
          <w:rFonts w:ascii="Arial" w:eastAsia="Calibri" w:hAnsi="Arial" w:cs="Arial"/>
          <w:sz w:val="24"/>
          <w:szCs w:val="24"/>
        </w:rPr>
        <w:t>Enova Power Corp.</w:t>
      </w:r>
      <w:r w:rsidRPr="00E86F26">
        <w:rPr>
          <w:rFonts w:ascii="Arial" w:eastAsia="Calibri" w:hAnsi="Arial" w:cs="Arial"/>
          <w:sz w:val="24"/>
          <w:szCs w:val="24"/>
        </w:rPr>
        <w:t xml:space="preserve"> is responsible for ensuring that all documents it files with the </w:t>
      </w:r>
      <w:r w:rsidR="00D900A9">
        <w:rPr>
          <w:rFonts w:ascii="Arial" w:eastAsia="Calibri" w:hAnsi="Arial" w:cs="Arial"/>
          <w:sz w:val="24"/>
          <w:szCs w:val="24"/>
        </w:rPr>
        <w:t>Ontario Energy Board (</w:t>
      </w:r>
      <w:r w:rsidRPr="00E86F26">
        <w:rPr>
          <w:rFonts w:ascii="Arial" w:eastAsia="Calibri" w:hAnsi="Arial" w:cs="Arial"/>
          <w:sz w:val="24"/>
          <w:szCs w:val="24"/>
        </w:rPr>
        <w:t>OEB</w:t>
      </w:r>
      <w:r w:rsidR="00D900A9">
        <w:rPr>
          <w:rFonts w:ascii="Arial" w:eastAsia="Calibri" w:hAnsi="Arial" w:cs="Arial"/>
          <w:sz w:val="24"/>
          <w:szCs w:val="24"/>
        </w:rPr>
        <w:t>)</w:t>
      </w:r>
      <w:r w:rsidRPr="00E86F26">
        <w:rPr>
          <w:rFonts w:ascii="Arial" w:eastAsia="Calibri" w:hAnsi="Arial" w:cs="Arial"/>
          <w:sz w:val="24"/>
          <w:szCs w:val="24"/>
        </w:rPr>
        <w:t xml:space="preserve">, including responses to OEB staff </w:t>
      </w:r>
      <w:r>
        <w:rPr>
          <w:rFonts w:ascii="Arial" w:eastAsia="Calibri" w:hAnsi="Arial" w:cs="Arial"/>
          <w:sz w:val="24"/>
          <w:szCs w:val="24"/>
        </w:rPr>
        <w:t>interrogatories</w:t>
      </w:r>
      <w:r w:rsidRPr="00E86F26">
        <w:rPr>
          <w:rFonts w:ascii="Arial" w:eastAsia="Calibri" w:hAnsi="Arial" w:cs="Arial"/>
          <w:sz w:val="24"/>
          <w:szCs w:val="24"/>
        </w:rPr>
        <w:t xml:space="preserve"> and any other supporting documentation, do not include personal information (as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),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r w:rsidRPr="00E86F26">
        <w:rPr>
          <w:rFonts w:ascii="Arial" w:eastAsia="Calibri" w:hAnsi="Arial" w:cs="Arial"/>
          <w:sz w:val="24"/>
          <w:szCs w:val="24"/>
        </w:rPr>
        <w:t>.</w:t>
      </w:r>
    </w:p>
    <w:p w14:paraId="0BCAEA72" w14:textId="5154016D" w:rsidR="00BD3476" w:rsidRPr="00D3478E" w:rsidRDefault="007A4767" w:rsidP="00500BC2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sz w:val="24"/>
          <w:szCs w:val="24"/>
        </w:rPr>
      </w:pPr>
      <w:bookmarkStart w:id="1" w:name="_Hlk115173929"/>
      <w:r>
        <w:rPr>
          <w:rFonts w:ascii="Arial" w:eastAsia="Calibri" w:hAnsi="Arial" w:cs="Arial"/>
          <w:sz w:val="24"/>
          <w:szCs w:val="24"/>
        </w:rPr>
        <w:t>OEB staff is aware that Kitchener-Wilmot Hydro Inc.</w:t>
      </w:r>
      <w:r>
        <w:rPr>
          <w:rFonts w:ascii="Arial" w:eastAsia="Calibri" w:hAnsi="Arial" w:cs="Arial"/>
          <w:sz w:val="24"/>
          <w:szCs w:val="24"/>
        </w:rPr>
        <w:t xml:space="preserve"> and </w:t>
      </w:r>
      <w:r>
        <w:rPr>
          <w:rFonts w:ascii="Arial" w:eastAsia="Calibri" w:hAnsi="Arial" w:cs="Arial"/>
          <w:sz w:val="24"/>
          <w:szCs w:val="24"/>
        </w:rPr>
        <w:t>Waterloo North Hydro Inc. have amalgamated and incorporated under the name Enova Power Corp.</w:t>
      </w:r>
      <w:r>
        <w:rPr>
          <w:rStyle w:val="FootnoteReference"/>
          <w:rFonts w:ascii="Arial" w:eastAsia="Calibri" w:hAnsi="Arial" w:cs="Arial"/>
          <w:sz w:val="24"/>
          <w:szCs w:val="24"/>
        </w:rPr>
        <w:footnoteReference w:id="1"/>
      </w:r>
      <w:r>
        <w:rPr>
          <w:rFonts w:ascii="Arial" w:eastAsia="Calibri" w:hAnsi="Arial" w:cs="Arial"/>
          <w:sz w:val="24"/>
          <w:szCs w:val="24"/>
        </w:rPr>
        <w:t xml:space="preserve"> For the purposes of interrogatories, </w:t>
      </w:r>
      <w:r w:rsidR="00BD3476">
        <w:rPr>
          <w:rFonts w:ascii="Arial" w:eastAsia="Calibri" w:hAnsi="Arial" w:cs="Arial"/>
          <w:sz w:val="24"/>
          <w:szCs w:val="24"/>
        </w:rPr>
        <w:t>former Kitchener-Wilmot Hydro is referred to as Enova-Kitchener-Wilmot</w:t>
      </w:r>
      <w:r w:rsidR="00BD3476">
        <w:rPr>
          <w:rFonts w:ascii="Arial" w:eastAsia="Calibri" w:hAnsi="Arial" w:cs="Arial"/>
          <w:sz w:val="24"/>
          <w:szCs w:val="24"/>
        </w:rPr>
        <w:t xml:space="preserve"> and </w:t>
      </w:r>
      <w:r>
        <w:rPr>
          <w:rFonts w:ascii="Arial" w:eastAsia="Calibri" w:hAnsi="Arial" w:cs="Arial"/>
          <w:sz w:val="24"/>
          <w:szCs w:val="24"/>
        </w:rPr>
        <w:t>former Waterloo North Hydro Inc. is referred to as Enova-WNH.</w:t>
      </w:r>
      <w:bookmarkEnd w:id="0"/>
      <w:bookmarkEnd w:id="1"/>
      <w:r w:rsidR="00D3478E">
        <w:rPr>
          <w:rFonts w:ascii="Arial" w:eastAsia="Calibri" w:hAnsi="Arial" w:cs="Arial"/>
          <w:sz w:val="24"/>
          <w:szCs w:val="24"/>
        </w:rPr>
        <w:br/>
      </w:r>
    </w:p>
    <w:p w14:paraId="48C180B8" w14:textId="068A8988" w:rsidR="00BB2B71" w:rsidRDefault="00BB2B71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692BD3">
        <w:rPr>
          <w:rFonts w:ascii="Arial" w:hAnsi="Arial" w:cs="Arial"/>
          <w:b/>
          <w:bCs/>
          <w:sz w:val="24"/>
          <w:szCs w:val="24"/>
        </w:rPr>
        <w:t>Staff-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692BD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2D35B6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2D35B6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8" w:history="1">
        <w:r w:rsidRPr="00BB2B71">
          <w:rPr>
            <w:rStyle w:val="Hyperlink"/>
            <w:rFonts w:ascii="Arial" w:hAnsi="Arial" w:cs="Arial"/>
            <w:b/>
            <w:bCs/>
            <w:sz w:val="24"/>
            <w:szCs w:val="24"/>
          </w:rPr>
          <w:t>Enova</w:t>
        </w:r>
        <w:r w:rsidR="007A4767">
          <w:rPr>
            <w:rStyle w:val="Hyperlink"/>
            <w:rFonts w:ascii="Arial" w:hAnsi="Arial" w:cs="Arial"/>
            <w:b/>
            <w:bCs/>
            <w:sz w:val="24"/>
            <w:szCs w:val="24"/>
          </w:rPr>
          <w:t>-Kitchener-Wilmot</w:t>
        </w:r>
        <w:r w:rsidRPr="00BB2B71">
          <w:rPr>
            <w:rStyle w:val="Hyperlink"/>
            <w:rFonts w:ascii="Arial" w:hAnsi="Arial" w:cs="Arial"/>
            <w:b/>
            <w:bCs/>
            <w:sz w:val="24"/>
            <w:szCs w:val="24"/>
          </w:rPr>
          <w:t>’s response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to Staff-8 (September 23, 2022)</w:t>
      </w:r>
      <w:r>
        <w:rPr>
          <w:rFonts w:ascii="Arial" w:hAnsi="Arial" w:cs="Arial"/>
          <w:b/>
          <w:bCs/>
          <w:sz w:val="24"/>
          <w:szCs w:val="24"/>
        </w:rPr>
        <w:br/>
        <w:t xml:space="preserve">Ref 2: </w:t>
      </w:r>
      <w:r w:rsidRPr="00BB2B71">
        <w:rPr>
          <w:rFonts w:ascii="Arial" w:hAnsi="Arial" w:cs="Arial"/>
          <w:b/>
          <w:bCs/>
          <w:sz w:val="24"/>
          <w:szCs w:val="24"/>
        </w:rPr>
        <w:t>GA Analysis Workform, tab GA 2021, Note 4</w:t>
      </w:r>
      <w:r w:rsidR="00995808">
        <w:rPr>
          <w:rFonts w:ascii="Arial" w:hAnsi="Arial" w:cs="Arial"/>
          <w:b/>
          <w:bCs/>
          <w:sz w:val="24"/>
          <w:szCs w:val="24"/>
        </w:rPr>
        <w:t xml:space="preserve"> (September 23, 2022)</w:t>
      </w:r>
    </w:p>
    <w:p w14:paraId="3ECAC173" w14:textId="77777777" w:rsidR="00BB2B71" w:rsidRDefault="00BB2B71" w:rsidP="00BB2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Preamble: </w:t>
      </w:r>
    </w:p>
    <w:p w14:paraId="763BE873" w14:textId="1B730BED" w:rsidR="00BB2B71" w:rsidRDefault="009F388B" w:rsidP="00BB2B7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response to Staff-8 (Reference 1)</w:t>
      </w:r>
      <w:r w:rsidR="00BB2B71">
        <w:rPr>
          <w:rFonts w:ascii="Arial" w:hAnsi="Arial" w:cs="Arial"/>
          <w:sz w:val="24"/>
          <w:szCs w:val="24"/>
        </w:rPr>
        <w:t>, Enova</w:t>
      </w:r>
      <w:r w:rsidR="007A4767">
        <w:rPr>
          <w:rFonts w:ascii="Arial" w:hAnsi="Arial" w:cs="Arial"/>
          <w:sz w:val="24"/>
          <w:szCs w:val="24"/>
        </w:rPr>
        <w:t xml:space="preserve">-Kitchener-Wilmot </w:t>
      </w:r>
      <w:r>
        <w:rPr>
          <w:rFonts w:ascii="Arial" w:hAnsi="Arial" w:cs="Arial"/>
          <w:sz w:val="24"/>
          <w:szCs w:val="24"/>
        </w:rPr>
        <w:t xml:space="preserve">did not fill out the </w:t>
      </w:r>
      <w:r w:rsidR="005E5DEB">
        <w:rPr>
          <w:rFonts w:ascii="Arial" w:hAnsi="Arial" w:cs="Arial"/>
          <w:sz w:val="24"/>
          <w:szCs w:val="24"/>
        </w:rPr>
        <w:t xml:space="preserve">expected </w:t>
      </w:r>
      <w:r>
        <w:rPr>
          <w:rFonts w:ascii="Arial" w:hAnsi="Arial" w:cs="Arial"/>
          <w:sz w:val="24"/>
          <w:szCs w:val="24"/>
        </w:rPr>
        <w:t>volume variance table provided in the GA Analysis Workform (Reference 2)</w:t>
      </w:r>
      <w:r w:rsidR="005E5DEB">
        <w:rPr>
          <w:rFonts w:ascii="Arial" w:hAnsi="Arial" w:cs="Arial"/>
          <w:sz w:val="24"/>
          <w:szCs w:val="24"/>
        </w:rPr>
        <w:t xml:space="preserve"> in which the Account 1589 balance is compared to</w:t>
      </w:r>
      <w:r>
        <w:rPr>
          <w:rFonts w:ascii="Arial" w:hAnsi="Arial" w:cs="Arial"/>
          <w:sz w:val="24"/>
          <w:szCs w:val="24"/>
        </w:rPr>
        <w:t xml:space="preserve">. </w:t>
      </w:r>
      <w:r w:rsidR="005E5DEB">
        <w:rPr>
          <w:rFonts w:ascii="Arial" w:hAnsi="Arial" w:cs="Arial"/>
          <w:sz w:val="24"/>
          <w:szCs w:val="24"/>
        </w:rPr>
        <w:t xml:space="preserve">The expected volume variance is typically not expected to be significant as it represents the unaccounted for energy in Account 1589. </w:t>
      </w:r>
      <w:r w:rsidR="007A4767">
        <w:rPr>
          <w:rFonts w:ascii="Arial" w:hAnsi="Arial" w:cs="Arial"/>
          <w:sz w:val="24"/>
          <w:szCs w:val="24"/>
        </w:rPr>
        <w:t>Enova-Kitchener-Wilmot</w:t>
      </w:r>
      <w:r>
        <w:rPr>
          <w:rFonts w:ascii="Arial" w:hAnsi="Arial" w:cs="Arial"/>
          <w:sz w:val="24"/>
          <w:szCs w:val="24"/>
        </w:rPr>
        <w:t xml:space="preserve"> </w:t>
      </w:r>
      <w:r w:rsidR="00AF5124">
        <w:rPr>
          <w:rFonts w:ascii="Arial" w:hAnsi="Arial" w:cs="Arial"/>
          <w:sz w:val="24"/>
          <w:szCs w:val="24"/>
        </w:rPr>
        <w:t>explained</w:t>
      </w:r>
      <w:r w:rsidR="00995808">
        <w:rPr>
          <w:rFonts w:ascii="Arial" w:hAnsi="Arial" w:cs="Arial"/>
          <w:sz w:val="24"/>
          <w:szCs w:val="24"/>
        </w:rPr>
        <w:t xml:space="preserve"> </w:t>
      </w:r>
      <w:r w:rsidR="00AF5124">
        <w:rPr>
          <w:rFonts w:ascii="Arial" w:hAnsi="Arial" w:cs="Arial"/>
          <w:sz w:val="24"/>
          <w:szCs w:val="24"/>
        </w:rPr>
        <w:t xml:space="preserve">its </w:t>
      </w:r>
      <w:r w:rsidR="00995808">
        <w:rPr>
          <w:rFonts w:ascii="Arial" w:hAnsi="Arial" w:cs="Arial"/>
          <w:sz w:val="24"/>
          <w:szCs w:val="24"/>
        </w:rPr>
        <w:t>methodology</w:t>
      </w:r>
      <w:r w:rsidR="00AF5124">
        <w:rPr>
          <w:rFonts w:ascii="Arial" w:hAnsi="Arial" w:cs="Arial"/>
          <w:sz w:val="24"/>
          <w:szCs w:val="24"/>
        </w:rPr>
        <w:t xml:space="preserve"> on how the CT 148 true-up of GA Charges are calculated</w:t>
      </w:r>
      <w:r w:rsidR="00BB2B71">
        <w:rPr>
          <w:rFonts w:ascii="Arial" w:hAnsi="Arial" w:cs="Arial"/>
          <w:sz w:val="24"/>
          <w:szCs w:val="24"/>
        </w:rPr>
        <w:t xml:space="preserve">. </w:t>
      </w:r>
    </w:p>
    <w:p w14:paraId="797E9FD3" w14:textId="3C646F69" w:rsidR="00BB2B71" w:rsidRDefault="00BB2B71" w:rsidP="00BB2B7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</w:t>
      </w:r>
      <w:r w:rsidR="0099580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14:paraId="5CDF71F3" w14:textId="5496FED5" w:rsidR="00995808" w:rsidRDefault="00BB2B71" w:rsidP="00BB2B7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</w:t>
      </w:r>
      <w:r w:rsidR="007A4767">
        <w:rPr>
          <w:rFonts w:ascii="Arial" w:hAnsi="Arial" w:cs="Arial"/>
          <w:sz w:val="24"/>
          <w:szCs w:val="24"/>
        </w:rPr>
        <w:t>Enova-Kitchener-Wilmot</w:t>
      </w:r>
      <w:r w:rsidR="005E5DEB">
        <w:rPr>
          <w:rFonts w:ascii="Arial" w:hAnsi="Arial" w:cs="Arial"/>
          <w:sz w:val="24"/>
          <w:szCs w:val="24"/>
        </w:rPr>
        <w:t xml:space="preserve"> believes the balance in Account 1589 to be accurate</w:t>
      </w:r>
      <w:r w:rsidR="00995808">
        <w:rPr>
          <w:rFonts w:ascii="Arial" w:hAnsi="Arial" w:cs="Arial"/>
          <w:sz w:val="24"/>
          <w:szCs w:val="24"/>
        </w:rPr>
        <w:t>.</w:t>
      </w:r>
      <w:r w:rsidR="005E5DEB">
        <w:rPr>
          <w:rFonts w:ascii="Arial" w:hAnsi="Arial" w:cs="Arial"/>
          <w:sz w:val="24"/>
          <w:szCs w:val="24"/>
        </w:rPr>
        <w:t xml:space="preserve"> Please discuss any checks Enova</w:t>
      </w:r>
      <w:r w:rsidR="000E11EC">
        <w:rPr>
          <w:rFonts w:ascii="Arial" w:hAnsi="Arial" w:cs="Arial"/>
          <w:sz w:val="24"/>
          <w:szCs w:val="24"/>
        </w:rPr>
        <w:t xml:space="preserve"> Power</w:t>
      </w:r>
      <w:r w:rsidR="005E5DEB">
        <w:rPr>
          <w:rFonts w:ascii="Arial" w:hAnsi="Arial" w:cs="Arial"/>
          <w:sz w:val="24"/>
          <w:szCs w:val="24"/>
        </w:rPr>
        <w:t xml:space="preserve"> has performed on the Account 1589 balance.</w:t>
      </w:r>
    </w:p>
    <w:p w14:paraId="5FA65CBE" w14:textId="74EB104A" w:rsidR="00BD3476" w:rsidRDefault="005E5DEB" w:rsidP="00500B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that </w:t>
      </w:r>
      <w:r w:rsidR="007A4767">
        <w:rPr>
          <w:rFonts w:ascii="Arial" w:hAnsi="Arial" w:cs="Arial"/>
          <w:sz w:val="24"/>
          <w:szCs w:val="24"/>
        </w:rPr>
        <w:t>Enova-Kitchener-Wilmot</w:t>
      </w:r>
      <w:r w:rsidR="000E11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commits to determining the expected volume variance in the GA Analysis Workform going forward in its next rate application.</w:t>
      </w:r>
      <w:r w:rsidR="00BB2B71">
        <w:rPr>
          <w:rFonts w:ascii="Arial" w:hAnsi="Arial" w:cs="Arial"/>
          <w:sz w:val="24"/>
          <w:szCs w:val="24"/>
        </w:rPr>
        <w:t xml:space="preserve"> </w:t>
      </w:r>
    </w:p>
    <w:p w14:paraId="78DCE5BC" w14:textId="3329F0C3" w:rsidR="00D3478E" w:rsidRDefault="00D3478E" w:rsidP="00D3478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6B06308B" w14:textId="67813E2D" w:rsidR="00D3478E" w:rsidRDefault="00D3478E" w:rsidP="00D3478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643B43F3" w14:textId="50AAA7EE" w:rsidR="00D3478E" w:rsidRDefault="00D3478E" w:rsidP="00D3478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7ED389CF" w14:textId="77777777" w:rsidR="00353DE9" w:rsidRDefault="00353DE9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57A0D9E1" w14:textId="1EF6D845" w:rsidR="00500BC2" w:rsidRPr="009849CF" w:rsidRDefault="00500BC2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692BD3">
        <w:rPr>
          <w:rFonts w:ascii="Arial" w:hAnsi="Arial" w:cs="Arial"/>
          <w:b/>
          <w:bCs/>
          <w:sz w:val="24"/>
          <w:szCs w:val="24"/>
        </w:rPr>
        <w:t>Staff-</w:t>
      </w:r>
      <w:r w:rsidR="00BB2B71">
        <w:rPr>
          <w:rFonts w:ascii="Arial" w:hAnsi="Arial" w:cs="Arial"/>
          <w:b/>
          <w:bCs/>
          <w:sz w:val="24"/>
          <w:szCs w:val="24"/>
        </w:rPr>
        <w:t>2</w:t>
      </w:r>
      <w:r w:rsidRPr="00692BD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353DE9">
        <w:rPr>
          <w:rFonts w:ascii="Arial" w:hAnsi="Arial" w:cs="Arial"/>
          <w:b/>
          <w:bCs/>
          <w:sz w:val="24"/>
          <w:szCs w:val="24"/>
        </w:rPr>
        <w:br/>
      </w:r>
      <w:r w:rsidRPr="002D35B6">
        <w:rPr>
          <w:rFonts w:ascii="Arial" w:hAnsi="Arial" w:cs="Arial"/>
          <w:b/>
          <w:bCs/>
          <w:sz w:val="24"/>
          <w:szCs w:val="24"/>
        </w:rPr>
        <w:t>Ref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Pr="002D35B6">
        <w:rPr>
          <w:rFonts w:ascii="Arial" w:hAnsi="Arial" w:cs="Arial"/>
          <w:b/>
          <w:bCs/>
          <w:sz w:val="24"/>
          <w:szCs w:val="24"/>
        </w:rPr>
        <w:t xml:space="preserve">: </w:t>
      </w:r>
      <w:r w:rsidR="00D900A9">
        <w:rPr>
          <w:rFonts w:ascii="Arial" w:hAnsi="Arial" w:cs="Arial"/>
          <w:b/>
          <w:bCs/>
          <w:sz w:val="24"/>
          <w:szCs w:val="24"/>
        </w:rPr>
        <w:t xml:space="preserve">2023 </w:t>
      </w:r>
      <w:r>
        <w:rPr>
          <w:rFonts w:ascii="Arial" w:hAnsi="Arial" w:cs="Arial"/>
          <w:b/>
          <w:bCs/>
          <w:sz w:val="24"/>
          <w:szCs w:val="24"/>
        </w:rPr>
        <w:t>Rate Generator Model, Tab 3. Continuity Schedule</w:t>
      </w:r>
      <w:r w:rsidR="00DF4F71">
        <w:rPr>
          <w:rFonts w:ascii="Arial" w:hAnsi="Arial" w:cs="Arial"/>
          <w:b/>
          <w:bCs/>
          <w:sz w:val="24"/>
          <w:szCs w:val="24"/>
        </w:rPr>
        <w:t xml:space="preserve"> </w:t>
      </w:r>
      <w:r w:rsidR="00EF6DD7">
        <w:rPr>
          <w:rFonts w:ascii="Arial" w:hAnsi="Arial" w:cs="Arial"/>
          <w:b/>
          <w:bCs/>
          <w:sz w:val="24"/>
          <w:szCs w:val="24"/>
        </w:rPr>
        <w:t>(EB-2022-0045)</w:t>
      </w:r>
      <w:r>
        <w:rPr>
          <w:rFonts w:ascii="Arial" w:hAnsi="Arial" w:cs="Arial"/>
          <w:b/>
          <w:bCs/>
          <w:sz w:val="24"/>
          <w:szCs w:val="24"/>
        </w:rPr>
        <w:br/>
        <w:t xml:space="preserve">Ref 2: </w:t>
      </w:r>
      <w:r w:rsidR="00D900A9">
        <w:rPr>
          <w:rFonts w:ascii="Arial" w:hAnsi="Arial" w:cs="Arial"/>
          <w:b/>
          <w:bCs/>
          <w:sz w:val="24"/>
          <w:szCs w:val="24"/>
        </w:rPr>
        <w:t xml:space="preserve">2022 </w:t>
      </w:r>
      <w:hyperlink r:id="rId9" w:history="1">
        <w:r w:rsidRPr="00EF6DD7">
          <w:rPr>
            <w:rStyle w:val="Hyperlink"/>
            <w:rFonts w:ascii="Arial" w:hAnsi="Arial" w:cs="Arial"/>
            <w:b/>
            <w:bCs/>
            <w:sz w:val="24"/>
            <w:szCs w:val="24"/>
          </w:rPr>
          <w:t>Rate Generato</w:t>
        </w:r>
        <w:r w:rsidRPr="00EF6DD7">
          <w:rPr>
            <w:rStyle w:val="Hyperlink"/>
            <w:rFonts w:ascii="Arial" w:hAnsi="Arial" w:cs="Arial"/>
            <w:b/>
            <w:bCs/>
            <w:sz w:val="24"/>
            <w:szCs w:val="24"/>
          </w:rPr>
          <w:t>r</w:t>
        </w:r>
        <w:r w:rsidRPr="00EF6DD7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 Model</w:t>
        </w:r>
      </w:hyperlink>
      <w:r w:rsidR="00EF6DD7">
        <w:rPr>
          <w:rFonts w:ascii="Arial" w:hAnsi="Arial" w:cs="Arial"/>
          <w:b/>
          <w:bCs/>
          <w:sz w:val="24"/>
          <w:szCs w:val="24"/>
        </w:rPr>
        <w:t>,</w:t>
      </w:r>
      <w:r w:rsidR="00DF4F71">
        <w:rPr>
          <w:rFonts w:ascii="Arial" w:hAnsi="Arial" w:cs="Arial"/>
          <w:b/>
          <w:bCs/>
          <w:sz w:val="24"/>
          <w:szCs w:val="24"/>
        </w:rPr>
        <w:t xml:space="preserve"> Tab 3. Continuity Schedule</w:t>
      </w:r>
      <w:r w:rsidR="00EF6DD7">
        <w:rPr>
          <w:rFonts w:ascii="Arial" w:hAnsi="Arial" w:cs="Arial"/>
          <w:b/>
          <w:bCs/>
          <w:sz w:val="24"/>
          <w:szCs w:val="24"/>
        </w:rPr>
        <w:t xml:space="preserve"> (</w:t>
      </w:r>
      <w:r w:rsidR="0077158F">
        <w:rPr>
          <w:rFonts w:ascii="Arial" w:hAnsi="Arial" w:cs="Arial"/>
          <w:b/>
          <w:bCs/>
          <w:sz w:val="24"/>
          <w:szCs w:val="24"/>
        </w:rPr>
        <w:t>Decision and Rate Order, EB-2021-0038</w:t>
      </w:r>
      <w:r w:rsidR="00EF6DD7">
        <w:rPr>
          <w:rFonts w:ascii="Arial" w:hAnsi="Arial" w:cs="Arial"/>
          <w:b/>
          <w:bCs/>
          <w:sz w:val="24"/>
          <w:szCs w:val="24"/>
        </w:rPr>
        <w:t>)</w:t>
      </w:r>
    </w:p>
    <w:p w14:paraId="50D37C02" w14:textId="77777777" w:rsidR="00500BC2" w:rsidRDefault="00500BC2" w:rsidP="00500B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Preamble: </w:t>
      </w:r>
    </w:p>
    <w:p w14:paraId="0FFDB1BB" w14:textId="021EA29D" w:rsidR="00DF4F71" w:rsidRDefault="00DF4F71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Reference 2, </w:t>
      </w:r>
      <w:r w:rsidR="007A4767">
        <w:rPr>
          <w:rFonts w:ascii="Arial" w:hAnsi="Arial" w:cs="Arial"/>
          <w:sz w:val="24"/>
          <w:szCs w:val="24"/>
        </w:rPr>
        <w:t>Enova-Kitchener-Wilmot</w:t>
      </w:r>
      <w:r>
        <w:rPr>
          <w:rFonts w:ascii="Arial" w:hAnsi="Arial" w:cs="Arial"/>
          <w:sz w:val="24"/>
          <w:szCs w:val="24"/>
        </w:rPr>
        <w:t xml:space="preserve"> recorded the Closing Principal Balance as of December 31, 2020 Adjusted for Disposition during 202</w:t>
      </w:r>
      <w:r w:rsidR="00984D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in Account 1580 </w:t>
      </w:r>
      <w:r w:rsidR="00984DDB">
        <w:rPr>
          <w:rFonts w:ascii="Arial" w:hAnsi="Arial" w:cs="Arial"/>
          <w:sz w:val="24"/>
          <w:szCs w:val="24"/>
        </w:rPr>
        <w:t xml:space="preserve">RSVA-Wholesale Market Service Charge </w:t>
      </w:r>
      <w:r>
        <w:rPr>
          <w:rFonts w:ascii="Arial" w:hAnsi="Arial" w:cs="Arial"/>
          <w:sz w:val="24"/>
          <w:szCs w:val="24"/>
        </w:rPr>
        <w:t xml:space="preserve">of </w:t>
      </w:r>
      <w:r w:rsidRPr="00DF4F7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$</w:t>
      </w:r>
      <w:r w:rsidRPr="00DF4F71">
        <w:rPr>
          <w:rFonts w:ascii="Arial" w:hAnsi="Arial" w:cs="Arial"/>
          <w:sz w:val="24"/>
          <w:szCs w:val="24"/>
        </w:rPr>
        <w:t>941,678)</w:t>
      </w:r>
      <w:r>
        <w:rPr>
          <w:rFonts w:ascii="Arial" w:hAnsi="Arial" w:cs="Arial"/>
          <w:sz w:val="24"/>
          <w:szCs w:val="24"/>
        </w:rPr>
        <w:t xml:space="preserve">. In Reference 1, </w:t>
      </w:r>
      <w:r w:rsidR="007A4767">
        <w:rPr>
          <w:rFonts w:ascii="Arial" w:hAnsi="Arial" w:cs="Arial"/>
          <w:sz w:val="24"/>
          <w:szCs w:val="24"/>
        </w:rPr>
        <w:t>Enova-Kitchener-Wilmot</w:t>
      </w:r>
      <w:r>
        <w:rPr>
          <w:rFonts w:ascii="Arial" w:hAnsi="Arial" w:cs="Arial"/>
          <w:sz w:val="24"/>
          <w:szCs w:val="24"/>
        </w:rPr>
        <w:t xml:space="preserve"> recorded a Closing Principal Balance as of December 31, 2020 Adjusted for Disposition during 2022 in Account 1580 of $</w:t>
      </w:r>
      <w:r w:rsidRPr="00DF4F71">
        <w:rPr>
          <w:rFonts w:ascii="Arial" w:hAnsi="Arial" w:cs="Arial"/>
          <w:sz w:val="24"/>
          <w:szCs w:val="24"/>
        </w:rPr>
        <w:t>1,449,272</w:t>
      </w:r>
      <w:r>
        <w:rPr>
          <w:rFonts w:ascii="Arial" w:hAnsi="Arial" w:cs="Arial"/>
          <w:sz w:val="24"/>
          <w:szCs w:val="24"/>
        </w:rPr>
        <w:t xml:space="preserve">. Staff notes </w:t>
      </w:r>
      <w:r w:rsidR="0077158F">
        <w:rPr>
          <w:rFonts w:ascii="Arial" w:hAnsi="Arial" w:cs="Arial"/>
          <w:sz w:val="24"/>
          <w:szCs w:val="24"/>
        </w:rPr>
        <w:t xml:space="preserve">that there is </w:t>
      </w:r>
      <w:r>
        <w:rPr>
          <w:rFonts w:ascii="Arial" w:hAnsi="Arial" w:cs="Arial"/>
          <w:sz w:val="24"/>
          <w:szCs w:val="24"/>
        </w:rPr>
        <w:t xml:space="preserve">a significant increase in the proposed balance in </w:t>
      </w:r>
      <w:r w:rsidR="00984DDB">
        <w:rPr>
          <w:rFonts w:ascii="Arial" w:hAnsi="Arial" w:cs="Arial"/>
          <w:sz w:val="24"/>
          <w:szCs w:val="24"/>
        </w:rPr>
        <w:t>same account from 2021 to 2022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771EA35" w14:textId="61020250" w:rsidR="00EF6DD7" w:rsidRPr="009849CF" w:rsidRDefault="00EF6DD7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Reference 2, </w:t>
      </w:r>
      <w:r w:rsidR="007A4767">
        <w:rPr>
          <w:rFonts w:ascii="Arial" w:hAnsi="Arial" w:cs="Arial"/>
          <w:sz w:val="24"/>
          <w:szCs w:val="24"/>
        </w:rPr>
        <w:t>Enova-Kitchener-Wilmot</w:t>
      </w:r>
      <w:r>
        <w:rPr>
          <w:rFonts w:ascii="Arial" w:hAnsi="Arial" w:cs="Arial"/>
          <w:sz w:val="24"/>
          <w:szCs w:val="24"/>
        </w:rPr>
        <w:t xml:space="preserve"> recorded the Closing Principal Balance as of December 31, 2020 Adjusted for Disposition during 202</w:t>
      </w:r>
      <w:r w:rsidR="00984D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in Account 1584 </w:t>
      </w:r>
      <w:r w:rsidR="00984DDB" w:rsidRPr="00500BC2">
        <w:rPr>
          <w:rFonts w:ascii="Arial" w:hAnsi="Arial" w:cs="Arial"/>
          <w:sz w:val="24"/>
          <w:szCs w:val="24"/>
        </w:rPr>
        <w:t>RSVA – Retail Transmission Network Charge</w:t>
      </w:r>
      <w:r w:rsidR="00984D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Pr="00500BC2">
        <w:rPr>
          <w:rFonts w:ascii="Arial" w:hAnsi="Arial" w:cs="Arial"/>
          <w:sz w:val="24"/>
          <w:szCs w:val="24"/>
        </w:rPr>
        <w:t>$6,393,599</w:t>
      </w:r>
      <w:r>
        <w:rPr>
          <w:rFonts w:ascii="Arial" w:hAnsi="Arial" w:cs="Arial"/>
          <w:sz w:val="24"/>
          <w:szCs w:val="24"/>
        </w:rPr>
        <w:t xml:space="preserve">. In Reference 1, </w:t>
      </w:r>
      <w:r w:rsidR="007A4767">
        <w:rPr>
          <w:rFonts w:ascii="Arial" w:hAnsi="Arial" w:cs="Arial"/>
          <w:sz w:val="24"/>
          <w:szCs w:val="24"/>
        </w:rPr>
        <w:t>Enova-Kitchener-Wilmot</w:t>
      </w:r>
      <w:r>
        <w:rPr>
          <w:rFonts w:ascii="Arial" w:hAnsi="Arial" w:cs="Arial"/>
          <w:sz w:val="24"/>
          <w:szCs w:val="24"/>
        </w:rPr>
        <w:t xml:space="preserve"> recorded a Closing Principal Balance as of December 31, 2020 Adjusted for Disposition during 2022 in Account 1584 of $</w:t>
      </w:r>
      <w:r w:rsidRPr="00500BC2">
        <w:rPr>
          <w:rFonts w:ascii="Arial" w:hAnsi="Arial" w:cs="Arial"/>
          <w:sz w:val="24"/>
          <w:szCs w:val="24"/>
        </w:rPr>
        <w:t>2,300,582</w:t>
      </w:r>
      <w:r>
        <w:rPr>
          <w:rFonts w:ascii="Arial" w:hAnsi="Arial" w:cs="Arial"/>
          <w:sz w:val="24"/>
          <w:szCs w:val="24"/>
        </w:rPr>
        <w:t xml:space="preserve">. Staff notes </w:t>
      </w:r>
      <w:r w:rsidR="0077158F">
        <w:rPr>
          <w:rFonts w:ascii="Arial" w:hAnsi="Arial" w:cs="Arial"/>
          <w:sz w:val="24"/>
          <w:szCs w:val="24"/>
        </w:rPr>
        <w:t xml:space="preserve">that there is </w:t>
      </w:r>
      <w:r>
        <w:rPr>
          <w:rFonts w:ascii="Arial" w:hAnsi="Arial" w:cs="Arial"/>
          <w:sz w:val="24"/>
          <w:szCs w:val="24"/>
        </w:rPr>
        <w:t xml:space="preserve">a significant decrease in the proposed balance in </w:t>
      </w:r>
      <w:r w:rsidR="00984DDB">
        <w:rPr>
          <w:rFonts w:ascii="Arial" w:hAnsi="Arial" w:cs="Arial"/>
          <w:sz w:val="24"/>
          <w:szCs w:val="24"/>
        </w:rPr>
        <w:t>the same account from 2021 to 2022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DA1A7CE" w14:textId="77777777" w:rsidR="00500BC2" w:rsidRDefault="00500BC2" w:rsidP="00500BC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9849CF">
        <w:rPr>
          <w:rFonts w:ascii="Arial" w:hAnsi="Arial" w:cs="Arial"/>
          <w:sz w:val="24"/>
          <w:szCs w:val="24"/>
        </w:rPr>
        <w:t>Questions:</w:t>
      </w:r>
    </w:p>
    <w:p w14:paraId="61C5799C" w14:textId="68B56076" w:rsidR="00DF4F71" w:rsidRDefault="00500BC2" w:rsidP="00500B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DF4F71">
        <w:rPr>
          <w:rFonts w:ascii="Arial" w:hAnsi="Arial" w:cs="Arial"/>
          <w:sz w:val="24"/>
          <w:szCs w:val="24"/>
        </w:rPr>
        <w:t xml:space="preserve">explain the factors that have resulted in a substantial </w:t>
      </w:r>
      <w:r w:rsidR="00EF6DD7">
        <w:rPr>
          <w:rFonts w:ascii="Arial" w:hAnsi="Arial" w:cs="Arial"/>
          <w:sz w:val="24"/>
          <w:szCs w:val="24"/>
        </w:rPr>
        <w:t xml:space="preserve">increase in the </w:t>
      </w:r>
      <w:r w:rsidR="00DF4F71">
        <w:rPr>
          <w:rFonts w:ascii="Arial" w:hAnsi="Arial" w:cs="Arial"/>
          <w:sz w:val="24"/>
          <w:szCs w:val="24"/>
        </w:rPr>
        <w:t>proposed balance</w:t>
      </w:r>
      <w:r w:rsidR="00EF6DD7">
        <w:rPr>
          <w:rFonts w:ascii="Arial" w:hAnsi="Arial" w:cs="Arial"/>
          <w:sz w:val="24"/>
          <w:szCs w:val="24"/>
        </w:rPr>
        <w:t xml:space="preserve"> in Account 1580 RSVA – Wholesale Market Service Charge from a credit of ($941,678) in this proceeding compared to a debit of $</w:t>
      </w:r>
      <w:r w:rsidR="00EF6DD7" w:rsidRPr="00500BC2">
        <w:rPr>
          <w:rFonts w:ascii="Arial" w:hAnsi="Arial" w:cs="Arial"/>
          <w:sz w:val="24"/>
          <w:szCs w:val="24"/>
        </w:rPr>
        <w:t>1,449,272</w:t>
      </w:r>
      <w:r w:rsidR="00EF6DD7">
        <w:rPr>
          <w:rFonts w:ascii="Arial" w:hAnsi="Arial" w:cs="Arial"/>
          <w:sz w:val="24"/>
          <w:szCs w:val="24"/>
        </w:rPr>
        <w:t xml:space="preserve"> in the 2022 IRM Application.  </w:t>
      </w:r>
    </w:p>
    <w:p w14:paraId="0884D89B" w14:textId="140DA417" w:rsidR="00500BC2" w:rsidRPr="00500BC2" w:rsidRDefault="00500BC2" w:rsidP="00500BC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500BC2">
        <w:rPr>
          <w:rFonts w:ascii="Arial" w:hAnsi="Arial" w:cs="Arial"/>
          <w:sz w:val="24"/>
          <w:szCs w:val="24"/>
        </w:rPr>
        <w:t xml:space="preserve">Please explain </w:t>
      </w:r>
      <w:r w:rsidR="00EF6DD7">
        <w:rPr>
          <w:rFonts w:ascii="Arial" w:hAnsi="Arial" w:cs="Arial"/>
          <w:sz w:val="24"/>
          <w:szCs w:val="24"/>
        </w:rPr>
        <w:t xml:space="preserve">the factors that have resulted in a substantial decline in the proposed balance in Account 1584 </w:t>
      </w:r>
      <w:r w:rsidR="00EF6DD7" w:rsidRPr="00500BC2">
        <w:rPr>
          <w:rFonts w:ascii="Arial" w:hAnsi="Arial" w:cs="Arial"/>
          <w:sz w:val="24"/>
          <w:szCs w:val="24"/>
        </w:rPr>
        <w:t>RSVA – Retail Transmission Network Charge</w:t>
      </w:r>
      <w:r w:rsidR="00EF6DD7">
        <w:rPr>
          <w:rFonts w:ascii="Arial" w:hAnsi="Arial" w:cs="Arial"/>
          <w:sz w:val="24"/>
          <w:szCs w:val="24"/>
        </w:rPr>
        <w:t xml:space="preserve"> from a debit of </w:t>
      </w:r>
      <w:r w:rsidR="00EF6DD7" w:rsidRPr="00500BC2">
        <w:rPr>
          <w:rFonts w:ascii="Arial" w:hAnsi="Arial" w:cs="Arial"/>
          <w:sz w:val="24"/>
          <w:szCs w:val="24"/>
        </w:rPr>
        <w:t>$6,393,599</w:t>
      </w:r>
      <w:r w:rsidR="00EF6DD7">
        <w:rPr>
          <w:rFonts w:ascii="Arial" w:hAnsi="Arial" w:cs="Arial"/>
          <w:sz w:val="24"/>
          <w:szCs w:val="24"/>
        </w:rPr>
        <w:t xml:space="preserve"> in this proceeding compared to a debit of $</w:t>
      </w:r>
      <w:r w:rsidR="00EF6DD7" w:rsidRPr="00500BC2">
        <w:rPr>
          <w:rFonts w:ascii="Arial" w:hAnsi="Arial" w:cs="Arial"/>
          <w:sz w:val="24"/>
          <w:szCs w:val="24"/>
        </w:rPr>
        <w:t>2,300,582</w:t>
      </w:r>
      <w:r w:rsidR="00EF6DD7">
        <w:rPr>
          <w:rFonts w:ascii="Arial" w:hAnsi="Arial" w:cs="Arial"/>
          <w:sz w:val="24"/>
          <w:szCs w:val="24"/>
        </w:rPr>
        <w:t xml:space="preserve"> in the 2022 IRM Application.  </w:t>
      </w:r>
    </w:p>
    <w:p w14:paraId="6876DED3" w14:textId="5E48BE1F" w:rsidR="00500BC2" w:rsidRDefault="00A81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98996F1" w14:textId="77777777" w:rsidR="00A81600" w:rsidRPr="00500BC2" w:rsidRDefault="00A81600">
      <w:pPr>
        <w:rPr>
          <w:rFonts w:ascii="Arial" w:hAnsi="Arial" w:cs="Arial"/>
          <w:sz w:val="24"/>
          <w:szCs w:val="24"/>
        </w:rPr>
      </w:pPr>
    </w:p>
    <w:sectPr w:rsidR="00A81600" w:rsidRPr="00500BC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9CB6" w14:textId="77777777" w:rsidR="00500BC2" w:rsidRDefault="00500BC2" w:rsidP="00500BC2">
      <w:pPr>
        <w:spacing w:after="0" w:line="240" w:lineRule="auto"/>
      </w:pPr>
      <w:r>
        <w:separator/>
      </w:r>
    </w:p>
  </w:endnote>
  <w:endnote w:type="continuationSeparator" w:id="0">
    <w:p w14:paraId="462D6C4F" w14:textId="77777777" w:rsidR="00500BC2" w:rsidRDefault="00500BC2" w:rsidP="0050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062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BD06" w14:textId="6879D48C" w:rsidR="00BD3476" w:rsidRDefault="00BD3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DCED6" w14:textId="77777777" w:rsidR="00BD3476" w:rsidRDefault="00BD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C98C" w14:textId="77777777" w:rsidR="00500BC2" w:rsidRDefault="00500BC2" w:rsidP="00500BC2">
      <w:pPr>
        <w:spacing w:after="0" w:line="240" w:lineRule="auto"/>
      </w:pPr>
      <w:r>
        <w:separator/>
      </w:r>
    </w:p>
  </w:footnote>
  <w:footnote w:type="continuationSeparator" w:id="0">
    <w:p w14:paraId="3F357AB5" w14:textId="77777777" w:rsidR="00500BC2" w:rsidRDefault="00500BC2" w:rsidP="00500BC2">
      <w:pPr>
        <w:spacing w:after="0" w:line="240" w:lineRule="auto"/>
      </w:pPr>
      <w:r>
        <w:continuationSeparator/>
      </w:r>
    </w:p>
  </w:footnote>
  <w:footnote w:id="1">
    <w:p w14:paraId="61B58F11" w14:textId="77777777" w:rsidR="007A4767" w:rsidRPr="00946650" w:rsidRDefault="007A4767" w:rsidP="007A4767">
      <w:pPr>
        <w:pStyle w:val="FootnoteText"/>
        <w:rPr>
          <w:rFonts w:ascii="Arial" w:hAnsi="Arial" w:cs="Arial"/>
        </w:rPr>
      </w:pPr>
      <w:r w:rsidRPr="00946650">
        <w:rPr>
          <w:rStyle w:val="FootnoteReference"/>
          <w:rFonts w:ascii="Arial" w:hAnsi="Arial" w:cs="Arial"/>
        </w:rPr>
        <w:footnoteRef/>
      </w:r>
      <w:r w:rsidRPr="00946650">
        <w:rPr>
          <w:rFonts w:ascii="Arial" w:hAnsi="Arial" w:cs="Arial"/>
        </w:rPr>
        <w:t xml:space="preserve"> EB-2022-0006, OEB Letter, September 14, 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876CB"/>
    <w:multiLevelType w:val="hybridMultilevel"/>
    <w:tmpl w:val="EF926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B0860"/>
    <w:multiLevelType w:val="hybridMultilevel"/>
    <w:tmpl w:val="8DAA5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46252"/>
    <w:multiLevelType w:val="hybridMultilevel"/>
    <w:tmpl w:val="170A5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C2"/>
    <w:rsid w:val="000E11EC"/>
    <w:rsid w:val="00173C23"/>
    <w:rsid w:val="00195EA9"/>
    <w:rsid w:val="001D646B"/>
    <w:rsid w:val="002F2926"/>
    <w:rsid w:val="00353DE9"/>
    <w:rsid w:val="004252D3"/>
    <w:rsid w:val="00500BC2"/>
    <w:rsid w:val="0056251A"/>
    <w:rsid w:val="005E5DEB"/>
    <w:rsid w:val="00676DD5"/>
    <w:rsid w:val="00687957"/>
    <w:rsid w:val="0077158F"/>
    <w:rsid w:val="007A4767"/>
    <w:rsid w:val="00885B78"/>
    <w:rsid w:val="008C3371"/>
    <w:rsid w:val="00984DDB"/>
    <w:rsid w:val="00995808"/>
    <w:rsid w:val="009F388B"/>
    <w:rsid w:val="00A81600"/>
    <w:rsid w:val="00AF5124"/>
    <w:rsid w:val="00BB2B71"/>
    <w:rsid w:val="00BD3476"/>
    <w:rsid w:val="00D3478E"/>
    <w:rsid w:val="00D900A9"/>
    <w:rsid w:val="00DF4F71"/>
    <w:rsid w:val="00EF6DD7"/>
    <w:rsid w:val="00F0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23A1"/>
  <w15:chartTrackingRefBased/>
  <w15:docId w15:val="{9FC526F3-66E7-4AB4-A200-C5DC09D3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0B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B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0B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5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F7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5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2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D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76"/>
  </w:style>
  <w:style w:type="paragraph" w:styleId="Footer">
    <w:name w:val="footer"/>
    <w:basedOn w:val="Normal"/>
    <w:link w:val="FooterChar"/>
    <w:uiPriority w:val="99"/>
    <w:unhideWhenUsed/>
    <w:rsid w:val="00BD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s.oeb.ca/CMWebDrawer/Record/756747/File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ds.oeb.ca/CMWebDrawer/Record/735780/File/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4568-91AA-4FB1-8D28-70BDCED0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Narisa Jotiban</cp:lastModifiedBy>
  <cp:revision>11</cp:revision>
  <dcterms:created xsi:type="dcterms:W3CDTF">2022-10-11T15:42:00Z</dcterms:created>
  <dcterms:modified xsi:type="dcterms:W3CDTF">2022-10-11T16:33:00Z</dcterms:modified>
</cp:coreProperties>
</file>