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B4E0" w14:textId="2903FA3F" w:rsidR="00630E83" w:rsidRPr="00630E83" w:rsidRDefault="00630E83" w:rsidP="00630E83">
      <w:pPr>
        <w:spacing w:after="0" w:line="240" w:lineRule="auto"/>
        <w:jc w:val="center"/>
        <w:rPr>
          <w:b/>
          <w:bCs/>
          <w:sz w:val="28"/>
          <w:szCs w:val="28"/>
        </w:rPr>
      </w:pPr>
      <w:r w:rsidRPr="00630E83">
        <w:rPr>
          <w:b/>
          <w:bCs/>
          <w:sz w:val="28"/>
          <w:szCs w:val="28"/>
        </w:rPr>
        <w:t>Algoma Power Inc. (API)</w:t>
      </w:r>
    </w:p>
    <w:p w14:paraId="10CDAD1F" w14:textId="0685466A" w:rsidR="00630E83" w:rsidRPr="00630E83" w:rsidRDefault="00630E83" w:rsidP="00630E83">
      <w:pPr>
        <w:spacing w:after="0" w:line="240" w:lineRule="auto"/>
        <w:jc w:val="center"/>
        <w:rPr>
          <w:b/>
          <w:bCs/>
          <w:sz w:val="28"/>
          <w:szCs w:val="28"/>
        </w:rPr>
      </w:pPr>
      <w:r w:rsidRPr="00630E83">
        <w:rPr>
          <w:b/>
          <w:bCs/>
          <w:sz w:val="28"/>
          <w:szCs w:val="28"/>
        </w:rPr>
        <w:t>Staff Questions</w:t>
      </w:r>
    </w:p>
    <w:p w14:paraId="41EAFFD1" w14:textId="633E48FE" w:rsidR="00630E83" w:rsidRDefault="00630E83" w:rsidP="00630E83">
      <w:pPr>
        <w:spacing w:after="0" w:line="240" w:lineRule="auto"/>
        <w:rPr>
          <w:b/>
          <w:bCs/>
        </w:rPr>
      </w:pPr>
    </w:p>
    <w:p w14:paraId="67832272" w14:textId="2CF25097" w:rsidR="00630E83" w:rsidRDefault="00630E83" w:rsidP="00630E83">
      <w:pPr>
        <w:spacing w:after="0" w:line="240" w:lineRule="auto"/>
        <w:rPr>
          <w:b/>
          <w:bCs/>
        </w:rPr>
      </w:pPr>
      <w:r>
        <w:t>Please note, Algoma Power Inc.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p w14:paraId="5CB65ACE" w14:textId="77777777" w:rsidR="00630E83" w:rsidRDefault="00630E83" w:rsidP="00630E83">
      <w:pPr>
        <w:spacing w:after="0" w:line="240" w:lineRule="auto"/>
        <w:rPr>
          <w:b/>
          <w:bCs/>
        </w:rPr>
      </w:pPr>
    </w:p>
    <w:p w14:paraId="1479FEA8" w14:textId="7562F5CD" w:rsidR="00E07980" w:rsidRDefault="00E07980" w:rsidP="008F3AF3">
      <w:pPr>
        <w:rPr>
          <w:b/>
          <w:bCs/>
        </w:rPr>
      </w:pPr>
      <w:r>
        <w:rPr>
          <w:b/>
          <w:bCs/>
        </w:rPr>
        <w:t>Question 1</w:t>
      </w:r>
    </w:p>
    <w:p w14:paraId="04BB29B0" w14:textId="2C069B21" w:rsidR="008F3AF3" w:rsidRDefault="008F3AF3" w:rsidP="008F3AF3">
      <w:pPr>
        <w:rPr>
          <w:b/>
          <w:bCs/>
        </w:rPr>
      </w:pPr>
      <w:r>
        <w:rPr>
          <w:b/>
          <w:bCs/>
        </w:rPr>
        <w:t>Ref: LRAMVA Workform, Tab 1, LRAMVA Summary, Table 1(c)</w:t>
      </w:r>
    </w:p>
    <w:p w14:paraId="65103D57" w14:textId="52FC9B9E" w:rsidR="008F3AF3" w:rsidRPr="00EF7DF8" w:rsidRDefault="008F3AF3" w:rsidP="008F3AF3">
      <w:r w:rsidRPr="00EF7DF8">
        <w:t>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w:t>
      </w:r>
    </w:p>
    <w:p w14:paraId="2633D540" w14:textId="758B40CC" w:rsidR="008F3AF3" w:rsidRPr="008C5067" w:rsidRDefault="008F3AF3" w:rsidP="008C5067">
      <w:pPr>
        <w:pStyle w:val="ListParagraph"/>
        <w:numPr>
          <w:ilvl w:val="0"/>
          <w:numId w:val="2"/>
        </w:numPr>
      </w:pPr>
      <w:r w:rsidRPr="008C5067">
        <w:t xml:space="preserve">Please confirm that </w:t>
      </w:r>
      <w:r w:rsidR="00630E83">
        <w:t>API</w:t>
      </w:r>
      <w:r w:rsidRPr="008C5067">
        <w:t xml:space="preserve"> will not be seeking to dispose of any balance in the LRAMVA due to LRAM-eligible CDM activities funded by the IESO through the Conservation First Framework or Interim Framework in a future year’s application. </w:t>
      </w:r>
    </w:p>
    <w:p w14:paraId="2D88BEAF" w14:textId="62271F59" w:rsidR="008F3AF3" w:rsidRPr="008C5067" w:rsidRDefault="008F3AF3" w:rsidP="008C5067">
      <w:pPr>
        <w:pStyle w:val="ListParagraph"/>
        <w:numPr>
          <w:ilvl w:val="1"/>
          <w:numId w:val="2"/>
        </w:numPr>
      </w:pPr>
      <w:r w:rsidRPr="008C5067">
        <w:t>If not confirmed, please explain why a request for disposition was not submitted as part of this application.</w:t>
      </w:r>
    </w:p>
    <w:p w14:paraId="3760A407" w14:textId="02EC41B7" w:rsidR="008F3AF3" w:rsidRPr="008C5067" w:rsidRDefault="008F3AF3" w:rsidP="008F3AF3">
      <w:pPr>
        <w:numPr>
          <w:ilvl w:val="1"/>
          <w:numId w:val="2"/>
        </w:numPr>
      </w:pPr>
      <w:r w:rsidRPr="00EF7DF8">
        <w:t xml:space="preserve">If confirmed, please also confirm that </w:t>
      </w:r>
      <w:r w:rsidR="00630E83">
        <w:t>API</w:t>
      </w:r>
      <w:r w:rsidRPr="00EF7DF8">
        <w:t xml:space="preserve"> has verified that, relative to the LRAMVA threshold (if any) established in </w:t>
      </w:r>
      <w:r w:rsidR="00630E83">
        <w:t>API’s</w:t>
      </w:r>
      <w:r w:rsidRPr="00EF7DF8">
        <w:t xml:space="preserve"> most recent rebasing application, the balance in the LRAMVA, and any prospective LRAM-eligible amounts until the next rebasing, are either zero or a debit (i.e., not a credit that would need to be refunded to customers). </w:t>
      </w:r>
    </w:p>
    <w:p w14:paraId="5BAB2C21" w14:textId="7518D840" w:rsidR="00BC0EBE" w:rsidRDefault="00BC0EBE" w:rsidP="008F3AF3">
      <w:pPr>
        <w:rPr>
          <w:b/>
          <w:bCs/>
        </w:rPr>
      </w:pPr>
    </w:p>
    <w:p w14:paraId="046FD0D5" w14:textId="77777777" w:rsidR="00401749" w:rsidRDefault="00401749" w:rsidP="00401749">
      <w:pPr>
        <w:rPr>
          <w:b/>
          <w:bCs/>
        </w:rPr>
      </w:pPr>
      <w:r>
        <w:rPr>
          <w:b/>
          <w:bCs/>
        </w:rPr>
        <w:t xml:space="preserve">Response: </w:t>
      </w:r>
    </w:p>
    <w:p w14:paraId="46AD4C33" w14:textId="323CEE07" w:rsidR="0093485C" w:rsidRPr="00401749" w:rsidRDefault="00401749" w:rsidP="00401749">
      <w:pPr>
        <w:pStyle w:val="ListParagraph"/>
        <w:numPr>
          <w:ilvl w:val="0"/>
          <w:numId w:val="14"/>
        </w:numPr>
      </w:pPr>
      <w:r w:rsidRPr="00401749">
        <w:t>API confirms it will not be seeking to dispose in a future year of any balance in the LRAMVA due to CFF or Interim Framework programs</w:t>
      </w:r>
      <w:r w:rsidR="008923E1">
        <w:t>, following the updated disposition outlined with these responses</w:t>
      </w:r>
      <w:r w:rsidRPr="00401749">
        <w:t>.</w:t>
      </w:r>
    </w:p>
    <w:p w14:paraId="46F17D4E" w14:textId="0182F5D3" w:rsidR="00401749" w:rsidRDefault="00401749" w:rsidP="00401749">
      <w:pPr>
        <w:pStyle w:val="ListParagraph"/>
        <w:numPr>
          <w:ilvl w:val="1"/>
          <w:numId w:val="14"/>
        </w:numPr>
      </w:pPr>
      <w:r>
        <w:t>N/A</w:t>
      </w:r>
    </w:p>
    <w:p w14:paraId="181D5860" w14:textId="10031E52" w:rsidR="00401749" w:rsidRPr="00401749" w:rsidRDefault="00401749" w:rsidP="00401749">
      <w:pPr>
        <w:pStyle w:val="ListParagraph"/>
        <w:numPr>
          <w:ilvl w:val="1"/>
          <w:numId w:val="14"/>
        </w:numPr>
      </w:pPr>
      <w:r>
        <w:t xml:space="preserve">Please see the updated LRAMVA amount included with Attachment A. API confirms that the most recent an applicable LRAMVA baselines have been </w:t>
      </w:r>
      <w:r w:rsidR="008923E1">
        <w:t>used in the calculations</w:t>
      </w:r>
      <w:r w:rsidR="00F46BA7">
        <w:t xml:space="preserve"> (being the 2015 and 2020 baselines)</w:t>
      </w:r>
      <w:r w:rsidR="008923E1">
        <w:t>.</w:t>
      </w:r>
      <w:r w:rsidR="004E08F7">
        <w:t xml:space="preserve"> Please refer to the response to Question 7 for an outline of the updates made to the LRAMVA disposition request. </w:t>
      </w:r>
    </w:p>
    <w:p w14:paraId="6DFFE5A8" w14:textId="77777777" w:rsidR="00401749" w:rsidRDefault="00401749">
      <w:pPr>
        <w:rPr>
          <w:b/>
          <w:bCs/>
        </w:rPr>
      </w:pPr>
      <w:r w:rsidRPr="00401749">
        <w:br w:type="page"/>
      </w:r>
    </w:p>
    <w:p w14:paraId="552CFA66" w14:textId="6867B7B7" w:rsidR="00E07980" w:rsidRDefault="00E07980" w:rsidP="008F3AF3">
      <w:pPr>
        <w:rPr>
          <w:b/>
          <w:bCs/>
        </w:rPr>
      </w:pPr>
      <w:r>
        <w:rPr>
          <w:b/>
          <w:bCs/>
        </w:rPr>
        <w:lastRenderedPageBreak/>
        <w:t>Question 2</w:t>
      </w:r>
    </w:p>
    <w:p w14:paraId="413C8679" w14:textId="67AD7A31" w:rsidR="00BC0EBE" w:rsidRDefault="00BC0EBE" w:rsidP="008F3AF3">
      <w:pPr>
        <w:rPr>
          <w:b/>
          <w:bCs/>
        </w:rPr>
      </w:pPr>
      <w:r>
        <w:rPr>
          <w:b/>
          <w:bCs/>
        </w:rPr>
        <w:t>Ref: LRAMVA Workform, Tab 2, LRAMVA Threshold, Table 2(c)</w:t>
      </w:r>
    </w:p>
    <w:p w14:paraId="05358511" w14:textId="432F4FB4" w:rsidR="00BC0EBE" w:rsidRPr="00357AE7" w:rsidRDefault="00BC0EBE" w:rsidP="008F3AF3">
      <w:r w:rsidRPr="00357AE7">
        <w:t xml:space="preserve">Please discuss why the LRAMVA threshold established in 2015 has not been carried forward through to </w:t>
      </w:r>
      <w:r w:rsidR="00357AE7" w:rsidRPr="00357AE7">
        <w:t>2027.</w:t>
      </w:r>
      <w:r w:rsidR="00357AE7">
        <w:t xml:space="preserve"> </w:t>
      </w:r>
      <w:r w:rsidR="00E07980">
        <w:t xml:space="preserve">Please update, consistent with your response to Question 1 above regarding disposition of </w:t>
      </w:r>
      <w:r w:rsidR="008C5067">
        <w:t xml:space="preserve">future </w:t>
      </w:r>
      <w:r w:rsidR="00E07980">
        <w:t>amounts in 2022 to 2027.</w:t>
      </w:r>
      <w:r w:rsidR="008C5067">
        <w:t xml:space="preserve"> </w:t>
      </w:r>
    </w:p>
    <w:p w14:paraId="34B4C924" w14:textId="1A144749" w:rsidR="0093485C" w:rsidRDefault="0093485C" w:rsidP="008F3AF3">
      <w:pPr>
        <w:rPr>
          <w:b/>
          <w:bCs/>
        </w:rPr>
      </w:pPr>
      <w:r>
        <w:rPr>
          <w:b/>
          <w:bCs/>
        </w:rPr>
        <w:t xml:space="preserve">Response: </w:t>
      </w:r>
    </w:p>
    <w:p w14:paraId="71E3566C" w14:textId="222318C2" w:rsidR="0093485C" w:rsidRPr="0093485C" w:rsidRDefault="0093485C" w:rsidP="008F3AF3">
      <w:r>
        <w:t>API has determined that both the 2015 and 2020 LRAMVA thresholds apply during the period eligible for disposition. Please see the summary of the LRAMVA threshold applicability in the table below:</w:t>
      </w:r>
    </w:p>
    <w:p w14:paraId="09B2969E" w14:textId="750EB240" w:rsidR="00630E83" w:rsidRDefault="0093485C" w:rsidP="008F3AF3">
      <w:pPr>
        <w:rPr>
          <w:b/>
          <w:bCs/>
        </w:rPr>
      </w:pPr>
      <w:r w:rsidRPr="0093485C">
        <w:rPr>
          <w:noProof/>
        </w:rPr>
        <w:drawing>
          <wp:inline distT="0" distB="0" distL="0" distR="0" wp14:anchorId="56DC4E43" wp14:editId="657282BE">
            <wp:extent cx="5943600" cy="1264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64285"/>
                    </a:xfrm>
                    <a:prstGeom prst="rect">
                      <a:avLst/>
                    </a:prstGeom>
                    <a:noFill/>
                    <a:ln>
                      <a:noFill/>
                    </a:ln>
                  </pic:spPr>
                </pic:pic>
              </a:graphicData>
            </a:graphic>
          </wp:inline>
        </w:drawing>
      </w:r>
    </w:p>
    <w:p w14:paraId="5236D059" w14:textId="77777777" w:rsidR="0093485C" w:rsidRDefault="0093485C" w:rsidP="008F3AF3">
      <w:r>
        <w:t xml:space="preserve">As API’s next scheduled rebasing is for January 1, 2025 rates, API has only included the years 2018-2024 in the model. These updates have been made in the LRAMVA model submitted as Attachment A. </w:t>
      </w:r>
    </w:p>
    <w:p w14:paraId="4FD92B6C" w14:textId="78EA5E76" w:rsidR="0093485C" w:rsidRPr="0093485C" w:rsidRDefault="0093485C" w:rsidP="008F3AF3">
      <w:r>
        <w:t xml:space="preserve"> </w:t>
      </w:r>
    </w:p>
    <w:p w14:paraId="3BF19C30" w14:textId="77777777" w:rsidR="00630E83" w:rsidRDefault="00630E83" w:rsidP="008F3AF3">
      <w:pPr>
        <w:rPr>
          <w:b/>
          <w:bCs/>
        </w:rPr>
      </w:pPr>
    </w:p>
    <w:p w14:paraId="3F3A37F7" w14:textId="77777777" w:rsidR="00630E83" w:rsidRDefault="00630E83" w:rsidP="008F3AF3">
      <w:pPr>
        <w:rPr>
          <w:b/>
          <w:bCs/>
        </w:rPr>
      </w:pPr>
    </w:p>
    <w:p w14:paraId="3D9135CB" w14:textId="77777777" w:rsidR="008923E1" w:rsidRDefault="008923E1">
      <w:pPr>
        <w:rPr>
          <w:b/>
          <w:bCs/>
        </w:rPr>
      </w:pPr>
      <w:r>
        <w:rPr>
          <w:b/>
          <w:bCs/>
        </w:rPr>
        <w:br w:type="page"/>
      </w:r>
    </w:p>
    <w:p w14:paraId="49CF44A5" w14:textId="14E558ED" w:rsidR="00E07980" w:rsidRDefault="00E07980" w:rsidP="008F3AF3">
      <w:pPr>
        <w:rPr>
          <w:b/>
          <w:bCs/>
        </w:rPr>
      </w:pPr>
      <w:r>
        <w:rPr>
          <w:b/>
          <w:bCs/>
        </w:rPr>
        <w:lastRenderedPageBreak/>
        <w:t>Question 3</w:t>
      </w:r>
    </w:p>
    <w:p w14:paraId="4D080462" w14:textId="1D6BC0C7" w:rsidR="008F3AF3" w:rsidRDefault="008F3AF3" w:rsidP="008F3AF3">
      <w:r w:rsidRPr="008F3AF3">
        <w:rPr>
          <w:b/>
          <w:bCs/>
        </w:rPr>
        <w:t xml:space="preserve">Ref: LRAMVA Workform, Tab 5, </w:t>
      </w:r>
      <w:r>
        <w:rPr>
          <w:b/>
          <w:bCs/>
        </w:rPr>
        <w:t>Tables 5(d)-5(e), Persisting Savings</w:t>
      </w:r>
    </w:p>
    <w:p w14:paraId="01F22D1D" w14:textId="2A3CB409" w:rsidR="008F3AF3" w:rsidRDefault="008F3AF3" w:rsidP="008F3AF3">
      <w:r>
        <w:t xml:space="preserve">Persisting savings from program implementation years are expected to be </w:t>
      </w:r>
      <w:r w:rsidR="00E07980">
        <w:t>input</w:t>
      </w:r>
      <w:r>
        <w:t xml:space="preserve"> up to and including the year that the distributor is requesting approval of the LRAMVA balance.</w:t>
      </w:r>
    </w:p>
    <w:p w14:paraId="479CF9D8" w14:textId="16C15D3B" w:rsidR="008F3AF3" w:rsidRDefault="008F3AF3" w:rsidP="00E07980">
      <w:pPr>
        <w:pStyle w:val="ListParagraph"/>
        <w:numPr>
          <w:ilvl w:val="0"/>
          <w:numId w:val="10"/>
        </w:numPr>
      </w:pPr>
      <w:r>
        <w:t>Please explain why persisting savings have not been included for the following program years:</w:t>
      </w:r>
    </w:p>
    <w:p w14:paraId="6C29AFEE" w14:textId="70507BFD" w:rsidR="008F3AF3" w:rsidRDefault="008F3AF3" w:rsidP="008F3AF3">
      <w:pPr>
        <w:pStyle w:val="ListParagraph"/>
        <w:numPr>
          <w:ilvl w:val="0"/>
          <w:numId w:val="5"/>
        </w:numPr>
      </w:pPr>
      <w:r>
        <w:t>2018-2020 programs savings persisting into 2021 to 2027</w:t>
      </w:r>
    </w:p>
    <w:p w14:paraId="164F1CD9" w14:textId="75D390E3" w:rsidR="008F3AF3" w:rsidRDefault="008F3AF3" w:rsidP="008F3AF3">
      <w:pPr>
        <w:pStyle w:val="ListParagraph"/>
        <w:numPr>
          <w:ilvl w:val="0"/>
          <w:numId w:val="5"/>
        </w:numPr>
      </w:pPr>
      <w:r>
        <w:t xml:space="preserve">2021 programs savings persisting into 2022 to 2027 </w:t>
      </w:r>
    </w:p>
    <w:p w14:paraId="506A4994" w14:textId="7430A8A8" w:rsidR="00E07980" w:rsidRDefault="00E07980" w:rsidP="00E07980">
      <w:pPr>
        <w:pStyle w:val="ListParagraph"/>
        <w:numPr>
          <w:ilvl w:val="0"/>
          <w:numId w:val="10"/>
        </w:numPr>
      </w:pPr>
      <w:r>
        <w:t>Please update the workform to include persisting savings from 2018 to 2021 programs consistent with the response to Question 1 above.</w:t>
      </w:r>
    </w:p>
    <w:p w14:paraId="6A3B6DE0" w14:textId="61D07354" w:rsidR="00630E83" w:rsidRPr="008923E1" w:rsidRDefault="008923E1" w:rsidP="00932AF4">
      <w:pPr>
        <w:rPr>
          <w:b/>
          <w:bCs/>
        </w:rPr>
      </w:pPr>
      <w:r w:rsidRPr="008923E1">
        <w:rPr>
          <w:b/>
          <w:bCs/>
        </w:rPr>
        <w:t>Response:</w:t>
      </w:r>
    </w:p>
    <w:p w14:paraId="25243131" w14:textId="124CE49C" w:rsidR="001B19C1" w:rsidRDefault="00354274" w:rsidP="001B19C1">
      <w:pPr>
        <w:pStyle w:val="ListParagraph"/>
        <w:numPr>
          <w:ilvl w:val="0"/>
          <w:numId w:val="15"/>
        </w:numPr>
      </w:pPr>
      <w:r w:rsidRPr="008923E1">
        <w:t>As per the response to Question 1,</w:t>
      </w:r>
      <w:r w:rsidR="001B19C1">
        <w:t xml:space="preserve"> an update has been made to include</w:t>
      </w:r>
      <w:r w:rsidRPr="008923E1">
        <w:t xml:space="preserve"> the persistent savings for 2018 – 202</w:t>
      </w:r>
      <w:r w:rsidR="001B19C1">
        <w:t>1</w:t>
      </w:r>
      <w:r w:rsidRPr="008923E1">
        <w:t xml:space="preserve"> programs have been </w:t>
      </w:r>
      <w:r w:rsidR="0093485C" w:rsidRPr="008923E1">
        <w:t>included</w:t>
      </w:r>
      <w:r w:rsidRPr="008923E1">
        <w:t xml:space="preserve"> in the LRAM Workform for the years 2018 – 2024</w:t>
      </w:r>
      <w:r w:rsidR="001B19C1">
        <w:t>(as applicable)</w:t>
      </w:r>
      <w:r w:rsidRPr="008923E1">
        <w:t>.</w:t>
      </w:r>
      <w:r w:rsidR="001B19C1">
        <w:t xml:space="preserve"> The persistence was previously excluded in error. </w:t>
      </w:r>
    </w:p>
    <w:p w14:paraId="37BB090C" w14:textId="0B10ACDF" w:rsidR="00354274" w:rsidRPr="008923E1" w:rsidRDefault="001B19C1" w:rsidP="001B19C1">
      <w:pPr>
        <w:pStyle w:val="ListParagraph"/>
        <w:numPr>
          <w:ilvl w:val="0"/>
          <w:numId w:val="15"/>
        </w:numPr>
      </w:pPr>
      <w:r>
        <w:t>Please see the updates as requested in Attachment A. per response to question #1, LRAMVA thresholds and persistence have only been included up to 2024(inclusive)</w:t>
      </w:r>
      <w:r w:rsidR="0005116F">
        <w:t xml:space="preserve">, representing the years before API’s next scheduled Cost of Service rebasing, at which point the current threshold would be replaced and a new load forecast would be in place (ie: 2025-2027 have not been populated in the model). </w:t>
      </w:r>
    </w:p>
    <w:p w14:paraId="7B73C337" w14:textId="77777777" w:rsidR="008923E1" w:rsidRPr="008923E1" w:rsidRDefault="008923E1">
      <w:r w:rsidRPr="008923E1">
        <w:br w:type="page"/>
      </w:r>
    </w:p>
    <w:p w14:paraId="6698BB6C" w14:textId="06C98158" w:rsidR="00E07980" w:rsidRDefault="00E07980" w:rsidP="00932AF4">
      <w:r>
        <w:rPr>
          <w:b/>
          <w:bCs/>
        </w:rPr>
        <w:lastRenderedPageBreak/>
        <w:t>Question 4</w:t>
      </w:r>
    </w:p>
    <w:p w14:paraId="38974CF5" w14:textId="0DBCFB11" w:rsidR="00932AF4" w:rsidRDefault="00932AF4" w:rsidP="00932AF4">
      <w:r>
        <w:rPr>
          <w:b/>
          <w:bCs/>
        </w:rPr>
        <w:t>Ref: LRAMVA Workform, Tab 5, Cell AF782</w:t>
      </w:r>
    </w:p>
    <w:p w14:paraId="568669FF" w14:textId="47563798" w:rsidR="00932AF4" w:rsidRDefault="00932AF4" w:rsidP="00932AF4">
      <w:r>
        <w:t>The OEB released LRAMVA workform version updates on June 3, 2022 (Version 1.1) and June 9, 2022 (Version 1.2). The</w:t>
      </w:r>
      <w:r w:rsidR="00A306EC">
        <w:t xml:space="preserve"> formulae in Version 1.0 </w:t>
      </w:r>
      <w:r>
        <w:t xml:space="preserve">which has been used by </w:t>
      </w:r>
      <w:r w:rsidR="00630E83">
        <w:t>API</w:t>
      </w:r>
      <w:r>
        <w:t xml:space="preserve"> </w:t>
      </w:r>
      <w:r w:rsidR="00A306EC">
        <w:t xml:space="preserve">referenced savings one year later than intended. </w:t>
      </w:r>
    </w:p>
    <w:p w14:paraId="74C30E20" w14:textId="656EE302" w:rsidR="00A306EC" w:rsidRDefault="00A306EC" w:rsidP="00E07980">
      <w:pPr>
        <w:pStyle w:val="ListParagraph"/>
        <w:numPr>
          <w:ilvl w:val="0"/>
          <w:numId w:val="11"/>
        </w:numPr>
      </w:pPr>
      <w:r>
        <w:t xml:space="preserve">Please </w:t>
      </w:r>
      <w:r w:rsidR="008C5067">
        <w:t xml:space="preserve">update cell AF782 in Tab 5 with the </w:t>
      </w:r>
      <w:r>
        <w:t xml:space="preserve">corrected formulae </w:t>
      </w:r>
      <w:r w:rsidR="00997DA5">
        <w:t>below to</w:t>
      </w:r>
      <w:r>
        <w:t xml:space="preserve"> capture the correct 2018 seasonal energy savings persisting in 2020</w:t>
      </w:r>
    </w:p>
    <w:p w14:paraId="36D5F833" w14:textId="62A796C9" w:rsidR="00357AE7" w:rsidRPr="00354AD7" w:rsidRDefault="00A306EC" w:rsidP="00354AD7">
      <w:pPr>
        <w:numPr>
          <w:ilvl w:val="1"/>
          <w:numId w:val="1"/>
        </w:numPr>
      </w:pPr>
      <w:r w:rsidRPr="00A306EC">
        <w:t>=SUMPRODUCT(F$608:F$763,AF608:AF763)</w:t>
      </w:r>
    </w:p>
    <w:p w14:paraId="1B5D108B" w14:textId="7FEEC389" w:rsidR="00357AE7" w:rsidRPr="0005116F" w:rsidRDefault="00354274" w:rsidP="00357AE7">
      <w:pPr>
        <w:rPr>
          <w:b/>
          <w:bCs/>
        </w:rPr>
      </w:pPr>
      <w:r w:rsidRPr="0005116F">
        <w:rPr>
          <w:b/>
          <w:bCs/>
        </w:rPr>
        <w:t>Response:</w:t>
      </w:r>
    </w:p>
    <w:p w14:paraId="68065BF3" w14:textId="77777777" w:rsidR="005872AF" w:rsidRDefault="00354274" w:rsidP="00357AE7">
      <w:r w:rsidRPr="0005116F">
        <w:t>Cell AF782 in Tab 5 now has the corrected formulae in the revised LRAM Workform submitted</w:t>
      </w:r>
      <w:r w:rsidR="0005116F">
        <w:t xml:space="preserve"> as Attachment A. </w:t>
      </w:r>
      <w:r w:rsidRPr="0005116F">
        <w:t xml:space="preserve"> </w:t>
      </w:r>
    </w:p>
    <w:p w14:paraId="2DC0B9B8" w14:textId="43B691BE" w:rsidR="00354274" w:rsidRDefault="005872AF" w:rsidP="00357AE7">
      <w:r>
        <w:t xml:space="preserve">API has also updated the formulae in cells AF781-AF786 to refer to the correct persistence years. </w:t>
      </w:r>
    </w:p>
    <w:p w14:paraId="4E01FB37" w14:textId="787D1C90" w:rsidR="000669E8" w:rsidRDefault="000669E8" w:rsidP="00357AE7">
      <w:r>
        <w:t>API has made a similar update to the formula in cell AH977.</w:t>
      </w:r>
    </w:p>
    <w:p w14:paraId="7402F875" w14:textId="77777777" w:rsidR="005872AF" w:rsidRPr="0005116F" w:rsidRDefault="005872AF" w:rsidP="00357AE7"/>
    <w:p w14:paraId="3784E26A" w14:textId="77777777" w:rsidR="0005116F" w:rsidRPr="0005116F" w:rsidRDefault="0005116F">
      <w:pPr>
        <w:rPr>
          <w:b/>
          <w:bCs/>
        </w:rPr>
      </w:pPr>
      <w:r w:rsidRPr="0005116F">
        <w:rPr>
          <w:b/>
          <w:bCs/>
        </w:rPr>
        <w:br w:type="page"/>
      </w:r>
    </w:p>
    <w:p w14:paraId="6EAEFF7A" w14:textId="0F367721" w:rsidR="00E07980" w:rsidRDefault="00E07980" w:rsidP="00357AE7">
      <w:pPr>
        <w:rPr>
          <w:b/>
          <w:bCs/>
        </w:rPr>
      </w:pPr>
      <w:r>
        <w:rPr>
          <w:b/>
          <w:bCs/>
        </w:rPr>
        <w:lastRenderedPageBreak/>
        <w:t>Question 5</w:t>
      </w:r>
    </w:p>
    <w:p w14:paraId="1D07D905" w14:textId="26B7A7D9" w:rsidR="00357AE7" w:rsidRDefault="00357AE7" w:rsidP="00357AE7">
      <w:r w:rsidRPr="00357AE7">
        <w:rPr>
          <w:b/>
          <w:bCs/>
        </w:rPr>
        <w:t>Ref: LRAMVA Workform, Tab 5, Cell</w:t>
      </w:r>
      <w:r w:rsidR="00BA3E30">
        <w:rPr>
          <w:b/>
          <w:bCs/>
        </w:rPr>
        <w:t>s 1632, 1659, 1686, AE:AR</w:t>
      </w:r>
    </w:p>
    <w:p w14:paraId="511D691C" w14:textId="484844C7" w:rsidR="00357AE7" w:rsidRDefault="00357AE7" w:rsidP="00357AE7">
      <w:r>
        <w:t xml:space="preserve">The OEB released LRAMVA workform version updates on June 3, 2022 (Version 1.1) and June 9, 2022 (Version 1.2). The formulae in Version 1.0 which has been used by </w:t>
      </w:r>
      <w:r w:rsidR="00630E83">
        <w:t>API</w:t>
      </w:r>
      <w:r>
        <w:t xml:space="preserve"> referenced </w:t>
      </w:r>
      <w:r w:rsidR="00BA3E30">
        <w:t>the incorrect year for forecast savings in 2025, 2026, and 2027.</w:t>
      </w:r>
      <w:r>
        <w:t xml:space="preserve"> </w:t>
      </w:r>
    </w:p>
    <w:p w14:paraId="6E445ED3" w14:textId="44C96D23" w:rsidR="00354AD7" w:rsidRPr="00354AD7" w:rsidRDefault="00BA3E30" w:rsidP="00E07980">
      <w:pPr>
        <w:pStyle w:val="ListParagraph"/>
        <w:numPr>
          <w:ilvl w:val="0"/>
          <w:numId w:val="12"/>
        </w:numPr>
      </w:pPr>
      <w:r w:rsidRPr="00354AD7">
        <w:t>Please update the following cells using the correct formula below</w:t>
      </w:r>
    </w:p>
    <w:p w14:paraId="1F304AED" w14:textId="77777777" w:rsidR="00354AD7" w:rsidRDefault="00354AD7" w:rsidP="00E07980">
      <w:pPr>
        <w:pStyle w:val="ListParagraph"/>
        <w:numPr>
          <w:ilvl w:val="1"/>
          <w:numId w:val="1"/>
        </w:numPr>
      </w:pPr>
      <w:r w:rsidRPr="00354AD7">
        <w:t xml:space="preserve">Row 1632, columns AE:AS: </w:t>
      </w:r>
    </w:p>
    <w:p w14:paraId="2D1B0AF2" w14:textId="14F8931C" w:rsidR="00354AD7" w:rsidRPr="00354AD7" w:rsidRDefault="00354AD7" w:rsidP="00354AD7">
      <w:pPr>
        <w:pStyle w:val="ListParagraph"/>
        <w:ind w:left="1080"/>
      </w:pPr>
      <w:r w:rsidRPr="00354AD7">
        <w:t>=HLOOKUP(AE1628,'2. LRAMVA Threshold'!$B$42:$Q$60,17,FALSE)</w:t>
      </w:r>
    </w:p>
    <w:p w14:paraId="00DDC5BB" w14:textId="77777777" w:rsidR="00354AD7" w:rsidRDefault="00354AD7" w:rsidP="00354AD7">
      <w:pPr>
        <w:pStyle w:val="ListParagraph"/>
        <w:numPr>
          <w:ilvl w:val="0"/>
          <w:numId w:val="8"/>
        </w:numPr>
      </w:pPr>
      <w:r w:rsidRPr="00354AD7">
        <w:t xml:space="preserve">Row 1659, columns AE:AS: </w:t>
      </w:r>
    </w:p>
    <w:p w14:paraId="4C98D11C" w14:textId="1AB730F4" w:rsidR="00354AD7" w:rsidRPr="00354AD7" w:rsidRDefault="00354AD7" w:rsidP="00354AD7">
      <w:pPr>
        <w:pStyle w:val="ListParagraph"/>
        <w:ind w:left="1080"/>
      </w:pPr>
      <w:r w:rsidRPr="00354AD7">
        <w:t>=HLOOKUP(AE1655,'2. LRAMVA Threshold'!$B$42:$Q$60,18,FALSE)</w:t>
      </w:r>
    </w:p>
    <w:p w14:paraId="64E652BC" w14:textId="77777777" w:rsidR="00354AD7" w:rsidRDefault="00354AD7" w:rsidP="00354AD7">
      <w:pPr>
        <w:pStyle w:val="ListParagraph"/>
        <w:numPr>
          <w:ilvl w:val="0"/>
          <w:numId w:val="8"/>
        </w:numPr>
      </w:pPr>
      <w:r w:rsidRPr="00354AD7">
        <w:t xml:space="preserve">Row 1686, columns AE:AS: </w:t>
      </w:r>
    </w:p>
    <w:p w14:paraId="58F4FDDF" w14:textId="56F7362D" w:rsidR="00354AD7" w:rsidRPr="00354AD7" w:rsidRDefault="00354AD7" w:rsidP="00354AD7">
      <w:pPr>
        <w:pStyle w:val="ListParagraph"/>
        <w:ind w:left="1080"/>
      </w:pPr>
      <w:r w:rsidRPr="00354AD7">
        <w:t>=HLOOKUP(AE1682,'2. LRAMVA Threshold'!$B$42:$Q$60,19,FALSE)</w:t>
      </w:r>
    </w:p>
    <w:p w14:paraId="13AADDB3" w14:textId="3FE88EEE" w:rsidR="00357AE7" w:rsidRPr="0005116F" w:rsidRDefault="0005116F" w:rsidP="00932AF4">
      <w:pPr>
        <w:rPr>
          <w:b/>
          <w:bCs/>
        </w:rPr>
      </w:pPr>
      <w:r w:rsidRPr="0005116F">
        <w:rPr>
          <w:b/>
          <w:bCs/>
        </w:rPr>
        <w:t>Response:</w:t>
      </w:r>
    </w:p>
    <w:p w14:paraId="69CBE973" w14:textId="19C48B48" w:rsidR="00354274" w:rsidRPr="0005116F" w:rsidRDefault="00354274" w:rsidP="00932AF4">
      <w:r w:rsidRPr="0005116F">
        <w:t>The updates to the formula</w:t>
      </w:r>
      <w:r w:rsidR="00AB3C1B" w:rsidRPr="0005116F">
        <w:t>e</w:t>
      </w:r>
      <w:r w:rsidRPr="0005116F">
        <w:t xml:space="preserve"> in Tab 5, cells 1632, 1659, 1686, AE:AR have been made in the revised LRAM Workform submitted</w:t>
      </w:r>
      <w:r w:rsidR="0005116F">
        <w:t xml:space="preserve"> as Attachment A</w:t>
      </w:r>
      <w:r w:rsidRPr="0005116F">
        <w:t>.</w:t>
      </w:r>
      <w:r w:rsidR="000669E8">
        <w:t xml:space="preserve"> API notes there are no forecast savings in 2025-2027 as a result of the expected rebasing in 2025.</w:t>
      </w:r>
    </w:p>
    <w:p w14:paraId="0BE75BCE" w14:textId="77777777" w:rsidR="00370DD4" w:rsidRDefault="00370DD4" w:rsidP="00932AF4">
      <w:pPr>
        <w:rPr>
          <w:b/>
          <w:bCs/>
        </w:rPr>
      </w:pPr>
    </w:p>
    <w:p w14:paraId="7F115567" w14:textId="77777777" w:rsidR="0005116F" w:rsidRDefault="0005116F">
      <w:pPr>
        <w:rPr>
          <w:b/>
          <w:bCs/>
        </w:rPr>
      </w:pPr>
      <w:r>
        <w:rPr>
          <w:b/>
          <w:bCs/>
        </w:rPr>
        <w:br w:type="page"/>
      </w:r>
    </w:p>
    <w:p w14:paraId="7B49BD05" w14:textId="57C015CE" w:rsidR="00E07980" w:rsidRDefault="00E07980" w:rsidP="00932AF4">
      <w:pPr>
        <w:rPr>
          <w:b/>
          <w:bCs/>
        </w:rPr>
      </w:pPr>
      <w:r>
        <w:rPr>
          <w:b/>
          <w:bCs/>
        </w:rPr>
        <w:lastRenderedPageBreak/>
        <w:t>Question 6</w:t>
      </w:r>
    </w:p>
    <w:p w14:paraId="0C851FC1" w14:textId="64B65DD7" w:rsidR="00932AF4" w:rsidRDefault="00932AF4" w:rsidP="00932AF4">
      <w:r w:rsidRPr="00932AF4">
        <w:rPr>
          <w:b/>
          <w:bCs/>
        </w:rPr>
        <w:t>Ref: LRAMVA Workform, Tab 5,</w:t>
      </w:r>
      <w:r>
        <w:rPr>
          <w:b/>
          <w:bCs/>
        </w:rPr>
        <w:t xml:space="preserve"> Table 5-g</w:t>
      </w:r>
      <w:r w:rsidRPr="00932AF4">
        <w:rPr>
          <w:b/>
          <w:bCs/>
        </w:rPr>
        <w:t xml:space="preserve"> </w:t>
      </w:r>
      <w:r>
        <w:rPr>
          <w:b/>
          <w:bCs/>
        </w:rPr>
        <w:t>2021 Lost Revenues, Row 1271</w:t>
      </w:r>
    </w:p>
    <w:p w14:paraId="27D5D97D" w14:textId="644DE72C" w:rsidR="00932AF4" w:rsidRDefault="009C2ACB" w:rsidP="00E07980">
      <w:pPr>
        <w:pStyle w:val="ListParagraph"/>
        <w:numPr>
          <w:ilvl w:val="0"/>
          <w:numId w:val="13"/>
        </w:numPr>
      </w:pPr>
      <w:r>
        <w:t xml:space="preserve">Please provide more details related to the Save on Energy Retrofit Program completed in 2021 that resulted in 9,009,009 kWh of energy savings. </w:t>
      </w:r>
      <w:r w:rsidR="00932AF4">
        <w:t>In your response, p</w:t>
      </w:r>
      <w:r>
        <w:t xml:space="preserve">lease discuss </w:t>
      </w:r>
      <w:r w:rsidR="00932AF4">
        <w:t>the following:</w:t>
      </w:r>
    </w:p>
    <w:p w14:paraId="2E11868A" w14:textId="01260111" w:rsidR="009C2ACB" w:rsidRDefault="00932AF4" w:rsidP="00932AF4">
      <w:pPr>
        <w:pStyle w:val="ListParagraph"/>
        <w:numPr>
          <w:ilvl w:val="0"/>
          <w:numId w:val="4"/>
        </w:numPr>
      </w:pPr>
      <w:r>
        <w:t>I</w:t>
      </w:r>
      <w:r w:rsidR="009C2ACB">
        <w:t>f the demand savings of 994.3 kW shown in attachment “API LRAM Project Submitted” were associated with this project (Project 159884)</w:t>
      </w:r>
    </w:p>
    <w:p w14:paraId="74D6FE4B" w14:textId="7BE90D4F" w:rsidR="00932AF4" w:rsidRDefault="00932AF4" w:rsidP="00932AF4">
      <w:pPr>
        <w:pStyle w:val="ListParagraph"/>
        <w:numPr>
          <w:ilvl w:val="0"/>
          <w:numId w:val="4"/>
        </w:numPr>
      </w:pPr>
      <w:r>
        <w:t>W</w:t>
      </w:r>
      <w:r w:rsidR="009C2ACB">
        <w:t xml:space="preserve">hy </w:t>
      </w:r>
      <w:r w:rsidR="00630E83">
        <w:t>API</w:t>
      </w:r>
      <w:r w:rsidR="009C2ACB">
        <w:t xml:space="preserve"> did not input the demand savings (kW) from this project in cell R1271 as it appears this project impacted the Rate R2 class that is demand billed (kW)</w:t>
      </w:r>
    </w:p>
    <w:p w14:paraId="23C97D1A" w14:textId="0BEAF23F" w:rsidR="00354274" w:rsidRPr="0005116F" w:rsidRDefault="00354274" w:rsidP="00354274">
      <w:pPr>
        <w:rPr>
          <w:b/>
          <w:bCs/>
        </w:rPr>
      </w:pPr>
      <w:r w:rsidRPr="0005116F">
        <w:rPr>
          <w:b/>
          <w:bCs/>
        </w:rPr>
        <w:t>Response:</w:t>
      </w:r>
    </w:p>
    <w:p w14:paraId="7751D6E7" w14:textId="76B3E4A4" w:rsidR="00AB3C1B" w:rsidRPr="0005116F" w:rsidRDefault="00AB3C1B" w:rsidP="00354274">
      <w:r w:rsidRPr="0005116F">
        <w:t>Reference: LRAM Workform, Tab 5, Table 5-g 2021 Lost Revenues, Cell D1271</w:t>
      </w:r>
    </w:p>
    <w:p w14:paraId="44344C8E" w14:textId="5C272E8B" w:rsidR="00354274" w:rsidRPr="0005116F" w:rsidRDefault="00354274" w:rsidP="00354274">
      <w:r w:rsidRPr="0005116F">
        <w:t>The Save on Energy Retrofit Program project that resulted in the gross energy savings of 9,009,099 kWh and 994.3 kW of demand savings has been accounted for in the net energy and demand savings claim for the program year 2020 persisting to 2024.  The single energy savings value of 9,009,099 kWh has been removed from LRAMVA template Tab 5 2015 – 2027 LRAM, cell D1271</w:t>
      </w:r>
      <w:r w:rsidR="000D3695">
        <w:t xml:space="preserve"> included in Attachment A</w:t>
      </w:r>
      <w:r w:rsidRPr="0005116F">
        <w:t xml:space="preserve">.   </w:t>
      </w:r>
    </w:p>
    <w:p w14:paraId="356BA418" w14:textId="74F06166" w:rsidR="00932AF4" w:rsidRDefault="00932AF4" w:rsidP="00997DA5"/>
    <w:p w14:paraId="5ED4270C" w14:textId="77777777" w:rsidR="0005116F" w:rsidRDefault="0005116F">
      <w:pPr>
        <w:rPr>
          <w:b/>
          <w:bCs/>
        </w:rPr>
      </w:pPr>
      <w:r>
        <w:rPr>
          <w:b/>
          <w:bCs/>
        </w:rPr>
        <w:br w:type="page"/>
      </w:r>
    </w:p>
    <w:p w14:paraId="13AED327" w14:textId="02144628" w:rsidR="004810D5" w:rsidRPr="00E07980" w:rsidRDefault="00E07980" w:rsidP="004810D5">
      <w:pPr>
        <w:rPr>
          <w:b/>
          <w:bCs/>
        </w:rPr>
      </w:pPr>
      <w:r w:rsidRPr="00E07980">
        <w:rPr>
          <w:b/>
          <w:bCs/>
        </w:rPr>
        <w:lastRenderedPageBreak/>
        <w:t>Question 7</w:t>
      </w:r>
    </w:p>
    <w:p w14:paraId="580AD887" w14:textId="241FF956" w:rsidR="00EF7DF8" w:rsidRDefault="009C2ACB">
      <w:r>
        <w:t xml:space="preserve">Please make any necessary updates </w:t>
      </w:r>
      <w:r w:rsidR="00E07980">
        <w:t xml:space="preserve">to the LRAMVA workform </w:t>
      </w:r>
      <w:r w:rsidR="00C12C9E">
        <w:t xml:space="preserve">in response to these questions </w:t>
      </w:r>
      <w:r>
        <w:t xml:space="preserve">and provide an updated LRAMVA workform </w:t>
      </w:r>
      <w:r w:rsidR="00E07980">
        <w:t xml:space="preserve">with your responses. </w:t>
      </w:r>
    </w:p>
    <w:p w14:paraId="011A2E13" w14:textId="084F1E95" w:rsidR="00354274" w:rsidRPr="000D3695" w:rsidRDefault="000D3695">
      <w:pPr>
        <w:rPr>
          <w:b/>
          <w:bCs/>
        </w:rPr>
      </w:pPr>
      <w:r w:rsidRPr="000D3695">
        <w:rPr>
          <w:b/>
          <w:bCs/>
        </w:rPr>
        <w:t>Response:</w:t>
      </w:r>
    </w:p>
    <w:p w14:paraId="01023E37" w14:textId="6EB49897" w:rsidR="00354274" w:rsidRDefault="00354274">
      <w:r w:rsidRPr="000D3695">
        <w:t>Changes made in Tab 5 2015 – 2027 LRAM have been highlighted in yellow.</w:t>
      </w:r>
      <w:r w:rsidR="000D3695">
        <w:t xml:space="preserve"> Please see Attachment A for the updated model. </w:t>
      </w:r>
      <w:r w:rsidR="000669E8">
        <w:t xml:space="preserve">API has made the following changes: </w:t>
      </w:r>
    </w:p>
    <w:tbl>
      <w:tblPr>
        <w:tblStyle w:val="TableGrid"/>
        <w:tblW w:w="0" w:type="auto"/>
        <w:tblInd w:w="279" w:type="dxa"/>
        <w:tblLook w:val="04A0" w:firstRow="1" w:lastRow="0" w:firstColumn="1" w:lastColumn="0" w:noHBand="0" w:noVBand="1"/>
      </w:tblPr>
      <w:tblGrid>
        <w:gridCol w:w="1694"/>
        <w:gridCol w:w="1021"/>
        <w:gridCol w:w="6356"/>
      </w:tblGrid>
      <w:tr w:rsidR="004F22B1" w:rsidRPr="00C771CD" w14:paraId="6FFAB03A" w14:textId="77777777" w:rsidTr="00743B20">
        <w:tc>
          <w:tcPr>
            <w:tcW w:w="1694" w:type="dxa"/>
          </w:tcPr>
          <w:p w14:paraId="6EDB4C35" w14:textId="11E2E446" w:rsidR="004F22B1" w:rsidRPr="00743B20" w:rsidRDefault="004F22B1" w:rsidP="000669E8">
            <w:pPr>
              <w:pStyle w:val="ListParagraph"/>
              <w:ind w:left="0"/>
              <w:rPr>
                <w:b/>
                <w:bCs/>
                <w:sz w:val="18"/>
                <w:szCs w:val="18"/>
              </w:rPr>
            </w:pPr>
            <w:r w:rsidRPr="00743B20">
              <w:rPr>
                <w:b/>
                <w:bCs/>
                <w:sz w:val="18"/>
                <w:szCs w:val="18"/>
              </w:rPr>
              <w:t>Tab</w:t>
            </w:r>
          </w:p>
        </w:tc>
        <w:tc>
          <w:tcPr>
            <w:tcW w:w="0" w:type="auto"/>
          </w:tcPr>
          <w:p w14:paraId="6E0770FB" w14:textId="39447E4E" w:rsidR="004F22B1" w:rsidRPr="00743B20" w:rsidRDefault="004F22B1" w:rsidP="000669E8">
            <w:pPr>
              <w:pStyle w:val="ListParagraph"/>
              <w:ind w:left="0"/>
              <w:rPr>
                <w:b/>
                <w:bCs/>
                <w:sz w:val="18"/>
                <w:szCs w:val="18"/>
              </w:rPr>
            </w:pPr>
            <w:r w:rsidRPr="00743B20">
              <w:rPr>
                <w:b/>
                <w:bCs/>
                <w:sz w:val="18"/>
                <w:szCs w:val="18"/>
              </w:rPr>
              <w:t xml:space="preserve">Cell(s) </w:t>
            </w:r>
          </w:p>
        </w:tc>
        <w:tc>
          <w:tcPr>
            <w:tcW w:w="0" w:type="auto"/>
          </w:tcPr>
          <w:p w14:paraId="2E864465" w14:textId="455780E9" w:rsidR="004F22B1" w:rsidRPr="00743B20" w:rsidRDefault="004F22B1" w:rsidP="000669E8">
            <w:pPr>
              <w:pStyle w:val="ListParagraph"/>
              <w:ind w:left="0"/>
              <w:rPr>
                <w:b/>
                <w:bCs/>
                <w:sz w:val="18"/>
                <w:szCs w:val="18"/>
              </w:rPr>
            </w:pPr>
            <w:r w:rsidRPr="00743B20">
              <w:rPr>
                <w:b/>
                <w:bCs/>
                <w:sz w:val="18"/>
                <w:szCs w:val="18"/>
              </w:rPr>
              <w:t>Explanation</w:t>
            </w:r>
          </w:p>
        </w:tc>
      </w:tr>
      <w:tr w:rsidR="00C771CD" w:rsidRPr="00C771CD" w14:paraId="0219AA03" w14:textId="77777777" w:rsidTr="00743B20">
        <w:tc>
          <w:tcPr>
            <w:tcW w:w="1694" w:type="dxa"/>
          </w:tcPr>
          <w:p w14:paraId="6900EB48" w14:textId="5BC35BB9" w:rsidR="00C771CD" w:rsidRPr="00C771CD" w:rsidRDefault="00C771CD" w:rsidP="000669E8">
            <w:pPr>
              <w:pStyle w:val="ListParagraph"/>
              <w:ind w:left="0"/>
              <w:rPr>
                <w:sz w:val="18"/>
                <w:szCs w:val="18"/>
              </w:rPr>
            </w:pPr>
            <w:r w:rsidRPr="004B03AB">
              <w:rPr>
                <w:sz w:val="18"/>
                <w:szCs w:val="18"/>
              </w:rPr>
              <w:t>5.2017-2027 LRAM</w:t>
            </w:r>
          </w:p>
        </w:tc>
        <w:tc>
          <w:tcPr>
            <w:tcW w:w="0" w:type="auto"/>
          </w:tcPr>
          <w:p w14:paraId="634F1BB8" w14:textId="2F3833F4" w:rsidR="00C771CD" w:rsidRPr="00C771CD" w:rsidRDefault="00C771CD" w:rsidP="000669E8">
            <w:pPr>
              <w:pStyle w:val="ListParagraph"/>
              <w:ind w:left="0"/>
              <w:rPr>
                <w:sz w:val="18"/>
                <w:szCs w:val="18"/>
              </w:rPr>
            </w:pPr>
            <w:r>
              <w:rPr>
                <w:sz w:val="18"/>
                <w:szCs w:val="18"/>
              </w:rPr>
              <w:t xml:space="preserve">Var. </w:t>
            </w:r>
          </w:p>
        </w:tc>
        <w:tc>
          <w:tcPr>
            <w:tcW w:w="0" w:type="auto"/>
          </w:tcPr>
          <w:p w14:paraId="6CE757A1" w14:textId="583B6716" w:rsidR="00C771CD" w:rsidRPr="00C771CD" w:rsidRDefault="00C771CD" w:rsidP="000669E8">
            <w:pPr>
              <w:pStyle w:val="ListParagraph"/>
              <w:ind w:left="0"/>
              <w:rPr>
                <w:sz w:val="18"/>
                <w:szCs w:val="18"/>
              </w:rPr>
            </w:pPr>
            <w:r>
              <w:rPr>
                <w:sz w:val="18"/>
                <w:szCs w:val="18"/>
              </w:rPr>
              <w:t>Extend persistence of 2018-2020 program kW and kWh savings into 202</w:t>
            </w:r>
            <w:r w:rsidR="00087E78">
              <w:rPr>
                <w:sz w:val="18"/>
                <w:szCs w:val="18"/>
              </w:rPr>
              <w:t>4</w:t>
            </w:r>
          </w:p>
        </w:tc>
      </w:tr>
      <w:tr w:rsidR="00C771CD" w:rsidRPr="00C771CD" w14:paraId="02F2FE9F" w14:textId="77777777" w:rsidTr="00743B20">
        <w:tc>
          <w:tcPr>
            <w:tcW w:w="1694" w:type="dxa"/>
          </w:tcPr>
          <w:p w14:paraId="2D9BE592" w14:textId="1C333013" w:rsidR="00C771CD" w:rsidRPr="00C771CD" w:rsidRDefault="00C771CD" w:rsidP="000669E8">
            <w:pPr>
              <w:pStyle w:val="ListParagraph"/>
              <w:ind w:left="0"/>
              <w:rPr>
                <w:sz w:val="18"/>
                <w:szCs w:val="18"/>
              </w:rPr>
            </w:pPr>
            <w:r w:rsidRPr="004B03AB">
              <w:rPr>
                <w:sz w:val="18"/>
                <w:szCs w:val="18"/>
              </w:rPr>
              <w:t>5.2017-2027 LRAM</w:t>
            </w:r>
          </w:p>
        </w:tc>
        <w:tc>
          <w:tcPr>
            <w:tcW w:w="0" w:type="auto"/>
          </w:tcPr>
          <w:p w14:paraId="50C2D986" w14:textId="0C4E16BD" w:rsidR="00C771CD" w:rsidRPr="00C771CD" w:rsidRDefault="00C771CD" w:rsidP="000669E8">
            <w:pPr>
              <w:pStyle w:val="ListParagraph"/>
              <w:ind w:left="0"/>
              <w:rPr>
                <w:sz w:val="18"/>
                <w:szCs w:val="18"/>
              </w:rPr>
            </w:pPr>
            <w:r>
              <w:rPr>
                <w:sz w:val="18"/>
                <w:szCs w:val="18"/>
              </w:rPr>
              <w:t>Col. C</w:t>
            </w:r>
          </w:p>
        </w:tc>
        <w:tc>
          <w:tcPr>
            <w:tcW w:w="0" w:type="auto"/>
          </w:tcPr>
          <w:p w14:paraId="5E1FBF19" w14:textId="51822967" w:rsidR="00C771CD" w:rsidRPr="00C771CD" w:rsidRDefault="00C771CD" w:rsidP="000669E8">
            <w:pPr>
              <w:pStyle w:val="ListParagraph"/>
              <w:ind w:left="0"/>
              <w:rPr>
                <w:sz w:val="18"/>
                <w:szCs w:val="18"/>
              </w:rPr>
            </w:pPr>
            <w:r>
              <w:rPr>
                <w:sz w:val="18"/>
                <w:szCs w:val="18"/>
              </w:rPr>
              <w:t>Change Persisting savings for 2018-2020 programs to “Yes” until 2024.</w:t>
            </w:r>
          </w:p>
        </w:tc>
      </w:tr>
      <w:tr w:rsidR="00C771CD" w:rsidRPr="00C771CD" w14:paraId="5D78B831" w14:textId="77777777" w:rsidTr="00743B20">
        <w:tc>
          <w:tcPr>
            <w:tcW w:w="1694" w:type="dxa"/>
          </w:tcPr>
          <w:p w14:paraId="42935DEC" w14:textId="6AD5503A" w:rsidR="00C771CD" w:rsidRPr="00C771CD" w:rsidRDefault="00C771CD" w:rsidP="000669E8">
            <w:pPr>
              <w:pStyle w:val="ListParagraph"/>
              <w:ind w:left="0"/>
              <w:rPr>
                <w:sz w:val="18"/>
                <w:szCs w:val="18"/>
              </w:rPr>
            </w:pPr>
            <w:r>
              <w:rPr>
                <w:sz w:val="18"/>
                <w:szCs w:val="18"/>
              </w:rPr>
              <w:t>2. LRAMVA Threshold</w:t>
            </w:r>
          </w:p>
        </w:tc>
        <w:tc>
          <w:tcPr>
            <w:tcW w:w="0" w:type="auto"/>
          </w:tcPr>
          <w:p w14:paraId="525A56FF" w14:textId="77777777" w:rsidR="00C771CD" w:rsidRDefault="00C771CD" w:rsidP="000669E8">
            <w:pPr>
              <w:pStyle w:val="ListParagraph"/>
              <w:ind w:left="0"/>
              <w:rPr>
                <w:sz w:val="18"/>
                <w:szCs w:val="18"/>
              </w:rPr>
            </w:pPr>
            <w:r>
              <w:rPr>
                <w:sz w:val="18"/>
                <w:szCs w:val="18"/>
              </w:rPr>
              <w:t>C51-G57</w:t>
            </w:r>
          </w:p>
          <w:p w14:paraId="2A86F7BC" w14:textId="058BF84A" w:rsidR="00C771CD" w:rsidRPr="00C771CD" w:rsidRDefault="00C771CD" w:rsidP="000669E8">
            <w:pPr>
              <w:pStyle w:val="ListParagraph"/>
              <w:ind w:left="0"/>
              <w:rPr>
                <w:sz w:val="18"/>
                <w:szCs w:val="18"/>
              </w:rPr>
            </w:pPr>
            <w:r>
              <w:rPr>
                <w:sz w:val="18"/>
                <w:szCs w:val="18"/>
              </w:rPr>
              <w:t>C15-G16</w:t>
            </w:r>
          </w:p>
        </w:tc>
        <w:tc>
          <w:tcPr>
            <w:tcW w:w="0" w:type="auto"/>
          </w:tcPr>
          <w:p w14:paraId="16DAA856" w14:textId="17A65EF2" w:rsidR="00C771CD" w:rsidRPr="00C771CD" w:rsidRDefault="00C771CD" w:rsidP="000669E8">
            <w:pPr>
              <w:pStyle w:val="ListParagraph"/>
              <w:ind w:left="0"/>
              <w:rPr>
                <w:sz w:val="18"/>
                <w:szCs w:val="18"/>
              </w:rPr>
            </w:pPr>
            <w:r>
              <w:rPr>
                <w:sz w:val="18"/>
                <w:szCs w:val="18"/>
              </w:rPr>
              <w:t>Updates required to add 2020 threshold to the applicable claim years up to 2024</w:t>
            </w:r>
          </w:p>
        </w:tc>
      </w:tr>
      <w:tr w:rsidR="004F22B1" w:rsidRPr="00C771CD" w14:paraId="40117BFB" w14:textId="77777777" w:rsidTr="00743B20">
        <w:tc>
          <w:tcPr>
            <w:tcW w:w="1694" w:type="dxa"/>
          </w:tcPr>
          <w:p w14:paraId="7F47A398" w14:textId="16C12D12" w:rsidR="004F22B1" w:rsidRPr="00743B20" w:rsidRDefault="004F22B1" w:rsidP="000669E8">
            <w:pPr>
              <w:pStyle w:val="ListParagraph"/>
              <w:ind w:left="0"/>
              <w:rPr>
                <w:sz w:val="18"/>
                <w:szCs w:val="18"/>
              </w:rPr>
            </w:pPr>
            <w:r w:rsidRPr="00743B20">
              <w:rPr>
                <w:sz w:val="18"/>
                <w:szCs w:val="18"/>
              </w:rPr>
              <w:t xml:space="preserve">3. Distribution rates </w:t>
            </w:r>
          </w:p>
        </w:tc>
        <w:tc>
          <w:tcPr>
            <w:tcW w:w="0" w:type="auto"/>
          </w:tcPr>
          <w:p w14:paraId="7A5BE83D" w14:textId="07733638" w:rsidR="004F22B1" w:rsidRPr="00743B20" w:rsidRDefault="004F22B1" w:rsidP="000669E8">
            <w:pPr>
              <w:pStyle w:val="ListParagraph"/>
              <w:ind w:left="0"/>
              <w:rPr>
                <w:sz w:val="18"/>
                <w:szCs w:val="18"/>
              </w:rPr>
            </w:pPr>
            <w:r w:rsidRPr="00743B20">
              <w:rPr>
                <w:sz w:val="18"/>
                <w:szCs w:val="18"/>
              </w:rPr>
              <w:t>M18-P18</w:t>
            </w:r>
          </w:p>
        </w:tc>
        <w:tc>
          <w:tcPr>
            <w:tcW w:w="0" w:type="auto"/>
          </w:tcPr>
          <w:p w14:paraId="32E96D43" w14:textId="5431DFC8" w:rsidR="004F22B1" w:rsidRPr="00743B20" w:rsidRDefault="004F22B1" w:rsidP="000669E8">
            <w:pPr>
              <w:pStyle w:val="ListParagraph"/>
              <w:ind w:left="0"/>
              <w:rPr>
                <w:sz w:val="18"/>
                <w:szCs w:val="18"/>
              </w:rPr>
            </w:pPr>
            <w:r w:rsidRPr="00743B20">
              <w:rPr>
                <w:sz w:val="18"/>
                <w:szCs w:val="18"/>
              </w:rPr>
              <w:t xml:space="preserve">Updated the volumetric rate to be the average of the R1(i) and R1(ii) rates. This is consistent with the approach taken in the LRAMVA claims for </w:t>
            </w:r>
            <w:r w:rsidR="00B0783C" w:rsidRPr="00743B20">
              <w:rPr>
                <w:sz w:val="18"/>
                <w:szCs w:val="18"/>
              </w:rPr>
              <w:t>2016/2017 included with the 2020 COS, and addresses the issue that savings for customers in both sub-classes would be included with the kWh savings allocate to R1.</w:t>
            </w:r>
          </w:p>
        </w:tc>
      </w:tr>
      <w:tr w:rsidR="004F22B1" w:rsidRPr="00C771CD" w14:paraId="1AAE6D4C" w14:textId="77777777" w:rsidTr="00743B20">
        <w:tc>
          <w:tcPr>
            <w:tcW w:w="1694" w:type="dxa"/>
          </w:tcPr>
          <w:p w14:paraId="79CE2173" w14:textId="5399025D" w:rsidR="004F22B1" w:rsidRPr="00743B20" w:rsidRDefault="00B0783C" w:rsidP="000669E8">
            <w:pPr>
              <w:pStyle w:val="ListParagraph"/>
              <w:ind w:left="0"/>
              <w:rPr>
                <w:sz w:val="18"/>
                <w:szCs w:val="18"/>
              </w:rPr>
            </w:pPr>
            <w:r w:rsidRPr="00743B20">
              <w:rPr>
                <w:sz w:val="18"/>
                <w:szCs w:val="18"/>
              </w:rPr>
              <w:t>5.2015-2027 LRAM</w:t>
            </w:r>
          </w:p>
        </w:tc>
        <w:tc>
          <w:tcPr>
            <w:tcW w:w="0" w:type="auto"/>
          </w:tcPr>
          <w:p w14:paraId="73E62DBD" w14:textId="6884783A" w:rsidR="004F22B1" w:rsidRPr="00743B20" w:rsidRDefault="008A2AE7" w:rsidP="000669E8">
            <w:pPr>
              <w:pStyle w:val="ListParagraph"/>
              <w:ind w:left="0"/>
              <w:rPr>
                <w:sz w:val="18"/>
                <w:szCs w:val="18"/>
              </w:rPr>
            </w:pPr>
            <w:r w:rsidRPr="00743B20">
              <w:rPr>
                <w:sz w:val="18"/>
                <w:szCs w:val="18"/>
              </w:rPr>
              <w:t>D694</w:t>
            </w:r>
          </w:p>
        </w:tc>
        <w:tc>
          <w:tcPr>
            <w:tcW w:w="0" w:type="auto"/>
          </w:tcPr>
          <w:p w14:paraId="60759A54" w14:textId="453F5733" w:rsidR="004F22B1" w:rsidRPr="00743B20" w:rsidRDefault="008A2AE7" w:rsidP="000669E8">
            <w:pPr>
              <w:pStyle w:val="ListParagraph"/>
              <w:ind w:left="0"/>
              <w:rPr>
                <w:sz w:val="18"/>
                <w:szCs w:val="18"/>
              </w:rPr>
            </w:pPr>
            <w:r w:rsidRPr="00743B20">
              <w:rPr>
                <w:sz w:val="18"/>
                <w:szCs w:val="18"/>
              </w:rPr>
              <w:t xml:space="preserve">Corrected a transposition error for the 2018 SOE Small Business Lighting Program results for 2018 in 2018 ( persistence to future years was correct) </w:t>
            </w:r>
          </w:p>
        </w:tc>
      </w:tr>
      <w:tr w:rsidR="005A6F60" w:rsidRPr="005A6F60" w14:paraId="79E989B0" w14:textId="77777777" w:rsidTr="00743B20">
        <w:tc>
          <w:tcPr>
            <w:tcW w:w="1694" w:type="dxa"/>
          </w:tcPr>
          <w:p w14:paraId="1DC573F1" w14:textId="17EC88E4" w:rsidR="005A6F60" w:rsidRPr="005A6F60" w:rsidRDefault="005A6F60" w:rsidP="000669E8">
            <w:pPr>
              <w:pStyle w:val="ListParagraph"/>
              <w:ind w:left="0"/>
              <w:rPr>
                <w:sz w:val="18"/>
                <w:szCs w:val="18"/>
              </w:rPr>
            </w:pPr>
            <w:r w:rsidRPr="004B03AB">
              <w:rPr>
                <w:sz w:val="18"/>
                <w:szCs w:val="18"/>
              </w:rPr>
              <w:t>5.2015-2027 LRAM</w:t>
            </w:r>
          </w:p>
        </w:tc>
        <w:tc>
          <w:tcPr>
            <w:tcW w:w="0" w:type="auto"/>
          </w:tcPr>
          <w:p w14:paraId="3AFDA584" w14:textId="3AFA822B" w:rsidR="005A6F60" w:rsidRPr="005A6F60" w:rsidRDefault="005A6F60" w:rsidP="000669E8">
            <w:pPr>
              <w:pStyle w:val="ListParagraph"/>
              <w:ind w:left="0"/>
              <w:rPr>
                <w:sz w:val="18"/>
                <w:szCs w:val="18"/>
              </w:rPr>
            </w:pPr>
            <w:r>
              <w:rPr>
                <w:sz w:val="18"/>
                <w:szCs w:val="18"/>
              </w:rPr>
              <w:t>Rows 1076 and 1077</w:t>
            </w:r>
          </w:p>
        </w:tc>
        <w:tc>
          <w:tcPr>
            <w:tcW w:w="0" w:type="auto"/>
          </w:tcPr>
          <w:p w14:paraId="78F1BC70" w14:textId="77777777" w:rsidR="005A6F60" w:rsidRDefault="005A6F60" w:rsidP="000669E8">
            <w:pPr>
              <w:pStyle w:val="ListParagraph"/>
              <w:ind w:left="0"/>
              <w:rPr>
                <w:sz w:val="18"/>
                <w:szCs w:val="18"/>
              </w:rPr>
            </w:pPr>
            <w:r>
              <w:rPr>
                <w:sz w:val="18"/>
                <w:szCs w:val="18"/>
              </w:rPr>
              <w:t>Enter SOE Retrofit Program results in 2020 to reflect in-service timing of 2020 project: 4.9GWh and 832kW*8 months, then 7.4GWh an 832kW *12 months for 2021 and beyond. Note these are not “adjustments” to 2020 programs, but changes to reflect the timing of the project in 2020.</w:t>
            </w:r>
          </w:p>
          <w:p w14:paraId="2FC37EF0" w14:textId="1EB672E9" w:rsidR="005A6F60" w:rsidRPr="005A6F60" w:rsidRDefault="005A6F60" w:rsidP="000669E8">
            <w:pPr>
              <w:pStyle w:val="ListParagraph"/>
              <w:ind w:left="0"/>
              <w:rPr>
                <w:sz w:val="18"/>
                <w:szCs w:val="18"/>
              </w:rPr>
            </w:pPr>
            <w:r>
              <w:rPr>
                <w:sz w:val="18"/>
                <w:szCs w:val="18"/>
              </w:rPr>
              <w:t xml:space="preserve">API notes the project allocation is &gt;100% among rate classes. 100% of </w:t>
            </w:r>
            <w:r w:rsidRPr="00743B20">
              <w:rPr>
                <w:b/>
                <w:bCs/>
                <w:sz w:val="18"/>
                <w:szCs w:val="18"/>
              </w:rPr>
              <w:t>kW</w:t>
            </w:r>
            <w:r>
              <w:rPr>
                <w:sz w:val="18"/>
                <w:szCs w:val="18"/>
              </w:rPr>
              <w:t xml:space="preserve"> are attributable to R2 class, however 0.2% of </w:t>
            </w:r>
            <w:r w:rsidRPr="00743B20">
              <w:rPr>
                <w:b/>
                <w:bCs/>
                <w:sz w:val="18"/>
                <w:szCs w:val="18"/>
              </w:rPr>
              <w:t>kWh</w:t>
            </w:r>
            <w:r>
              <w:rPr>
                <w:sz w:val="18"/>
                <w:szCs w:val="18"/>
              </w:rPr>
              <w:t xml:space="preserve"> are attributable to R1. </w:t>
            </w:r>
          </w:p>
        </w:tc>
      </w:tr>
      <w:tr w:rsidR="008A2AE7" w:rsidRPr="00C771CD" w14:paraId="67435EDB" w14:textId="77777777" w:rsidTr="00743B20">
        <w:tc>
          <w:tcPr>
            <w:tcW w:w="1694" w:type="dxa"/>
          </w:tcPr>
          <w:p w14:paraId="3E8FF8C5" w14:textId="68B1D376" w:rsidR="008A2AE7" w:rsidRPr="00743B20" w:rsidRDefault="008A2AE7" w:rsidP="000669E8">
            <w:pPr>
              <w:pStyle w:val="ListParagraph"/>
              <w:ind w:left="0"/>
              <w:rPr>
                <w:sz w:val="18"/>
                <w:szCs w:val="18"/>
              </w:rPr>
            </w:pPr>
            <w:r w:rsidRPr="00743B20">
              <w:rPr>
                <w:sz w:val="18"/>
                <w:szCs w:val="18"/>
              </w:rPr>
              <w:t>5.2015-2027 LRAM</w:t>
            </w:r>
          </w:p>
        </w:tc>
        <w:tc>
          <w:tcPr>
            <w:tcW w:w="0" w:type="auto"/>
          </w:tcPr>
          <w:p w14:paraId="34477263" w14:textId="1A47A8AF" w:rsidR="008A2AE7" w:rsidRPr="00743B20" w:rsidRDefault="008A2AE7" w:rsidP="000669E8">
            <w:pPr>
              <w:pStyle w:val="ListParagraph"/>
              <w:ind w:left="0"/>
              <w:rPr>
                <w:sz w:val="18"/>
                <w:szCs w:val="18"/>
              </w:rPr>
            </w:pPr>
            <w:r w:rsidRPr="00743B20">
              <w:rPr>
                <w:sz w:val="18"/>
                <w:szCs w:val="18"/>
              </w:rPr>
              <w:t>D703-J703</w:t>
            </w:r>
          </w:p>
        </w:tc>
        <w:tc>
          <w:tcPr>
            <w:tcW w:w="0" w:type="auto"/>
          </w:tcPr>
          <w:p w14:paraId="33FC0B1E" w14:textId="6A792492" w:rsidR="008A2AE7" w:rsidRPr="00743B20" w:rsidRDefault="008A2AE7" w:rsidP="000669E8">
            <w:pPr>
              <w:pStyle w:val="ListParagraph"/>
              <w:ind w:left="0"/>
              <w:rPr>
                <w:sz w:val="18"/>
                <w:szCs w:val="18"/>
              </w:rPr>
            </w:pPr>
            <w:r w:rsidRPr="00743B20">
              <w:rPr>
                <w:sz w:val="18"/>
                <w:szCs w:val="18"/>
              </w:rPr>
              <w:t xml:space="preserve">Corrected a transposition error for the Instant Savings Local Program in 2018 and persisting to 2024. </w:t>
            </w:r>
          </w:p>
        </w:tc>
      </w:tr>
      <w:tr w:rsidR="008A2AE7" w:rsidRPr="00C771CD" w14:paraId="43A92E7D" w14:textId="77777777" w:rsidTr="00743B20">
        <w:tc>
          <w:tcPr>
            <w:tcW w:w="1694" w:type="dxa"/>
          </w:tcPr>
          <w:p w14:paraId="6A766019" w14:textId="4FB0860B" w:rsidR="008A2AE7" w:rsidRPr="00743B20" w:rsidRDefault="008A2AE7" w:rsidP="000669E8">
            <w:pPr>
              <w:pStyle w:val="ListParagraph"/>
              <w:ind w:left="0"/>
              <w:rPr>
                <w:sz w:val="18"/>
                <w:szCs w:val="18"/>
              </w:rPr>
            </w:pPr>
            <w:r w:rsidRPr="00743B20">
              <w:rPr>
                <w:sz w:val="18"/>
                <w:szCs w:val="18"/>
              </w:rPr>
              <w:t>5.2015-2027 LRAM</w:t>
            </w:r>
          </w:p>
        </w:tc>
        <w:tc>
          <w:tcPr>
            <w:tcW w:w="0" w:type="auto"/>
          </w:tcPr>
          <w:p w14:paraId="5A518668" w14:textId="3A5EC42A" w:rsidR="008A2AE7" w:rsidRPr="00743B20" w:rsidRDefault="008A2AE7" w:rsidP="000669E8">
            <w:pPr>
              <w:pStyle w:val="ListParagraph"/>
              <w:ind w:left="0"/>
              <w:rPr>
                <w:sz w:val="18"/>
                <w:szCs w:val="18"/>
              </w:rPr>
            </w:pPr>
            <w:r w:rsidRPr="00743B20">
              <w:rPr>
                <w:sz w:val="18"/>
                <w:szCs w:val="18"/>
              </w:rPr>
              <w:t>D881-I881</w:t>
            </w:r>
          </w:p>
        </w:tc>
        <w:tc>
          <w:tcPr>
            <w:tcW w:w="0" w:type="auto"/>
          </w:tcPr>
          <w:p w14:paraId="049E3022" w14:textId="5DFE6655" w:rsidR="008A2AE7" w:rsidRPr="00743B20" w:rsidRDefault="008A2AE7" w:rsidP="000669E8">
            <w:pPr>
              <w:pStyle w:val="ListParagraph"/>
              <w:ind w:left="0"/>
              <w:rPr>
                <w:sz w:val="18"/>
                <w:szCs w:val="18"/>
              </w:rPr>
            </w:pPr>
            <w:r w:rsidRPr="00743B20">
              <w:rPr>
                <w:sz w:val="18"/>
                <w:szCs w:val="18"/>
              </w:rPr>
              <w:t>Added SOE Energy Retrofit Program results from P&amp;C report which were inadvertently excluded in 2019 and persisting to 2024.</w:t>
            </w:r>
          </w:p>
        </w:tc>
      </w:tr>
      <w:tr w:rsidR="008A2AE7" w:rsidRPr="00C771CD" w14:paraId="5BE74E40" w14:textId="77777777" w:rsidTr="00743B20">
        <w:tc>
          <w:tcPr>
            <w:tcW w:w="1694" w:type="dxa"/>
          </w:tcPr>
          <w:p w14:paraId="77361456" w14:textId="7C678EF0" w:rsidR="008A2AE7" w:rsidRPr="00743B20" w:rsidRDefault="008A2AE7" w:rsidP="000669E8">
            <w:pPr>
              <w:pStyle w:val="ListParagraph"/>
              <w:ind w:left="0"/>
              <w:rPr>
                <w:sz w:val="18"/>
                <w:szCs w:val="18"/>
              </w:rPr>
            </w:pPr>
            <w:r w:rsidRPr="00743B20">
              <w:rPr>
                <w:sz w:val="18"/>
                <w:szCs w:val="18"/>
              </w:rPr>
              <w:t>5.2015-2027 LRAM</w:t>
            </w:r>
          </w:p>
        </w:tc>
        <w:tc>
          <w:tcPr>
            <w:tcW w:w="0" w:type="auto"/>
          </w:tcPr>
          <w:p w14:paraId="70B70CC4" w14:textId="5B6F928B" w:rsidR="008A2AE7" w:rsidRPr="00743B20" w:rsidRDefault="008A2AE7" w:rsidP="000669E8">
            <w:pPr>
              <w:pStyle w:val="ListParagraph"/>
              <w:ind w:left="0"/>
              <w:rPr>
                <w:sz w:val="18"/>
                <w:szCs w:val="18"/>
              </w:rPr>
            </w:pPr>
            <w:r w:rsidRPr="00743B20">
              <w:rPr>
                <w:sz w:val="18"/>
                <w:szCs w:val="18"/>
              </w:rPr>
              <w:t>R692-X692</w:t>
            </w:r>
          </w:p>
        </w:tc>
        <w:tc>
          <w:tcPr>
            <w:tcW w:w="0" w:type="auto"/>
          </w:tcPr>
          <w:p w14:paraId="1AE9FF89" w14:textId="77777777" w:rsidR="008A2AE7" w:rsidRPr="00743B20" w:rsidRDefault="008A2AE7" w:rsidP="000669E8">
            <w:pPr>
              <w:pStyle w:val="ListParagraph"/>
              <w:ind w:left="0"/>
              <w:rPr>
                <w:sz w:val="18"/>
                <w:szCs w:val="18"/>
              </w:rPr>
            </w:pPr>
            <w:r w:rsidRPr="00743B20">
              <w:rPr>
                <w:sz w:val="18"/>
                <w:szCs w:val="18"/>
              </w:rPr>
              <w:t xml:space="preserve">Added kW savings from 2018 SOE Retrofit, which were previously inadvertently excluded. </w:t>
            </w:r>
          </w:p>
          <w:p w14:paraId="68DFD5D8" w14:textId="77777777" w:rsidR="008A2AE7" w:rsidRPr="00743B20" w:rsidRDefault="008A2AE7" w:rsidP="000669E8">
            <w:pPr>
              <w:pStyle w:val="ListParagraph"/>
              <w:ind w:left="0"/>
              <w:rPr>
                <w:sz w:val="18"/>
                <w:szCs w:val="18"/>
              </w:rPr>
            </w:pPr>
          </w:p>
          <w:p w14:paraId="52E844C5" w14:textId="77777777" w:rsidR="008A2AE7" w:rsidRPr="00743B20" w:rsidRDefault="008A2AE7" w:rsidP="000669E8">
            <w:pPr>
              <w:pStyle w:val="ListParagraph"/>
              <w:ind w:left="0"/>
              <w:rPr>
                <w:sz w:val="18"/>
                <w:szCs w:val="18"/>
              </w:rPr>
            </w:pPr>
            <w:r w:rsidRPr="00743B20">
              <w:rPr>
                <w:sz w:val="18"/>
                <w:szCs w:val="18"/>
              </w:rPr>
              <w:t xml:space="preserve">kW savings were obtained from the IESO and were adjusted by the same NTG ratio applicable to the kWh for the same program/year. </w:t>
            </w:r>
          </w:p>
          <w:p w14:paraId="53BDAFF8" w14:textId="77777777" w:rsidR="008A2AE7" w:rsidRPr="00743B20" w:rsidRDefault="008A2AE7" w:rsidP="000669E8">
            <w:pPr>
              <w:pStyle w:val="ListParagraph"/>
              <w:ind w:left="0"/>
              <w:rPr>
                <w:sz w:val="18"/>
                <w:szCs w:val="18"/>
              </w:rPr>
            </w:pPr>
          </w:p>
          <w:p w14:paraId="3971C034" w14:textId="03FFBE6E" w:rsidR="008A2AE7" w:rsidRPr="00743B20" w:rsidRDefault="008A2AE7" w:rsidP="000669E8">
            <w:pPr>
              <w:pStyle w:val="ListParagraph"/>
              <w:ind w:left="0"/>
              <w:rPr>
                <w:sz w:val="18"/>
                <w:szCs w:val="18"/>
              </w:rPr>
            </w:pPr>
            <w:r w:rsidRPr="00743B20">
              <w:rPr>
                <w:sz w:val="18"/>
                <w:szCs w:val="18"/>
              </w:rPr>
              <w:t xml:space="preserve">Note: kW savings were added in row 692 which is the “adjustments” row. This is to enable the correct allocation of kWh vs. kW among the rate classes. </w:t>
            </w:r>
          </w:p>
        </w:tc>
      </w:tr>
      <w:tr w:rsidR="008A2AE7" w:rsidRPr="00C771CD" w14:paraId="21512357" w14:textId="77777777" w:rsidTr="00743B20">
        <w:tc>
          <w:tcPr>
            <w:tcW w:w="1694" w:type="dxa"/>
          </w:tcPr>
          <w:p w14:paraId="7B555286" w14:textId="6484BAD8" w:rsidR="008A2AE7" w:rsidRPr="00743B20" w:rsidRDefault="008A2AE7" w:rsidP="000669E8">
            <w:pPr>
              <w:pStyle w:val="ListParagraph"/>
              <w:ind w:left="0"/>
              <w:rPr>
                <w:sz w:val="18"/>
                <w:szCs w:val="18"/>
              </w:rPr>
            </w:pPr>
            <w:r w:rsidRPr="00743B20">
              <w:rPr>
                <w:sz w:val="18"/>
                <w:szCs w:val="18"/>
              </w:rPr>
              <w:t>5.2017-2027 LRAM</w:t>
            </w:r>
          </w:p>
        </w:tc>
        <w:tc>
          <w:tcPr>
            <w:tcW w:w="0" w:type="auto"/>
          </w:tcPr>
          <w:p w14:paraId="134BCDA7" w14:textId="3553BF42" w:rsidR="008A2AE7" w:rsidRPr="00743B20" w:rsidRDefault="008A2AE7" w:rsidP="000669E8">
            <w:pPr>
              <w:pStyle w:val="ListParagraph"/>
              <w:ind w:left="0"/>
              <w:rPr>
                <w:sz w:val="18"/>
                <w:szCs w:val="18"/>
              </w:rPr>
            </w:pPr>
            <w:r w:rsidRPr="00743B20">
              <w:rPr>
                <w:sz w:val="18"/>
                <w:szCs w:val="18"/>
              </w:rPr>
              <w:t>AE-AH691 and AE-AH692</w:t>
            </w:r>
          </w:p>
        </w:tc>
        <w:tc>
          <w:tcPr>
            <w:tcW w:w="0" w:type="auto"/>
          </w:tcPr>
          <w:p w14:paraId="68F44655" w14:textId="6506F13C" w:rsidR="00C771CD" w:rsidRPr="00743B20" w:rsidRDefault="00C771CD" w:rsidP="000669E8">
            <w:pPr>
              <w:pStyle w:val="ListParagraph"/>
              <w:ind w:left="0"/>
              <w:rPr>
                <w:sz w:val="18"/>
                <w:szCs w:val="18"/>
              </w:rPr>
            </w:pPr>
            <w:r w:rsidRPr="00743B20">
              <w:rPr>
                <w:sz w:val="18"/>
                <w:szCs w:val="18"/>
              </w:rPr>
              <w:t xml:space="preserve">Updated allocation factors per class for 2018 SOE Retrofit kWh (row 691) and kW (row 692) based on program results by rate class*. </w:t>
            </w:r>
          </w:p>
          <w:p w14:paraId="15B3CA1B" w14:textId="77777777" w:rsidR="00C771CD" w:rsidRPr="00743B20" w:rsidRDefault="00C771CD" w:rsidP="000669E8">
            <w:pPr>
              <w:pStyle w:val="ListParagraph"/>
              <w:ind w:left="0"/>
              <w:rPr>
                <w:sz w:val="18"/>
                <w:szCs w:val="18"/>
              </w:rPr>
            </w:pPr>
          </w:p>
          <w:p w14:paraId="5761781A" w14:textId="3F0615C0" w:rsidR="00C771CD" w:rsidRPr="00743B20" w:rsidRDefault="00C771CD" w:rsidP="000669E8">
            <w:pPr>
              <w:pStyle w:val="ListParagraph"/>
              <w:ind w:left="0"/>
              <w:rPr>
                <w:sz w:val="18"/>
                <w:szCs w:val="18"/>
              </w:rPr>
            </w:pPr>
            <w:r w:rsidRPr="00743B20">
              <w:rPr>
                <w:sz w:val="18"/>
                <w:szCs w:val="18"/>
              </w:rPr>
              <w:t xml:space="preserve">Previous version had less than 100% allocation among rate classes. </w:t>
            </w:r>
          </w:p>
          <w:p w14:paraId="00C1474D" w14:textId="77777777" w:rsidR="00C771CD" w:rsidRPr="00743B20" w:rsidRDefault="00C771CD" w:rsidP="000669E8">
            <w:pPr>
              <w:pStyle w:val="ListParagraph"/>
              <w:ind w:left="0"/>
              <w:rPr>
                <w:sz w:val="18"/>
                <w:szCs w:val="18"/>
              </w:rPr>
            </w:pPr>
          </w:p>
          <w:p w14:paraId="44596B92" w14:textId="72B438F3" w:rsidR="008A2AE7" w:rsidRPr="00743B20" w:rsidRDefault="00C771CD" w:rsidP="000669E8">
            <w:pPr>
              <w:pStyle w:val="ListParagraph"/>
              <w:ind w:left="0"/>
              <w:rPr>
                <w:sz w:val="18"/>
                <w:szCs w:val="18"/>
              </w:rPr>
            </w:pPr>
            <w:r w:rsidRPr="00743B20">
              <w:rPr>
                <w:sz w:val="18"/>
                <w:szCs w:val="18"/>
              </w:rPr>
              <w:t xml:space="preserve">API obtained detailed program data by application from the IESO and was able to allocate kWh and kW among the classes. The Allocators applicable to kWh vs. kW were different, so results were allocated separately in rows 691 and 692. </w:t>
            </w:r>
          </w:p>
          <w:p w14:paraId="5E1D3397" w14:textId="690AECBA" w:rsidR="00C771CD" w:rsidRPr="00743B20" w:rsidRDefault="00C771CD" w:rsidP="000669E8">
            <w:pPr>
              <w:pStyle w:val="ListParagraph"/>
              <w:ind w:left="0"/>
              <w:rPr>
                <w:sz w:val="18"/>
                <w:szCs w:val="18"/>
              </w:rPr>
            </w:pPr>
          </w:p>
        </w:tc>
      </w:tr>
      <w:tr w:rsidR="00C771CD" w:rsidRPr="00C771CD" w14:paraId="73734DA0" w14:textId="77777777" w:rsidTr="00743B20">
        <w:tc>
          <w:tcPr>
            <w:tcW w:w="1694" w:type="dxa"/>
          </w:tcPr>
          <w:p w14:paraId="24412460" w14:textId="53C882FE" w:rsidR="00C771CD" w:rsidRPr="00C771CD" w:rsidRDefault="00C771CD" w:rsidP="000669E8">
            <w:pPr>
              <w:pStyle w:val="ListParagraph"/>
              <w:ind w:left="0"/>
              <w:rPr>
                <w:sz w:val="18"/>
                <w:szCs w:val="18"/>
              </w:rPr>
            </w:pPr>
            <w:r w:rsidRPr="004B03AB">
              <w:rPr>
                <w:sz w:val="18"/>
                <w:szCs w:val="18"/>
              </w:rPr>
              <w:t>5.2017-2027 LRAM</w:t>
            </w:r>
          </w:p>
        </w:tc>
        <w:tc>
          <w:tcPr>
            <w:tcW w:w="0" w:type="auto"/>
          </w:tcPr>
          <w:p w14:paraId="721D313E" w14:textId="000D5282" w:rsidR="00C771CD" w:rsidRPr="00C771CD" w:rsidRDefault="00C771CD" w:rsidP="000669E8">
            <w:pPr>
              <w:pStyle w:val="ListParagraph"/>
              <w:ind w:left="0"/>
              <w:rPr>
                <w:sz w:val="18"/>
                <w:szCs w:val="18"/>
              </w:rPr>
            </w:pPr>
            <w:r>
              <w:rPr>
                <w:sz w:val="18"/>
                <w:szCs w:val="18"/>
              </w:rPr>
              <w:t>Cols. AE-AH</w:t>
            </w:r>
          </w:p>
        </w:tc>
        <w:tc>
          <w:tcPr>
            <w:tcW w:w="0" w:type="auto"/>
          </w:tcPr>
          <w:p w14:paraId="64F70478" w14:textId="3542F06E" w:rsidR="00C771CD" w:rsidRPr="00C771CD" w:rsidRDefault="00C771CD" w:rsidP="000669E8">
            <w:pPr>
              <w:pStyle w:val="ListParagraph"/>
              <w:ind w:left="0"/>
              <w:rPr>
                <w:sz w:val="18"/>
                <w:szCs w:val="18"/>
              </w:rPr>
            </w:pPr>
            <w:r>
              <w:rPr>
                <w:sz w:val="18"/>
                <w:szCs w:val="18"/>
              </w:rPr>
              <w:t>(formula changes outlined in Question</w:t>
            </w:r>
            <w:r w:rsidR="00564ECD">
              <w:rPr>
                <w:sz w:val="18"/>
                <w:szCs w:val="18"/>
              </w:rPr>
              <w:t>s 4 and</w:t>
            </w:r>
            <w:r>
              <w:rPr>
                <w:sz w:val="18"/>
                <w:szCs w:val="18"/>
              </w:rPr>
              <w:t xml:space="preserve"> 5 above)</w:t>
            </w:r>
          </w:p>
        </w:tc>
      </w:tr>
      <w:tr w:rsidR="00144B3C" w:rsidRPr="00C771CD" w14:paraId="21DA8F81" w14:textId="77777777" w:rsidTr="00743B20">
        <w:tc>
          <w:tcPr>
            <w:tcW w:w="1694" w:type="dxa"/>
          </w:tcPr>
          <w:p w14:paraId="27A37F46" w14:textId="1F36B93F" w:rsidR="00144B3C" w:rsidRPr="004B03AB" w:rsidRDefault="00144B3C" w:rsidP="000669E8">
            <w:pPr>
              <w:pStyle w:val="ListParagraph"/>
              <w:ind w:left="0"/>
              <w:rPr>
                <w:sz w:val="18"/>
                <w:szCs w:val="18"/>
              </w:rPr>
            </w:pPr>
            <w:r>
              <w:rPr>
                <w:sz w:val="18"/>
                <w:szCs w:val="18"/>
              </w:rPr>
              <w:t xml:space="preserve">6. Carrying Chares </w:t>
            </w:r>
          </w:p>
        </w:tc>
        <w:tc>
          <w:tcPr>
            <w:tcW w:w="0" w:type="auto"/>
          </w:tcPr>
          <w:p w14:paraId="46567AA5" w14:textId="10D172D9" w:rsidR="00144B3C" w:rsidRDefault="00144B3C" w:rsidP="000669E8">
            <w:pPr>
              <w:pStyle w:val="ListParagraph"/>
              <w:ind w:left="0"/>
              <w:rPr>
                <w:sz w:val="18"/>
                <w:szCs w:val="18"/>
              </w:rPr>
            </w:pPr>
            <w:r>
              <w:rPr>
                <w:sz w:val="18"/>
                <w:szCs w:val="18"/>
              </w:rPr>
              <w:t>C62</w:t>
            </w:r>
          </w:p>
        </w:tc>
        <w:tc>
          <w:tcPr>
            <w:tcW w:w="0" w:type="auto"/>
          </w:tcPr>
          <w:p w14:paraId="0A397181" w14:textId="01ECA0B1" w:rsidR="00144B3C" w:rsidRDefault="00144B3C" w:rsidP="000669E8">
            <w:pPr>
              <w:pStyle w:val="ListParagraph"/>
              <w:ind w:left="0"/>
              <w:rPr>
                <w:sz w:val="18"/>
                <w:szCs w:val="18"/>
              </w:rPr>
            </w:pPr>
            <w:r>
              <w:rPr>
                <w:sz w:val="18"/>
                <w:szCs w:val="18"/>
              </w:rPr>
              <w:t>Updated Q4 2022 Interest rate to 3.87% per:</w:t>
            </w:r>
          </w:p>
          <w:p w14:paraId="7EABDA17" w14:textId="2F1D1849" w:rsidR="00144B3C" w:rsidRDefault="00144B3C" w:rsidP="000669E8">
            <w:pPr>
              <w:pStyle w:val="ListParagraph"/>
              <w:ind w:left="0"/>
              <w:rPr>
                <w:sz w:val="18"/>
                <w:szCs w:val="18"/>
              </w:rPr>
            </w:pPr>
            <w:r>
              <w:rPr>
                <w:sz w:val="18"/>
                <w:szCs w:val="18"/>
              </w:rPr>
              <w:t xml:space="preserve"> </w:t>
            </w:r>
            <w:hyperlink r:id="rId8" w:history="1">
              <w:r w:rsidRPr="00743B20">
                <w:rPr>
                  <w:rStyle w:val="Hyperlink"/>
                  <w:sz w:val="18"/>
                  <w:szCs w:val="18"/>
                </w:rPr>
                <w:t>Prescribed interest rates | Ontario Energy Board (oeb.ca)</w:t>
              </w:r>
            </w:hyperlink>
            <w:r w:rsidRPr="00743B20">
              <w:rPr>
                <w:sz w:val="14"/>
                <w:szCs w:val="14"/>
              </w:rPr>
              <w:t xml:space="preserve"> </w:t>
            </w:r>
          </w:p>
        </w:tc>
      </w:tr>
    </w:tbl>
    <w:p w14:paraId="2B5D2514" w14:textId="37A16917" w:rsidR="003E5ED1" w:rsidRDefault="003E5ED1" w:rsidP="000669E8">
      <w:pPr>
        <w:pStyle w:val="ListParagraph"/>
      </w:pPr>
    </w:p>
    <w:p w14:paraId="464966B4" w14:textId="151F3141" w:rsidR="003E5ED1" w:rsidRDefault="003E5ED1" w:rsidP="000669E8">
      <w:pPr>
        <w:pStyle w:val="ListParagraph"/>
      </w:pPr>
    </w:p>
    <w:p w14:paraId="68B14581" w14:textId="7C7CB725" w:rsidR="003E5ED1" w:rsidRDefault="003E5ED1" w:rsidP="003E5ED1">
      <w:r>
        <w:lastRenderedPageBreak/>
        <w:t>The changes outline</w:t>
      </w:r>
      <w:r w:rsidR="000D6261">
        <w:t>d</w:t>
      </w:r>
      <w:r>
        <w:t xml:space="preserve"> above result in the following updated claim for the 2018-2020 Programs and their persistence in 2018 to 2022.</w:t>
      </w:r>
      <w:r w:rsidR="00564ECD">
        <w:t xml:space="preserve"> These changes have been made in </w:t>
      </w:r>
      <w:r w:rsidR="005B689F">
        <w:t xml:space="preserve">Tab 3- Continuity Schedule in the Rate Generator. </w:t>
      </w:r>
    </w:p>
    <w:p w14:paraId="29423959" w14:textId="76FC3139" w:rsidR="003E5ED1" w:rsidRDefault="001F0DD2" w:rsidP="00743B20">
      <w:r w:rsidRPr="001F0DD2" w:rsidDel="001F0DD2">
        <w:t xml:space="preserve"> </w:t>
      </w:r>
      <w:r w:rsidRPr="001F0DD2">
        <w:rPr>
          <w:noProof/>
        </w:rPr>
        <w:drawing>
          <wp:inline distT="0" distB="0" distL="0" distR="0" wp14:anchorId="38E5233F" wp14:editId="7BD24F8B">
            <wp:extent cx="5943600" cy="1203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03960"/>
                    </a:xfrm>
                    <a:prstGeom prst="rect">
                      <a:avLst/>
                    </a:prstGeom>
                    <a:noFill/>
                    <a:ln>
                      <a:noFill/>
                    </a:ln>
                  </pic:spPr>
                </pic:pic>
              </a:graphicData>
            </a:graphic>
          </wp:inline>
        </w:drawing>
      </w:r>
      <w:r w:rsidRPr="001F0DD2" w:rsidDel="001F0DD2">
        <w:t xml:space="preserve"> </w:t>
      </w:r>
    </w:p>
    <w:p w14:paraId="2EA8B0A3" w14:textId="19EBC279" w:rsidR="003E5ED1" w:rsidRPr="000D3695" w:rsidRDefault="003E5ED1" w:rsidP="003E5ED1">
      <w:r>
        <w:t>In addition the following LRAM has been calculated on a prospective basis for 2023 and 2024 persistence from the same 2018-2020 programs.  API understands that no carrying charges apply to the prospective amounts.</w:t>
      </w:r>
    </w:p>
    <w:p w14:paraId="461583FF" w14:textId="7533E898" w:rsidR="003E5ED1" w:rsidRDefault="001F0DD2">
      <w:pPr>
        <w:rPr>
          <w:color w:val="00B0F0"/>
        </w:rPr>
      </w:pPr>
      <w:r w:rsidRPr="001F0DD2">
        <w:rPr>
          <w:noProof/>
        </w:rPr>
        <w:drawing>
          <wp:inline distT="0" distB="0" distL="0" distR="0" wp14:anchorId="31055684" wp14:editId="33F63606">
            <wp:extent cx="5943600" cy="7924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92480"/>
                    </a:xfrm>
                    <a:prstGeom prst="rect">
                      <a:avLst/>
                    </a:prstGeom>
                    <a:noFill/>
                    <a:ln>
                      <a:noFill/>
                    </a:ln>
                  </pic:spPr>
                </pic:pic>
              </a:graphicData>
            </a:graphic>
          </wp:inline>
        </w:drawing>
      </w:r>
      <w:r w:rsidRPr="001F0DD2" w:rsidDel="001F0DD2">
        <w:t xml:space="preserve"> </w:t>
      </w:r>
    </w:p>
    <w:p w14:paraId="7E35C30B" w14:textId="5E4FA857" w:rsidR="00A876AF" w:rsidRDefault="00B45425">
      <w:r>
        <w:t xml:space="preserve">API notes the following rate riders have been added in </w:t>
      </w:r>
      <w:r w:rsidR="00A876AF">
        <w:t>Tab 18</w:t>
      </w:r>
      <w:r w:rsidR="00144B3C">
        <w:t xml:space="preserve"> of the Rate Generator</w:t>
      </w:r>
      <w:r w:rsidR="00A876AF">
        <w:t>, to represent the LRAMVA associated with Lost Revenues in 2023. The current calculations represent placeholder numbers</w:t>
      </w:r>
      <w:r w:rsidR="00144B3C">
        <w:t xml:space="preserve"> (2022 rates)</w:t>
      </w:r>
      <w:r w:rsidR="00A876AF">
        <w:t xml:space="preserve">, as the distribution rates for 2023 have not yet been finalized. The rate riders will need to be updated upon finalization of the volumetric distribution rates for each class. </w:t>
      </w:r>
    </w:p>
    <w:p w14:paraId="14AC13B3" w14:textId="0AA65ACF" w:rsidR="00A876AF" w:rsidRDefault="00A876AF" w:rsidP="00A876AF">
      <w:r w:rsidRPr="00A876AF" w:rsidDel="00A876AF">
        <w:t xml:space="preserve"> </w:t>
      </w:r>
      <w:r w:rsidR="001F0DD2" w:rsidRPr="001F0DD2">
        <w:rPr>
          <w:noProof/>
        </w:rPr>
        <w:drawing>
          <wp:inline distT="0" distB="0" distL="0" distR="0" wp14:anchorId="7009C566" wp14:editId="790CCDA9">
            <wp:extent cx="5943600" cy="1565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65275"/>
                    </a:xfrm>
                    <a:prstGeom prst="rect">
                      <a:avLst/>
                    </a:prstGeom>
                    <a:noFill/>
                    <a:ln>
                      <a:noFill/>
                    </a:ln>
                  </pic:spPr>
                </pic:pic>
              </a:graphicData>
            </a:graphic>
          </wp:inline>
        </w:drawing>
      </w:r>
      <w:r w:rsidR="001F0DD2" w:rsidRPr="001F0DD2" w:rsidDel="001F0DD2">
        <w:t xml:space="preserve"> </w:t>
      </w:r>
      <w:r>
        <w:br w:type="page"/>
      </w:r>
    </w:p>
    <w:p w14:paraId="66E7F8DF" w14:textId="03FB05A9" w:rsidR="00E77FB9" w:rsidRDefault="00E77FB9"/>
    <w:p w14:paraId="7CAF3D0B" w14:textId="77777777" w:rsidR="00354274" w:rsidRDefault="00354274"/>
    <w:p w14:paraId="5230FF80" w14:textId="77777777" w:rsidR="00E77FB9" w:rsidRDefault="00E77FB9" w:rsidP="00E77FB9">
      <w:pPr>
        <w:rPr>
          <w:b/>
          <w:bCs/>
        </w:rPr>
      </w:pPr>
      <w:r>
        <w:rPr>
          <w:b/>
          <w:bCs/>
        </w:rPr>
        <w:t>Question 8</w:t>
      </w:r>
    </w:p>
    <w:p w14:paraId="3CC6A1F9" w14:textId="77777777" w:rsidR="00E77FB9" w:rsidRDefault="00E77FB9" w:rsidP="00E77FB9">
      <w:r>
        <w:t>In Appendix A, OEB staff has provided an updated RRRP adjustment factor of 3.18%. Please review and confirm that API agrees with the analysis.</w:t>
      </w:r>
    </w:p>
    <w:p w14:paraId="2B40AA72" w14:textId="69C5CD9F" w:rsidR="00E77FB9" w:rsidRDefault="00E77FB9" w:rsidP="00E77FB9"/>
    <w:p w14:paraId="658A7AFC" w14:textId="77777777" w:rsidR="00E77FB9" w:rsidRPr="000D3695" w:rsidRDefault="00E77FB9" w:rsidP="00E77FB9">
      <w:pPr>
        <w:rPr>
          <w:b/>
          <w:bCs/>
        </w:rPr>
      </w:pPr>
      <w:r w:rsidRPr="000D3695">
        <w:rPr>
          <w:b/>
          <w:bCs/>
        </w:rPr>
        <w:t>Response:</w:t>
      </w:r>
    </w:p>
    <w:p w14:paraId="646E4C10" w14:textId="5014D7F2" w:rsidR="00E77FB9" w:rsidRDefault="00322910" w:rsidP="00E77FB9">
      <w:r>
        <w:t xml:space="preserve">API </w:t>
      </w:r>
      <w:r w:rsidR="00A876AF">
        <w:t xml:space="preserve">has reviewed the RRRP provided by OEB Staff, and identified a limited number of anomalies to be investigated in conjunction with OEB staff. API does not expect the anomalies to result in a material impact to the RRRP adjustment. </w:t>
      </w:r>
    </w:p>
    <w:p w14:paraId="333D5F1F" w14:textId="5476F211" w:rsidR="00E77FB9" w:rsidRDefault="00E77FB9" w:rsidP="00E77FB9"/>
    <w:p w14:paraId="72314CCA" w14:textId="685BE0AF" w:rsidR="00E77FB9" w:rsidRDefault="00E77FB9">
      <w:r>
        <w:br w:type="page"/>
      </w:r>
    </w:p>
    <w:p w14:paraId="27C78ACB" w14:textId="77777777" w:rsidR="00E77FB9" w:rsidRDefault="00E77FB9" w:rsidP="00E77FB9"/>
    <w:p w14:paraId="6AD79AD9" w14:textId="77777777" w:rsidR="00E77FB9" w:rsidRDefault="00E77FB9" w:rsidP="00E77FB9">
      <w:pPr>
        <w:rPr>
          <w:b/>
          <w:bCs/>
        </w:rPr>
      </w:pPr>
      <w:r>
        <w:rPr>
          <w:b/>
          <w:bCs/>
        </w:rPr>
        <w:t>Question 9</w:t>
      </w:r>
    </w:p>
    <w:p w14:paraId="6C5C62F4" w14:textId="77777777" w:rsidR="00E77FB9" w:rsidRDefault="00E77FB9" w:rsidP="00E77FB9">
      <w:r>
        <w:t>With respect to accounts 1588 and 1589 for the year 2021, the variances exceed the OEB’s threshold of 1% such that API.</w:t>
      </w:r>
    </w:p>
    <w:p w14:paraId="2F4D08AD" w14:textId="77777777" w:rsidR="00E77FB9" w:rsidRDefault="00E77FB9" w:rsidP="00E77FB9">
      <w:r>
        <w:t>As per discussion with OEB staff, please confirm that API will withdraw its disposition of its 1588 and 1589 balances until it concludes its investigation of the drivers of the variances.</w:t>
      </w:r>
    </w:p>
    <w:p w14:paraId="7133B302" w14:textId="0C9D0BF0" w:rsidR="00354274" w:rsidRDefault="00354274"/>
    <w:p w14:paraId="427130F2" w14:textId="77777777" w:rsidR="00E77FB9" w:rsidRPr="000D3695" w:rsidRDefault="00E77FB9" w:rsidP="00E77FB9">
      <w:pPr>
        <w:rPr>
          <w:b/>
          <w:bCs/>
        </w:rPr>
      </w:pPr>
      <w:r w:rsidRPr="000D3695">
        <w:rPr>
          <w:b/>
          <w:bCs/>
        </w:rPr>
        <w:t>Response:</w:t>
      </w:r>
    </w:p>
    <w:p w14:paraId="7FDFA95C" w14:textId="1E7819C9" w:rsidR="00E77FB9" w:rsidRDefault="00322910">
      <w:r>
        <w:t>API confirms, it withdraws its request to dispose of the 1588 and 1589 balances until it concludes its investigation of the drivers of the variances. To be clear, the remaining Group 1 disposition as well as the LRAMVA disposition are still being requested.</w:t>
      </w:r>
      <w:r w:rsidR="00AA2591">
        <w:t xml:space="preserve"> API has made offsetting entries for the total eligible claims in 1588 and 1589 in column BR (intended from Projected interest from Jan 1 2023-Apr 30 2023) of Tab 3- Continuity Schedule</w:t>
      </w:r>
      <w:r w:rsidR="000D6261">
        <w:t>, in order to remove the balances from the total disposition amount</w:t>
      </w:r>
      <w:r w:rsidR="00AA2591">
        <w:t>.</w:t>
      </w:r>
    </w:p>
    <w:sectPr w:rsidR="00E77FB9" w:rsidSect="00630E83">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3A86" w14:textId="77777777" w:rsidR="00497312" w:rsidRDefault="00497312" w:rsidP="00630E83">
      <w:pPr>
        <w:spacing w:after="0" w:line="240" w:lineRule="auto"/>
      </w:pPr>
      <w:r>
        <w:separator/>
      </w:r>
    </w:p>
  </w:endnote>
  <w:endnote w:type="continuationSeparator" w:id="0">
    <w:p w14:paraId="1B73A737" w14:textId="77777777" w:rsidR="00497312" w:rsidRDefault="00497312" w:rsidP="0063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D074" w14:textId="77777777" w:rsidR="00497312" w:rsidRDefault="00497312" w:rsidP="00630E83">
      <w:pPr>
        <w:spacing w:after="0" w:line="240" w:lineRule="auto"/>
      </w:pPr>
      <w:r>
        <w:separator/>
      </w:r>
    </w:p>
  </w:footnote>
  <w:footnote w:type="continuationSeparator" w:id="0">
    <w:p w14:paraId="6F9566DF" w14:textId="77777777" w:rsidR="00497312" w:rsidRDefault="00497312" w:rsidP="0063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0164" w14:textId="65CBDAA6" w:rsidR="00630E83" w:rsidRDefault="00630E83">
    <w:pPr>
      <w:pStyle w:val="Header"/>
      <w:jc w:val="right"/>
    </w:pPr>
    <w:r>
      <w:t>Algoma Power Inc.</w:t>
    </w:r>
  </w:p>
  <w:p w14:paraId="588FEE8A" w14:textId="4B893196" w:rsidR="00630E83" w:rsidRDefault="00630E83">
    <w:pPr>
      <w:pStyle w:val="Header"/>
      <w:jc w:val="right"/>
    </w:pPr>
    <w:r>
      <w:t>2023 IRM Application</w:t>
    </w:r>
  </w:p>
  <w:p w14:paraId="69401DF5" w14:textId="7D033A99" w:rsidR="00630E83" w:rsidRDefault="00630E83">
    <w:pPr>
      <w:pStyle w:val="Header"/>
      <w:jc w:val="right"/>
    </w:pPr>
    <w:r>
      <w:t>EB-2022-0014</w:t>
    </w:r>
  </w:p>
  <w:sdt>
    <w:sdtPr>
      <w:id w:val="-1318336367"/>
      <w:docPartObj>
        <w:docPartGallery w:val="Page Numbers (Top of Page)"/>
        <w:docPartUnique/>
      </w:docPartObj>
    </w:sdtPr>
    <w:sdtEndPr/>
    <w:sdtContent>
      <w:p w14:paraId="10EB9789" w14:textId="3921284E" w:rsidR="00630E83" w:rsidRDefault="00630E8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51DCC96" w14:textId="77777777" w:rsidR="00630E83" w:rsidRDefault="00630E83" w:rsidP="00630E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1D5F"/>
    <w:multiLevelType w:val="hybridMultilevel"/>
    <w:tmpl w:val="A6D85160"/>
    <w:lvl w:ilvl="0" w:tplc="060430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22844"/>
    <w:multiLevelType w:val="hybridMultilevel"/>
    <w:tmpl w:val="A5FA0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117"/>
    <w:multiLevelType w:val="hybridMultilevel"/>
    <w:tmpl w:val="B036BB3E"/>
    <w:lvl w:ilvl="0" w:tplc="67C09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A726E"/>
    <w:multiLevelType w:val="hybridMultilevel"/>
    <w:tmpl w:val="6BB69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81ED8"/>
    <w:multiLevelType w:val="hybridMultilevel"/>
    <w:tmpl w:val="1A0C8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E42CA"/>
    <w:multiLevelType w:val="hybridMultilevel"/>
    <w:tmpl w:val="E518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54D9A"/>
    <w:multiLevelType w:val="hybridMultilevel"/>
    <w:tmpl w:val="289EC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293B44"/>
    <w:multiLevelType w:val="hybridMultilevel"/>
    <w:tmpl w:val="BB36B9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6715A6D"/>
    <w:multiLevelType w:val="hybridMultilevel"/>
    <w:tmpl w:val="81C4C148"/>
    <w:lvl w:ilvl="0" w:tplc="10090017">
      <w:start w:val="1"/>
      <w:numFmt w:val="lowerLetter"/>
      <w:lvlText w:val="%1)"/>
      <w:lvlJc w:val="left"/>
      <w:pPr>
        <w:ind w:left="720" w:hanging="360"/>
      </w:pPr>
      <w:rPr>
        <w:rFonts w:hint="default"/>
        <w:b w:val="0"/>
      </w:rPr>
    </w:lvl>
    <w:lvl w:ilvl="1" w:tplc="773E29BC">
      <w:start w:val="1"/>
      <w:numFmt w:val="lowerRoman"/>
      <w:lvlText w:val="%2)"/>
      <w:lvlJc w:val="left"/>
      <w:pPr>
        <w:ind w:left="1440" w:hanging="360"/>
      </w:pPr>
      <w:rPr>
        <w:rFonts w:asciiTheme="minorHAnsi" w:eastAsiaTheme="minorHAnsi" w:hAnsiTheme="minorHAnsi" w:cstheme="minorBid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A145E30"/>
    <w:multiLevelType w:val="hybridMultilevel"/>
    <w:tmpl w:val="3D38F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F8269C"/>
    <w:multiLevelType w:val="hybridMultilevel"/>
    <w:tmpl w:val="23D4D888"/>
    <w:lvl w:ilvl="0" w:tplc="F28EE59E">
      <w:start w:val="1"/>
      <w:numFmt w:val="lowerLetter"/>
      <w:lvlText w:val="%1)"/>
      <w:lvlJc w:val="left"/>
      <w:pPr>
        <w:ind w:left="720" w:hanging="360"/>
      </w:pPr>
      <w:rPr>
        <w:rFonts w:asciiTheme="minorHAnsi" w:eastAsiaTheme="minorHAnsi" w:hAnsiTheme="minorHAnsi" w:cstheme="minorBidi"/>
      </w:rPr>
    </w:lvl>
    <w:lvl w:ilvl="1" w:tplc="773E29BC">
      <w:start w:val="1"/>
      <w:numFmt w:val="lowerRoman"/>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2B31CB"/>
    <w:multiLevelType w:val="hybridMultilevel"/>
    <w:tmpl w:val="C764E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1625EC"/>
    <w:multiLevelType w:val="hybridMultilevel"/>
    <w:tmpl w:val="6DB073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F63928"/>
    <w:multiLevelType w:val="hybridMultilevel"/>
    <w:tmpl w:val="316A0436"/>
    <w:lvl w:ilvl="0" w:tplc="75024F8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0E36E9"/>
    <w:multiLevelType w:val="hybridMultilevel"/>
    <w:tmpl w:val="1EA895B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6B2A6E"/>
    <w:multiLevelType w:val="hybridMultilevel"/>
    <w:tmpl w:val="7388C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813426">
    <w:abstractNumId w:val="6"/>
  </w:num>
  <w:num w:numId="2" w16cid:durableId="972297474">
    <w:abstractNumId w:val="10"/>
  </w:num>
  <w:num w:numId="3" w16cid:durableId="189145541">
    <w:abstractNumId w:val="2"/>
  </w:num>
  <w:num w:numId="4" w16cid:durableId="237911568">
    <w:abstractNumId w:val="12"/>
  </w:num>
  <w:num w:numId="5" w16cid:durableId="303395070">
    <w:abstractNumId w:val="9"/>
  </w:num>
  <w:num w:numId="6" w16cid:durableId="359210778">
    <w:abstractNumId w:val="4"/>
  </w:num>
  <w:num w:numId="7" w16cid:durableId="1169906136">
    <w:abstractNumId w:val="5"/>
  </w:num>
  <w:num w:numId="8" w16cid:durableId="1675036405">
    <w:abstractNumId w:val="11"/>
  </w:num>
  <w:num w:numId="9" w16cid:durableId="691616555">
    <w:abstractNumId w:val="13"/>
  </w:num>
  <w:num w:numId="10" w16cid:durableId="1795295519">
    <w:abstractNumId w:val="1"/>
  </w:num>
  <w:num w:numId="11" w16cid:durableId="994527013">
    <w:abstractNumId w:val="0"/>
  </w:num>
  <w:num w:numId="12" w16cid:durableId="1589803670">
    <w:abstractNumId w:val="15"/>
  </w:num>
  <w:num w:numId="13" w16cid:durableId="1869954469">
    <w:abstractNumId w:val="3"/>
  </w:num>
  <w:num w:numId="14" w16cid:durableId="544219053">
    <w:abstractNumId w:val="8"/>
  </w:num>
  <w:num w:numId="15" w16cid:durableId="290286909">
    <w:abstractNumId w:val="14"/>
  </w:num>
  <w:num w:numId="16" w16cid:durableId="679160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F8"/>
    <w:rsid w:val="0005116F"/>
    <w:rsid w:val="000669E8"/>
    <w:rsid w:val="00087E78"/>
    <w:rsid w:val="000D3695"/>
    <w:rsid w:val="000D6261"/>
    <w:rsid w:val="00144B3C"/>
    <w:rsid w:val="001A2063"/>
    <w:rsid w:val="001B19C1"/>
    <w:rsid w:val="001F0DD2"/>
    <w:rsid w:val="00322910"/>
    <w:rsid w:val="00354274"/>
    <w:rsid w:val="00354AD7"/>
    <w:rsid w:val="00357AE7"/>
    <w:rsid w:val="00370DD4"/>
    <w:rsid w:val="003E5ED1"/>
    <w:rsid w:val="00401749"/>
    <w:rsid w:val="004810D5"/>
    <w:rsid w:val="00497312"/>
    <w:rsid w:val="004E08F7"/>
    <w:rsid w:val="004F22B1"/>
    <w:rsid w:val="00564ECD"/>
    <w:rsid w:val="005872AF"/>
    <w:rsid w:val="005A6F60"/>
    <w:rsid w:val="005B689F"/>
    <w:rsid w:val="00630E83"/>
    <w:rsid w:val="006D0EBD"/>
    <w:rsid w:val="00743B20"/>
    <w:rsid w:val="008923E1"/>
    <w:rsid w:val="008A2AE7"/>
    <w:rsid w:val="008B39C6"/>
    <w:rsid w:val="008C5067"/>
    <w:rsid w:val="008E064C"/>
    <w:rsid w:val="008F3AF3"/>
    <w:rsid w:val="00901CC9"/>
    <w:rsid w:val="00932AF4"/>
    <w:rsid w:val="0093485C"/>
    <w:rsid w:val="0095059B"/>
    <w:rsid w:val="00997DA5"/>
    <w:rsid w:val="009C2ACB"/>
    <w:rsid w:val="00A306EC"/>
    <w:rsid w:val="00A70E06"/>
    <w:rsid w:val="00A876AF"/>
    <w:rsid w:val="00AA2591"/>
    <w:rsid w:val="00AB3C1B"/>
    <w:rsid w:val="00AF0B79"/>
    <w:rsid w:val="00B01DF8"/>
    <w:rsid w:val="00B0783C"/>
    <w:rsid w:val="00B45425"/>
    <w:rsid w:val="00BA3E30"/>
    <w:rsid w:val="00BC0EBE"/>
    <w:rsid w:val="00C12C9E"/>
    <w:rsid w:val="00C771CD"/>
    <w:rsid w:val="00DB7568"/>
    <w:rsid w:val="00E07980"/>
    <w:rsid w:val="00E77FB9"/>
    <w:rsid w:val="00EF7DF8"/>
    <w:rsid w:val="00F4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CF7FF3"/>
  <w15:chartTrackingRefBased/>
  <w15:docId w15:val="{2ABE27DD-4391-4475-A0F8-038ABE4A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CB"/>
    <w:pPr>
      <w:ind w:left="720"/>
      <w:contextualSpacing/>
    </w:pPr>
  </w:style>
  <w:style w:type="paragraph" w:styleId="Header">
    <w:name w:val="header"/>
    <w:basedOn w:val="Normal"/>
    <w:link w:val="HeaderChar"/>
    <w:uiPriority w:val="99"/>
    <w:unhideWhenUsed/>
    <w:rsid w:val="00630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83"/>
  </w:style>
  <w:style w:type="paragraph" w:styleId="Footer">
    <w:name w:val="footer"/>
    <w:basedOn w:val="Normal"/>
    <w:link w:val="FooterChar"/>
    <w:uiPriority w:val="99"/>
    <w:unhideWhenUsed/>
    <w:rsid w:val="0063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83"/>
  </w:style>
  <w:style w:type="character" w:styleId="CommentReference">
    <w:name w:val="annotation reference"/>
    <w:basedOn w:val="DefaultParagraphFont"/>
    <w:uiPriority w:val="99"/>
    <w:semiHidden/>
    <w:unhideWhenUsed/>
    <w:rsid w:val="00322910"/>
    <w:rPr>
      <w:sz w:val="16"/>
      <w:szCs w:val="16"/>
    </w:rPr>
  </w:style>
  <w:style w:type="paragraph" w:styleId="CommentText">
    <w:name w:val="annotation text"/>
    <w:basedOn w:val="Normal"/>
    <w:link w:val="CommentTextChar"/>
    <w:uiPriority w:val="99"/>
    <w:unhideWhenUsed/>
    <w:rsid w:val="00322910"/>
    <w:pPr>
      <w:spacing w:line="240" w:lineRule="auto"/>
    </w:pPr>
    <w:rPr>
      <w:sz w:val="20"/>
      <w:szCs w:val="20"/>
    </w:rPr>
  </w:style>
  <w:style w:type="character" w:customStyle="1" w:styleId="CommentTextChar">
    <w:name w:val="Comment Text Char"/>
    <w:basedOn w:val="DefaultParagraphFont"/>
    <w:link w:val="CommentText"/>
    <w:uiPriority w:val="99"/>
    <w:rsid w:val="00322910"/>
    <w:rPr>
      <w:sz w:val="20"/>
      <w:szCs w:val="20"/>
    </w:rPr>
  </w:style>
  <w:style w:type="paragraph" w:styleId="CommentSubject">
    <w:name w:val="annotation subject"/>
    <w:basedOn w:val="CommentText"/>
    <w:next w:val="CommentText"/>
    <w:link w:val="CommentSubjectChar"/>
    <w:uiPriority w:val="99"/>
    <w:semiHidden/>
    <w:unhideWhenUsed/>
    <w:rsid w:val="00322910"/>
    <w:rPr>
      <w:b/>
      <w:bCs/>
    </w:rPr>
  </w:style>
  <w:style w:type="character" w:customStyle="1" w:styleId="CommentSubjectChar">
    <w:name w:val="Comment Subject Char"/>
    <w:basedOn w:val="CommentTextChar"/>
    <w:link w:val="CommentSubject"/>
    <w:uiPriority w:val="99"/>
    <w:semiHidden/>
    <w:rsid w:val="00322910"/>
    <w:rPr>
      <w:b/>
      <w:bCs/>
      <w:sz w:val="20"/>
      <w:szCs w:val="20"/>
    </w:rPr>
  </w:style>
  <w:style w:type="paragraph" w:styleId="Revision">
    <w:name w:val="Revision"/>
    <w:hidden/>
    <w:uiPriority w:val="99"/>
    <w:semiHidden/>
    <w:rsid w:val="004E08F7"/>
    <w:pPr>
      <w:spacing w:after="0" w:line="240" w:lineRule="auto"/>
    </w:pPr>
  </w:style>
  <w:style w:type="table" w:styleId="TableGrid">
    <w:name w:val="Table Grid"/>
    <w:basedOn w:val="TableNormal"/>
    <w:uiPriority w:val="39"/>
    <w:rsid w:val="004F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44B3C"/>
    <w:rPr>
      <w:color w:val="0000FF"/>
      <w:u w:val="single"/>
    </w:rPr>
  </w:style>
  <w:style w:type="table" w:styleId="GridTable1Light">
    <w:name w:val="Grid Table 1 Light"/>
    <w:basedOn w:val="TableNormal"/>
    <w:uiPriority w:val="46"/>
    <w:rsid w:val="00901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1630">
      <w:bodyDiv w:val="1"/>
      <w:marLeft w:val="0"/>
      <w:marRight w:val="0"/>
      <w:marTop w:val="0"/>
      <w:marBottom w:val="0"/>
      <w:divBdr>
        <w:top w:val="none" w:sz="0" w:space="0" w:color="auto"/>
        <w:left w:val="none" w:sz="0" w:space="0" w:color="auto"/>
        <w:bottom w:val="none" w:sz="0" w:space="0" w:color="auto"/>
        <w:right w:val="none" w:sz="0" w:space="0" w:color="auto"/>
      </w:divBdr>
    </w:div>
    <w:div w:id="231278786">
      <w:bodyDiv w:val="1"/>
      <w:marLeft w:val="0"/>
      <w:marRight w:val="0"/>
      <w:marTop w:val="0"/>
      <w:marBottom w:val="0"/>
      <w:divBdr>
        <w:top w:val="none" w:sz="0" w:space="0" w:color="auto"/>
        <w:left w:val="none" w:sz="0" w:space="0" w:color="auto"/>
        <w:bottom w:val="none" w:sz="0" w:space="0" w:color="auto"/>
        <w:right w:val="none" w:sz="0" w:space="0" w:color="auto"/>
      </w:divBdr>
    </w:div>
    <w:div w:id="318731934">
      <w:bodyDiv w:val="1"/>
      <w:marLeft w:val="0"/>
      <w:marRight w:val="0"/>
      <w:marTop w:val="0"/>
      <w:marBottom w:val="0"/>
      <w:divBdr>
        <w:top w:val="none" w:sz="0" w:space="0" w:color="auto"/>
        <w:left w:val="none" w:sz="0" w:space="0" w:color="auto"/>
        <w:bottom w:val="none" w:sz="0" w:space="0" w:color="auto"/>
        <w:right w:val="none" w:sz="0" w:space="0" w:color="auto"/>
      </w:divBdr>
    </w:div>
    <w:div w:id="490413362">
      <w:bodyDiv w:val="1"/>
      <w:marLeft w:val="0"/>
      <w:marRight w:val="0"/>
      <w:marTop w:val="0"/>
      <w:marBottom w:val="0"/>
      <w:divBdr>
        <w:top w:val="none" w:sz="0" w:space="0" w:color="auto"/>
        <w:left w:val="none" w:sz="0" w:space="0" w:color="auto"/>
        <w:bottom w:val="none" w:sz="0" w:space="0" w:color="auto"/>
        <w:right w:val="none" w:sz="0" w:space="0" w:color="auto"/>
      </w:divBdr>
    </w:div>
    <w:div w:id="882640359">
      <w:bodyDiv w:val="1"/>
      <w:marLeft w:val="0"/>
      <w:marRight w:val="0"/>
      <w:marTop w:val="0"/>
      <w:marBottom w:val="0"/>
      <w:divBdr>
        <w:top w:val="none" w:sz="0" w:space="0" w:color="auto"/>
        <w:left w:val="none" w:sz="0" w:space="0" w:color="auto"/>
        <w:bottom w:val="none" w:sz="0" w:space="0" w:color="auto"/>
        <w:right w:val="none" w:sz="0" w:space="0" w:color="auto"/>
      </w:divBdr>
    </w:div>
    <w:div w:id="18768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regulatory-rules-and-documents/rules-codes-and-requirements/prescribed-interest-r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Wasylyk</dc:creator>
  <cp:keywords/>
  <dc:description/>
  <cp:lastModifiedBy>Stefan, Oana</cp:lastModifiedBy>
  <cp:revision>6</cp:revision>
  <dcterms:created xsi:type="dcterms:W3CDTF">2022-10-21T17:55:00Z</dcterms:created>
  <dcterms:modified xsi:type="dcterms:W3CDTF">2022-10-21T19:23:00Z</dcterms:modified>
</cp:coreProperties>
</file>