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44B1" w14:textId="77777777" w:rsidR="000948A4" w:rsidRDefault="000948A4"/>
    <w:p w14:paraId="41321FAE" w14:textId="77777777" w:rsidR="00FC58CE" w:rsidRDefault="00FC58CE"/>
    <w:p w14:paraId="3AF626D6" w14:textId="77777777" w:rsidR="00FC58CE" w:rsidRDefault="00FC58CE" w:rsidP="00FC58CE">
      <w:pPr>
        <w:jc w:val="center"/>
      </w:pPr>
      <w:r>
        <w:rPr>
          <w:noProof/>
          <w:lang w:val="en-CA" w:eastAsia="en-CA"/>
        </w:rPr>
        <w:drawing>
          <wp:inline distT="0" distB="0" distL="0" distR="0" wp14:anchorId="0324AEEB" wp14:editId="315719CE">
            <wp:extent cx="26441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127760"/>
                    </a:xfrm>
                    <a:prstGeom prst="rect">
                      <a:avLst/>
                    </a:prstGeom>
                    <a:noFill/>
                  </pic:spPr>
                </pic:pic>
              </a:graphicData>
            </a:graphic>
          </wp:inline>
        </w:drawing>
      </w:r>
    </w:p>
    <w:p w14:paraId="103CA44E" w14:textId="77777777" w:rsidR="00FC58CE" w:rsidRDefault="00FC58CE" w:rsidP="00FC58CE">
      <w:pPr>
        <w:jc w:val="center"/>
      </w:pPr>
    </w:p>
    <w:p w14:paraId="0177FF89" w14:textId="77777777" w:rsidR="00FC58CE" w:rsidRDefault="00FC58CE" w:rsidP="00FC58CE">
      <w:pPr>
        <w:jc w:val="center"/>
      </w:pPr>
    </w:p>
    <w:p w14:paraId="7392CAE9" w14:textId="77777777" w:rsidR="00FC58CE" w:rsidRDefault="00FC58CE" w:rsidP="00FC58CE">
      <w:pPr>
        <w:jc w:val="center"/>
      </w:pPr>
    </w:p>
    <w:p w14:paraId="617F49ED" w14:textId="77777777" w:rsidR="00FC58CE" w:rsidRPr="00FC58CE" w:rsidRDefault="00FC58CE" w:rsidP="00FC58CE">
      <w:pPr>
        <w:jc w:val="center"/>
        <w:rPr>
          <w:b/>
          <w:sz w:val="56"/>
          <w:szCs w:val="56"/>
        </w:rPr>
      </w:pPr>
      <w:r w:rsidRPr="00FC58CE">
        <w:rPr>
          <w:b/>
          <w:sz w:val="56"/>
          <w:szCs w:val="56"/>
        </w:rPr>
        <w:t>InnPower Corporation</w:t>
      </w:r>
    </w:p>
    <w:p w14:paraId="6B43E316" w14:textId="77777777" w:rsidR="00FC58CE" w:rsidRPr="00FC58CE" w:rsidRDefault="00FC58CE" w:rsidP="00FC58CE">
      <w:pPr>
        <w:jc w:val="center"/>
        <w:rPr>
          <w:b/>
          <w:sz w:val="56"/>
          <w:szCs w:val="56"/>
        </w:rPr>
      </w:pPr>
      <w:r w:rsidRPr="00FC58CE">
        <w:rPr>
          <w:b/>
          <w:sz w:val="56"/>
          <w:szCs w:val="56"/>
        </w:rPr>
        <w:t>ED-2002-0520</w:t>
      </w:r>
    </w:p>
    <w:p w14:paraId="266BA29A" w14:textId="77777777" w:rsidR="00FC58CE" w:rsidRDefault="00FC58CE" w:rsidP="00FC58CE">
      <w:pPr>
        <w:jc w:val="center"/>
        <w:rPr>
          <w:sz w:val="56"/>
          <w:szCs w:val="56"/>
        </w:rPr>
      </w:pPr>
    </w:p>
    <w:p w14:paraId="0A49BF19" w14:textId="1598FFE1" w:rsidR="00FC58CE" w:rsidRDefault="002C0E03" w:rsidP="00FC58CE">
      <w:pPr>
        <w:jc w:val="center"/>
        <w:rPr>
          <w:sz w:val="48"/>
          <w:szCs w:val="48"/>
        </w:rPr>
      </w:pPr>
      <w:r>
        <w:rPr>
          <w:sz w:val="48"/>
          <w:szCs w:val="48"/>
        </w:rPr>
        <w:t>InnPower Reply</w:t>
      </w:r>
      <w:r w:rsidR="00203CA4">
        <w:rPr>
          <w:sz w:val="48"/>
          <w:szCs w:val="48"/>
        </w:rPr>
        <w:t xml:space="preserve"> to OEB Staff</w:t>
      </w:r>
      <w:r>
        <w:rPr>
          <w:sz w:val="48"/>
          <w:szCs w:val="48"/>
        </w:rPr>
        <w:t xml:space="preserve"> Submission</w:t>
      </w:r>
    </w:p>
    <w:p w14:paraId="6650D35F" w14:textId="77777777" w:rsidR="00FC58CE" w:rsidRDefault="00FC58CE" w:rsidP="00FC58CE">
      <w:pPr>
        <w:jc w:val="center"/>
        <w:rPr>
          <w:sz w:val="48"/>
          <w:szCs w:val="48"/>
        </w:rPr>
      </w:pPr>
    </w:p>
    <w:p w14:paraId="45C9D301" w14:textId="7410CAEF" w:rsidR="00FC58CE" w:rsidRPr="00FC58CE" w:rsidRDefault="00FC58CE" w:rsidP="00FC58CE">
      <w:pPr>
        <w:jc w:val="center"/>
        <w:rPr>
          <w:b/>
          <w:sz w:val="48"/>
          <w:szCs w:val="48"/>
        </w:rPr>
      </w:pPr>
      <w:r w:rsidRPr="00FC58CE">
        <w:rPr>
          <w:b/>
          <w:sz w:val="48"/>
          <w:szCs w:val="48"/>
        </w:rPr>
        <w:t>Board File EB-</w:t>
      </w:r>
      <w:r w:rsidR="00505D83">
        <w:rPr>
          <w:b/>
          <w:sz w:val="48"/>
          <w:szCs w:val="48"/>
        </w:rPr>
        <w:t>202</w:t>
      </w:r>
      <w:r w:rsidR="00EA5DF3">
        <w:rPr>
          <w:b/>
          <w:sz w:val="48"/>
          <w:szCs w:val="48"/>
        </w:rPr>
        <w:t>2</w:t>
      </w:r>
      <w:r w:rsidR="007473F9">
        <w:rPr>
          <w:b/>
          <w:sz w:val="48"/>
          <w:szCs w:val="48"/>
        </w:rPr>
        <w:t>-00</w:t>
      </w:r>
      <w:r w:rsidR="00EA5DF3">
        <w:rPr>
          <w:b/>
          <w:sz w:val="48"/>
          <w:szCs w:val="48"/>
        </w:rPr>
        <w:t>43</w:t>
      </w:r>
    </w:p>
    <w:p w14:paraId="6AB0B1FD" w14:textId="53716776" w:rsidR="00FC58CE" w:rsidRPr="00FC58CE" w:rsidRDefault="00FC58CE" w:rsidP="00FC58CE">
      <w:pPr>
        <w:jc w:val="center"/>
        <w:rPr>
          <w:b/>
          <w:sz w:val="48"/>
          <w:szCs w:val="48"/>
        </w:rPr>
      </w:pPr>
      <w:r w:rsidRPr="00FC58CE">
        <w:rPr>
          <w:b/>
          <w:sz w:val="48"/>
          <w:szCs w:val="48"/>
        </w:rPr>
        <w:t>For Rates Effective January 1, 20</w:t>
      </w:r>
      <w:r w:rsidR="0034369F">
        <w:rPr>
          <w:b/>
          <w:sz w:val="48"/>
          <w:szCs w:val="48"/>
        </w:rPr>
        <w:t>2</w:t>
      </w:r>
      <w:r w:rsidR="00EA5DF3">
        <w:rPr>
          <w:b/>
          <w:sz w:val="48"/>
          <w:szCs w:val="48"/>
        </w:rPr>
        <w:t>3</w:t>
      </w:r>
    </w:p>
    <w:p w14:paraId="391D3809" w14:textId="77777777" w:rsidR="002A02AB" w:rsidRDefault="002A02AB" w:rsidP="00FC58CE">
      <w:pPr>
        <w:jc w:val="center"/>
        <w:rPr>
          <w:sz w:val="44"/>
          <w:szCs w:val="44"/>
        </w:rPr>
      </w:pPr>
    </w:p>
    <w:p w14:paraId="30FB80D8" w14:textId="77777777" w:rsidR="0042407E" w:rsidRDefault="0042407E" w:rsidP="00FC58CE">
      <w:pPr>
        <w:jc w:val="center"/>
        <w:rPr>
          <w:sz w:val="44"/>
          <w:szCs w:val="44"/>
        </w:rPr>
      </w:pPr>
    </w:p>
    <w:p w14:paraId="3B8AB490" w14:textId="77777777" w:rsidR="0042407E" w:rsidRDefault="0042407E" w:rsidP="00FC58CE">
      <w:pPr>
        <w:jc w:val="center"/>
        <w:rPr>
          <w:sz w:val="44"/>
          <w:szCs w:val="44"/>
        </w:rPr>
        <w:sectPr w:rsidR="0042407E">
          <w:headerReference w:type="default" r:id="rId9"/>
          <w:pgSz w:w="12240" w:h="15840"/>
          <w:pgMar w:top="1440" w:right="1440" w:bottom="1440" w:left="1440" w:header="720" w:footer="720" w:gutter="0"/>
          <w:cols w:space="720"/>
          <w:docGrid w:linePitch="360"/>
        </w:sectPr>
      </w:pPr>
    </w:p>
    <w:p w14:paraId="533DC6D6" w14:textId="77777777" w:rsidR="00B70D51" w:rsidRDefault="00B70D51" w:rsidP="00FC58CE">
      <w:pPr>
        <w:jc w:val="center"/>
        <w:rPr>
          <w:sz w:val="44"/>
          <w:szCs w:val="44"/>
        </w:rPr>
        <w:sectPr w:rsidR="00B70D51" w:rsidSect="0042407E">
          <w:type w:val="continuous"/>
          <w:pgSz w:w="12240" w:h="15840"/>
          <w:pgMar w:top="1440" w:right="1440" w:bottom="1440" w:left="1440" w:header="720" w:footer="720" w:gutter="0"/>
          <w:cols w:space="720"/>
          <w:docGrid w:linePitch="360"/>
        </w:sectPr>
      </w:pPr>
    </w:p>
    <w:p w14:paraId="738FF45C" w14:textId="03857A5B" w:rsidR="00FE5328" w:rsidRDefault="00D51C0D" w:rsidP="00D51C0D">
      <w:pPr>
        <w:pStyle w:val="Heading1"/>
      </w:pPr>
      <w:r>
        <w:lastRenderedPageBreak/>
        <w:t>Group 1 Deferral and Variance Accounts</w:t>
      </w:r>
    </w:p>
    <w:p w14:paraId="7556B282" w14:textId="77777777" w:rsidR="00D51C0D" w:rsidRDefault="00D51C0D" w:rsidP="00D51C0D">
      <w:pPr>
        <w:rPr>
          <w:b/>
          <w:bCs/>
          <w:u w:val="single"/>
        </w:rPr>
      </w:pPr>
    </w:p>
    <w:p w14:paraId="6CD99EF3" w14:textId="496EE0F2" w:rsidR="00D51C0D" w:rsidRPr="00D51C0D" w:rsidRDefault="00D51C0D" w:rsidP="00D51C0D">
      <w:pPr>
        <w:rPr>
          <w:b/>
          <w:bCs/>
          <w:u w:val="single"/>
        </w:rPr>
      </w:pPr>
      <w:r w:rsidRPr="00D51C0D">
        <w:rPr>
          <w:b/>
          <w:bCs/>
          <w:u w:val="single"/>
        </w:rPr>
        <w:t xml:space="preserve">OEB </w:t>
      </w:r>
      <w:r w:rsidR="00666AB2">
        <w:rPr>
          <w:b/>
          <w:bCs/>
          <w:u w:val="single"/>
        </w:rPr>
        <w:t xml:space="preserve">Staff </w:t>
      </w:r>
      <w:r w:rsidRPr="00D51C0D">
        <w:rPr>
          <w:b/>
          <w:bCs/>
          <w:u w:val="single"/>
        </w:rPr>
        <w:t>Submission</w:t>
      </w:r>
    </w:p>
    <w:p w14:paraId="47184CB7" w14:textId="77777777" w:rsidR="00D51C0D" w:rsidRPr="00D51C0D" w:rsidRDefault="00D51C0D" w:rsidP="00D51C0D">
      <w:pPr>
        <w:rPr>
          <w:b/>
          <w:bCs/>
        </w:rPr>
      </w:pPr>
      <w:r w:rsidRPr="00D51C0D">
        <w:rPr>
          <w:b/>
          <w:bCs/>
        </w:rPr>
        <w:t xml:space="preserve">Account 1589 and Account 1588 Principal Adjustments </w:t>
      </w:r>
    </w:p>
    <w:p w14:paraId="1056194F" w14:textId="1112DBA3" w:rsidR="00D51C0D" w:rsidRDefault="00D51C0D" w:rsidP="00D51C0D">
      <w:r>
        <w:t>OEB staff has prepared the following reconciliation for the closing balances as of Dec 31, 2020</w:t>
      </w:r>
      <w:r w:rsidR="0053036E">
        <w:t>,</w:t>
      </w:r>
      <w:r>
        <w:t xml:space="preserve"> of Accounts 1588 and 1589 between the DVA continuity schedule filed in this application and the DVA continuity schedule filed in </w:t>
      </w:r>
      <w:proofErr w:type="spellStart"/>
      <w:r>
        <w:t>InnPower’s</w:t>
      </w:r>
      <w:proofErr w:type="spellEnd"/>
      <w:r>
        <w:t xml:space="preserve"> 2022 IRM application.</w:t>
      </w:r>
    </w:p>
    <w:p w14:paraId="05E44E19" w14:textId="589C62A1" w:rsidR="00D51C0D" w:rsidRDefault="00D51C0D" w:rsidP="00D51C0D">
      <w:r>
        <w:rPr>
          <w:noProof/>
        </w:rPr>
        <w:drawing>
          <wp:inline distT="0" distB="0" distL="0" distR="0" wp14:anchorId="02809A40" wp14:editId="1EB09B6A">
            <wp:extent cx="5943600" cy="2225040"/>
            <wp:effectExtent l="0" t="0" r="0" b="381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a:stretch>
                      <a:fillRect/>
                    </a:stretch>
                  </pic:blipFill>
                  <pic:spPr>
                    <a:xfrm>
                      <a:off x="0" y="0"/>
                      <a:ext cx="5943600" cy="2225040"/>
                    </a:xfrm>
                    <a:prstGeom prst="rect">
                      <a:avLst/>
                    </a:prstGeom>
                  </pic:spPr>
                </pic:pic>
              </a:graphicData>
            </a:graphic>
          </wp:inline>
        </w:drawing>
      </w:r>
    </w:p>
    <w:p w14:paraId="0AED6E50" w14:textId="5EF0577D" w:rsidR="00D51C0D" w:rsidRDefault="00D51C0D" w:rsidP="00D51C0D">
      <w:r>
        <w:t>OEB staff notes that the above differences to the December 31, 2020</w:t>
      </w:r>
      <w:r w:rsidR="0053036E">
        <w:t>,</w:t>
      </w:r>
      <w:r>
        <w:t xml:space="preserve"> balances between the two DVA continuity Schedules appear to represent the reversal of the 2020 principal adjustments that were included in the 2020 final disposed amounts for Accounts 1588 and 1589. Rather than including the reversal of these principal adjustments and presenting them as part of the Principal Adjustments cells in the current DVA continuity schedule for Accounts 1588 and 1589, InnPower appears to have included them by changing the 2020 year-end closing balances (i.e., 2021 opening balances) for these two accounts. OEB staff notes that this practice is not in accordance with the general accounting practice because any adjustments or the reversal of the adjustments should be reflected as a principal adjustment rather than changing the closing/opening balance of an account. The closing/opening balance should not be revised so that the year-over</w:t>
      </w:r>
      <w:r w:rsidR="005E78B8">
        <w:t xml:space="preserve"> </w:t>
      </w:r>
      <w:r>
        <w:t xml:space="preserve">year continuity of the balances is transparent. </w:t>
      </w:r>
    </w:p>
    <w:p w14:paraId="0629C5CA" w14:textId="5834729F" w:rsidR="00D51C0D" w:rsidRDefault="00D51C0D" w:rsidP="00D51C0D">
      <w:r>
        <w:t xml:space="preserve">In response to interrogatories, InnPower stated that the OEB should clarify that the prior year adjustments should be removed from the “Transactions” column and instead included in the “Principal Adjustment” column. OEB staff is of the view that the reversal of prior year principal adjustments was not included in </w:t>
      </w:r>
      <w:proofErr w:type="spellStart"/>
      <w:r>
        <w:t>InnPower’s</w:t>
      </w:r>
      <w:proofErr w:type="spellEnd"/>
      <w:r>
        <w:t xml:space="preserve"> “Transactions” column, nor included in the “Principal Adjustment” column for Accounts 1588 and 1589. As stated above, OEB staff is of the view that the reversal of prior year principal adjustments was included in the opening 2021 balances. OEB staff invites InnPower to confirm this observation in its </w:t>
      </w:r>
      <w:proofErr w:type="gramStart"/>
      <w:r>
        <w:t>reply</w:t>
      </w:r>
      <w:proofErr w:type="gramEnd"/>
      <w:r>
        <w:t xml:space="preserve"> submission. Nevertheless, where the principal adjustments are included in the current year’s DVA continuity schedule does not change the total claim amounts for Accounts 1588 </w:t>
      </w:r>
      <w:r>
        <w:lastRenderedPageBreak/>
        <w:t xml:space="preserve">and 1589. OEB staff further notes that InnPower has included the reversal of the prior-year principal adjustments in the GA reasonability test of Account 1589 on Tab “GA 2021” of the GA Analysis </w:t>
      </w:r>
      <w:proofErr w:type="spellStart"/>
      <w:r>
        <w:t>Workform</w:t>
      </w:r>
      <w:proofErr w:type="spellEnd"/>
      <w:r>
        <w:t xml:space="preserve"> in the current application and the results show that the 2021 Account 1589 balance after the adjustments are reasonable. In conclusion, OEB staff does not take issue with the final disposition of Accounts 1588 and 1589 balances in this application but submits that InnPower should make revisions to the DVA continuity schedule to include the reversal principal adjustments in the Principal Adjustment column instead of the opening 2021 balances. Going forward, InnPower should not change the closing balances for any DVA in the DVA continuity schedule.</w:t>
      </w:r>
    </w:p>
    <w:p w14:paraId="6F1E1CB1" w14:textId="77777777" w:rsidR="00D51C0D" w:rsidRPr="00D51C0D" w:rsidRDefault="00D51C0D" w:rsidP="00D51C0D">
      <w:pPr>
        <w:rPr>
          <w:b/>
          <w:bCs/>
          <w:u w:val="single"/>
        </w:rPr>
      </w:pPr>
    </w:p>
    <w:p w14:paraId="28DD6DF7" w14:textId="0B9998A3" w:rsidR="00D51C0D" w:rsidRDefault="00D51C0D" w:rsidP="00D51C0D">
      <w:pPr>
        <w:rPr>
          <w:b/>
          <w:bCs/>
          <w:u w:val="single"/>
        </w:rPr>
      </w:pPr>
      <w:r w:rsidRPr="00D51C0D">
        <w:rPr>
          <w:b/>
          <w:bCs/>
          <w:u w:val="single"/>
        </w:rPr>
        <w:t xml:space="preserve">InnPower Reply to OEB </w:t>
      </w:r>
      <w:r w:rsidR="00666AB2">
        <w:rPr>
          <w:b/>
          <w:bCs/>
          <w:u w:val="single"/>
        </w:rPr>
        <w:t xml:space="preserve">Staff </w:t>
      </w:r>
      <w:r w:rsidRPr="00D51C0D">
        <w:rPr>
          <w:b/>
          <w:bCs/>
          <w:u w:val="single"/>
        </w:rPr>
        <w:t>Submission</w:t>
      </w:r>
    </w:p>
    <w:p w14:paraId="36D0D955" w14:textId="40D3FCDA" w:rsidR="00D51C0D" w:rsidRDefault="00D51C0D" w:rsidP="00D51C0D">
      <w:r>
        <w:t xml:space="preserve">InnPower agrees with the OEB Staff Submission regarding the prior year principal adjustments.  InnPower has resubmitted the Rate Generator Model and the GA Analysis </w:t>
      </w:r>
      <w:proofErr w:type="spellStart"/>
      <w:r>
        <w:t>Workform</w:t>
      </w:r>
      <w:proofErr w:type="spellEnd"/>
      <w:r>
        <w:t xml:space="preserve"> to reflect the principal adjustments, as described above.  </w:t>
      </w:r>
      <w:r w:rsidR="0053036E">
        <w:t>As noted by OEB Staff, the 1588 and 1589 disposition amounts as of December 31, 2021</w:t>
      </w:r>
      <w:r w:rsidR="00D724AD">
        <w:t>,</w:t>
      </w:r>
      <w:r w:rsidR="0053036E">
        <w:t xml:space="preserve"> have remained the same.</w:t>
      </w:r>
    </w:p>
    <w:p w14:paraId="3A660D7E" w14:textId="2254475E" w:rsidR="005E78B8" w:rsidRPr="00D51C0D" w:rsidRDefault="005E78B8" w:rsidP="00D51C0D">
      <w:r>
        <w:t>Please note, OEB staff has updated the</w:t>
      </w:r>
      <w:r w:rsidR="00D724AD">
        <w:t xml:space="preserve"> submitted</w:t>
      </w:r>
      <w:r>
        <w:t xml:space="preserve"> rate generator model to reflect the 2023 inflation factor, as well as the RPP rates effective November 1, 2022.</w:t>
      </w:r>
    </w:p>
    <w:p w14:paraId="71A5363D" w14:textId="0205C246" w:rsidR="00D51C0D" w:rsidRDefault="00D51C0D" w:rsidP="00D51C0D"/>
    <w:p w14:paraId="4269D765" w14:textId="7A2655AF" w:rsidR="00666AB2" w:rsidRDefault="00666AB2" w:rsidP="00666AB2">
      <w:pPr>
        <w:pStyle w:val="Heading1"/>
      </w:pPr>
      <w:r>
        <w:t>Lost Revenue Adjustment Mechanism</w:t>
      </w:r>
    </w:p>
    <w:p w14:paraId="2BB209C6" w14:textId="1E00AD20" w:rsidR="00666AB2" w:rsidRDefault="00666AB2" w:rsidP="00666AB2"/>
    <w:p w14:paraId="7E9891B7" w14:textId="1FBD0716" w:rsidR="00666AB2" w:rsidRPr="00666AB2" w:rsidRDefault="00666AB2" w:rsidP="00666AB2">
      <w:pPr>
        <w:rPr>
          <w:b/>
          <w:bCs/>
          <w:u w:val="single"/>
        </w:rPr>
      </w:pPr>
      <w:r w:rsidRPr="00D51C0D">
        <w:rPr>
          <w:b/>
          <w:bCs/>
          <w:u w:val="single"/>
        </w:rPr>
        <w:t xml:space="preserve">OEB </w:t>
      </w:r>
      <w:r>
        <w:rPr>
          <w:b/>
          <w:bCs/>
          <w:u w:val="single"/>
        </w:rPr>
        <w:t xml:space="preserve">Staff </w:t>
      </w:r>
      <w:r w:rsidRPr="00D51C0D">
        <w:rPr>
          <w:b/>
          <w:bCs/>
          <w:u w:val="single"/>
        </w:rPr>
        <w:t>Submission</w:t>
      </w:r>
    </w:p>
    <w:p w14:paraId="1AFE71E1" w14:textId="5D189709" w:rsidR="00666AB2" w:rsidRPr="00666AB2" w:rsidRDefault="00666AB2" w:rsidP="00666AB2">
      <w:r>
        <w:t xml:space="preserve">OEB staff is of the view that InnPower is to confirm in its </w:t>
      </w:r>
      <w:proofErr w:type="gramStart"/>
      <w:r>
        <w:t>reply</w:t>
      </w:r>
      <w:proofErr w:type="gramEnd"/>
      <w:r>
        <w:t xml:space="preserve"> submission that the LRAMVA balance is either zero or a debit, not a credit that would need to be refunded to customers. If confirmed, OEB staff submits that no further entries to the LRAMVA be permitted at this time, but that the LRAMVA not be discontinued, in the event that InnPower requests the use of the LRAMVA for a CDM activity in a future application, which the OEB can consider on a case-by-case basis. OEB staff is recommending this approach for all distributors who have disposed of all outstanding LRAMVA balances as part of their 2023 rate applications.</w:t>
      </w:r>
    </w:p>
    <w:p w14:paraId="31FAAA88" w14:textId="0DBE6D39" w:rsidR="00666AB2" w:rsidRDefault="00666AB2" w:rsidP="00D51C0D"/>
    <w:p w14:paraId="0547061B" w14:textId="77777777" w:rsidR="00666AB2" w:rsidRDefault="00666AB2" w:rsidP="00666AB2">
      <w:pPr>
        <w:rPr>
          <w:b/>
          <w:bCs/>
          <w:u w:val="single"/>
        </w:rPr>
      </w:pPr>
      <w:r w:rsidRPr="00D51C0D">
        <w:rPr>
          <w:b/>
          <w:bCs/>
          <w:u w:val="single"/>
        </w:rPr>
        <w:t xml:space="preserve">InnPower Reply to OEB </w:t>
      </w:r>
      <w:r>
        <w:rPr>
          <w:b/>
          <w:bCs/>
          <w:u w:val="single"/>
        </w:rPr>
        <w:t xml:space="preserve">Staff </w:t>
      </w:r>
      <w:r w:rsidRPr="00D51C0D">
        <w:rPr>
          <w:b/>
          <w:bCs/>
          <w:u w:val="single"/>
        </w:rPr>
        <w:t>Submission</w:t>
      </w:r>
    </w:p>
    <w:p w14:paraId="5D70E917" w14:textId="4AB6807A" w:rsidR="00666AB2" w:rsidRDefault="00343D1C" w:rsidP="00D51C0D">
      <w:r>
        <w:t>InnPower confirms that the LRAMVA balance is not a credit that would be refunded to customers.</w:t>
      </w:r>
    </w:p>
    <w:sectPr w:rsidR="00666AB2" w:rsidSect="00396F0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477D" w14:textId="77777777" w:rsidR="002D60A7" w:rsidRDefault="002D60A7" w:rsidP="0042407E">
      <w:pPr>
        <w:spacing w:after="0" w:line="240" w:lineRule="auto"/>
      </w:pPr>
      <w:r>
        <w:separator/>
      </w:r>
    </w:p>
  </w:endnote>
  <w:endnote w:type="continuationSeparator" w:id="0">
    <w:p w14:paraId="1FFF249A" w14:textId="77777777" w:rsidR="002D60A7" w:rsidRDefault="002D60A7" w:rsidP="0042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890" w14:textId="77777777" w:rsidR="002D60A7" w:rsidRDefault="002D60A7" w:rsidP="0042407E">
      <w:pPr>
        <w:spacing w:after="0" w:line="240" w:lineRule="auto"/>
      </w:pPr>
      <w:r>
        <w:separator/>
      </w:r>
    </w:p>
  </w:footnote>
  <w:footnote w:type="continuationSeparator" w:id="0">
    <w:p w14:paraId="37EA55F5" w14:textId="77777777" w:rsidR="002D60A7" w:rsidRDefault="002D60A7" w:rsidP="0042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176" w14:textId="39650888"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Pr>
        <w:color w:val="404040" w:themeColor="text1" w:themeTint="BF"/>
      </w:rPr>
      <w:t>EB-202</w:t>
    </w:r>
    <w:r w:rsidR="00842092">
      <w:rPr>
        <w:color w:val="404040" w:themeColor="text1" w:themeTint="BF"/>
      </w:rPr>
      <w:t>2</w:t>
    </w:r>
    <w:r>
      <w:rPr>
        <w:color w:val="404040" w:themeColor="text1" w:themeTint="BF"/>
      </w:rPr>
      <w:t>-00</w:t>
    </w:r>
    <w:r w:rsidR="00842092">
      <w:rPr>
        <w:color w:val="404040" w:themeColor="text1" w:themeTint="BF"/>
      </w:rPr>
      <w:t>43</w:t>
    </w:r>
  </w:p>
  <w:p w14:paraId="698999FB" w14:textId="77777777"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Pr>
        <w:color w:val="404040" w:themeColor="text1" w:themeTint="BF"/>
      </w:rPr>
      <w:t>InnPower Corporation</w:t>
    </w:r>
  </w:p>
  <w:p w14:paraId="5EE52246" w14:textId="3237B218"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sidRPr="005E78B8">
      <w:rPr>
        <w:color w:val="404040" w:themeColor="text1" w:themeTint="BF"/>
      </w:rPr>
      <w:t xml:space="preserve">Filed: </w:t>
    </w:r>
    <w:r w:rsidR="005E78B8" w:rsidRPr="005E78B8">
      <w:rPr>
        <w:color w:val="404040" w:themeColor="text1" w:themeTint="BF"/>
      </w:rPr>
      <w:t>November 2, 2022</w:t>
    </w:r>
  </w:p>
  <w:p w14:paraId="1760CD72" w14:textId="44A0B800"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sidRPr="00B70D51">
      <w:rPr>
        <w:color w:val="404040" w:themeColor="text1" w:themeTint="BF"/>
      </w:rPr>
      <w:t xml:space="preserve">Page </w:t>
    </w:r>
    <w:r>
      <w:rPr>
        <w:b/>
        <w:bCs/>
        <w:color w:val="404040" w:themeColor="text1" w:themeTint="BF"/>
      </w:rPr>
      <w:fldChar w:fldCharType="begin"/>
    </w:r>
    <w:r>
      <w:rPr>
        <w:b/>
        <w:bCs/>
        <w:color w:val="404040" w:themeColor="text1" w:themeTint="BF"/>
      </w:rPr>
      <w:instrText xml:space="preserve"> PAGE  \* Arabic  \* MERGEFORMAT </w:instrText>
    </w:r>
    <w:r>
      <w:rPr>
        <w:b/>
        <w:bCs/>
        <w:color w:val="404040" w:themeColor="text1" w:themeTint="BF"/>
      </w:rPr>
      <w:fldChar w:fldCharType="separate"/>
    </w:r>
    <w:r w:rsidR="004979D9">
      <w:rPr>
        <w:b/>
        <w:bCs/>
        <w:noProof/>
        <w:color w:val="404040" w:themeColor="text1" w:themeTint="BF"/>
      </w:rPr>
      <w:t>18</w:t>
    </w:r>
    <w:r>
      <w:rPr>
        <w:b/>
        <w:bCs/>
        <w:color w:val="404040" w:themeColor="text1" w:themeTint="BF"/>
      </w:rPr>
      <w:fldChar w:fldCharType="end"/>
    </w:r>
    <w:r w:rsidRPr="00B70D51">
      <w:rPr>
        <w:color w:val="404040" w:themeColor="text1" w:themeTint="BF"/>
      </w:rPr>
      <w:t xml:space="preserve"> of </w:t>
    </w:r>
    <w:r w:rsidRPr="00B70D51">
      <w:rPr>
        <w:b/>
        <w:bCs/>
        <w:color w:val="404040" w:themeColor="text1" w:themeTint="BF"/>
      </w:rPr>
      <w:fldChar w:fldCharType="begin"/>
    </w:r>
    <w:r w:rsidRPr="00B70D51">
      <w:rPr>
        <w:b/>
        <w:bCs/>
        <w:color w:val="404040" w:themeColor="text1" w:themeTint="BF"/>
      </w:rPr>
      <w:instrText xml:space="preserve"> NUMPAGES  \* Arabic  \* MERGEFORMAT </w:instrText>
    </w:r>
    <w:r w:rsidRPr="00B70D51">
      <w:rPr>
        <w:b/>
        <w:bCs/>
        <w:color w:val="404040" w:themeColor="text1" w:themeTint="BF"/>
      </w:rPr>
      <w:fldChar w:fldCharType="separate"/>
    </w:r>
    <w:r w:rsidR="004979D9">
      <w:rPr>
        <w:b/>
        <w:bCs/>
        <w:noProof/>
        <w:color w:val="404040" w:themeColor="text1" w:themeTint="BF"/>
      </w:rPr>
      <w:t>32</w:t>
    </w:r>
    <w:r w:rsidRPr="00B70D51">
      <w:rPr>
        <w:b/>
        <w:bCs/>
        <w:color w:val="404040" w:themeColor="text1" w:themeTint="BF"/>
      </w:rPr>
      <w:fldChar w:fldCharType="end"/>
    </w:r>
  </w:p>
  <w:p w14:paraId="77B6451C" w14:textId="77777777" w:rsidR="002D60A7" w:rsidRDefault="002D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FC9"/>
    <w:multiLevelType w:val="hybridMultilevel"/>
    <w:tmpl w:val="D74296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7111EA"/>
    <w:multiLevelType w:val="hybridMultilevel"/>
    <w:tmpl w:val="2F8A3242"/>
    <w:lvl w:ilvl="0" w:tplc="26B8CB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B07FE"/>
    <w:multiLevelType w:val="hybridMultilevel"/>
    <w:tmpl w:val="9EDAA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0478A3"/>
    <w:multiLevelType w:val="hybridMultilevel"/>
    <w:tmpl w:val="AC9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F5F86"/>
    <w:multiLevelType w:val="multilevel"/>
    <w:tmpl w:val="D9648A6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EAF34BE"/>
    <w:multiLevelType w:val="hybridMultilevel"/>
    <w:tmpl w:val="138E789E"/>
    <w:lvl w:ilvl="0" w:tplc="10090001">
      <w:start w:val="1"/>
      <w:numFmt w:val="bullet"/>
      <w:lvlText w:val=""/>
      <w:lvlJc w:val="left"/>
      <w:pPr>
        <w:ind w:left="1130" w:hanging="360"/>
      </w:pPr>
      <w:rPr>
        <w:rFonts w:ascii="Symbol" w:hAnsi="Symbol" w:hint="default"/>
      </w:rPr>
    </w:lvl>
    <w:lvl w:ilvl="1" w:tplc="10090003" w:tentative="1">
      <w:start w:val="1"/>
      <w:numFmt w:val="bullet"/>
      <w:lvlText w:val="o"/>
      <w:lvlJc w:val="left"/>
      <w:pPr>
        <w:ind w:left="1850" w:hanging="360"/>
      </w:pPr>
      <w:rPr>
        <w:rFonts w:ascii="Courier New" w:hAnsi="Courier New" w:cs="Courier New" w:hint="default"/>
      </w:rPr>
    </w:lvl>
    <w:lvl w:ilvl="2" w:tplc="10090005" w:tentative="1">
      <w:start w:val="1"/>
      <w:numFmt w:val="bullet"/>
      <w:lvlText w:val=""/>
      <w:lvlJc w:val="left"/>
      <w:pPr>
        <w:ind w:left="2570" w:hanging="360"/>
      </w:pPr>
      <w:rPr>
        <w:rFonts w:ascii="Wingdings" w:hAnsi="Wingdings" w:hint="default"/>
      </w:rPr>
    </w:lvl>
    <w:lvl w:ilvl="3" w:tplc="10090001" w:tentative="1">
      <w:start w:val="1"/>
      <w:numFmt w:val="bullet"/>
      <w:lvlText w:val=""/>
      <w:lvlJc w:val="left"/>
      <w:pPr>
        <w:ind w:left="3290" w:hanging="360"/>
      </w:pPr>
      <w:rPr>
        <w:rFonts w:ascii="Symbol" w:hAnsi="Symbol" w:hint="default"/>
      </w:rPr>
    </w:lvl>
    <w:lvl w:ilvl="4" w:tplc="10090003" w:tentative="1">
      <w:start w:val="1"/>
      <w:numFmt w:val="bullet"/>
      <w:lvlText w:val="o"/>
      <w:lvlJc w:val="left"/>
      <w:pPr>
        <w:ind w:left="4010" w:hanging="360"/>
      </w:pPr>
      <w:rPr>
        <w:rFonts w:ascii="Courier New" w:hAnsi="Courier New" w:cs="Courier New" w:hint="default"/>
      </w:rPr>
    </w:lvl>
    <w:lvl w:ilvl="5" w:tplc="10090005" w:tentative="1">
      <w:start w:val="1"/>
      <w:numFmt w:val="bullet"/>
      <w:lvlText w:val=""/>
      <w:lvlJc w:val="left"/>
      <w:pPr>
        <w:ind w:left="4730" w:hanging="360"/>
      </w:pPr>
      <w:rPr>
        <w:rFonts w:ascii="Wingdings" w:hAnsi="Wingdings" w:hint="default"/>
      </w:rPr>
    </w:lvl>
    <w:lvl w:ilvl="6" w:tplc="10090001" w:tentative="1">
      <w:start w:val="1"/>
      <w:numFmt w:val="bullet"/>
      <w:lvlText w:val=""/>
      <w:lvlJc w:val="left"/>
      <w:pPr>
        <w:ind w:left="5450" w:hanging="360"/>
      </w:pPr>
      <w:rPr>
        <w:rFonts w:ascii="Symbol" w:hAnsi="Symbol" w:hint="default"/>
      </w:rPr>
    </w:lvl>
    <w:lvl w:ilvl="7" w:tplc="10090003" w:tentative="1">
      <w:start w:val="1"/>
      <w:numFmt w:val="bullet"/>
      <w:lvlText w:val="o"/>
      <w:lvlJc w:val="left"/>
      <w:pPr>
        <w:ind w:left="6170" w:hanging="360"/>
      </w:pPr>
      <w:rPr>
        <w:rFonts w:ascii="Courier New" w:hAnsi="Courier New" w:cs="Courier New" w:hint="default"/>
      </w:rPr>
    </w:lvl>
    <w:lvl w:ilvl="8" w:tplc="10090005" w:tentative="1">
      <w:start w:val="1"/>
      <w:numFmt w:val="bullet"/>
      <w:lvlText w:val=""/>
      <w:lvlJc w:val="left"/>
      <w:pPr>
        <w:ind w:left="6890" w:hanging="360"/>
      </w:pPr>
      <w:rPr>
        <w:rFonts w:ascii="Wingdings" w:hAnsi="Wingdings" w:hint="default"/>
      </w:rPr>
    </w:lvl>
  </w:abstractNum>
  <w:abstractNum w:abstractNumId="6" w15:restartNumberingAfterBreak="0">
    <w:nsid w:val="351A6FA0"/>
    <w:multiLevelType w:val="hybridMultilevel"/>
    <w:tmpl w:val="A94E7EA8"/>
    <w:lvl w:ilvl="0" w:tplc="10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2211" w:hanging="360"/>
      </w:pPr>
      <w:rPr>
        <w:rFonts w:ascii="Courier New" w:hAnsi="Courier New" w:cs="Courier New" w:hint="default"/>
      </w:rPr>
    </w:lvl>
    <w:lvl w:ilvl="2" w:tplc="10090005" w:tentative="1">
      <w:start w:val="1"/>
      <w:numFmt w:val="bullet"/>
      <w:lvlText w:val=""/>
      <w:lvlJc w:val="left"/>
      <w:pPr>
        <w:ind w:left="2931" w:hanging="360"/>
      </w:pPr>
      <w:rPr>
        <w:rFonts w:ascii="Wingdings" w:hAnsi="Wingdings" w:hint="default"/>
      </w:rPr>
    </w:lvl>
    <w:lvl w:ilvl="3" w:tplc="10090001" w:tentative="1">
      <w:start w:val="1"/>
      <w:numFmt w:val="bullet"/>
      <w:lvlText w:val=""/>
      <w:lvlJc w:val="left"/>
      <w:pPr>
        <w:ind w:left="3651" w:hanging="360"/>
      </w:pPr>
      <w:rPr>
        <w:rFonts w:ascii="Symbol" w:hAnsi="Symbol" w:hint="default"/>
      </w:rPr>
    </w:lvl>
    <w:lvl w:ilvl="4" w:tplc="10090003" w:tentative="1">
      <w:start w:val="1"/>
      <w:numFmt w:val="bullet"/>
      <w:lvlText w:val="o"/>
      <w:lvlJc w:val="left"/>
      <w:pPr>
        <w:ind w:left="4371" w:hanging="360"/>
      </w:pPr>
      <w:rPr>
        <w:rFonts w:ascii="Courier New" w:hAnsi="Courier New" w:cs="Courier New" w:hint="default"/>
      </w:rPr>
    </w:lvl>
    <w:lvl w:ilvl="5" w:tplc="10090005" w:tentative="1">
      <w:start w:val="1"/>
      <w:numFmt w:val="bullet"/>
      <w:lvlText w:val=""/>
      <w:lvlJc w:val="left"/>
      <w:pPr>
        <w:ind w:left="5091" w:hanging="360"/>
      </w:pPr>
      <w:rPr>
        <w:rFonts w:ascii="Wingdings" w:hAnsi="Wingdings" w:hint="default"/>
      </w:rPr>
    </w:lvl>
    <w:lvl w:ilvl="6" w:tplc="10090001" w:tentative="1">
      <w:start w:val="1"/>
      <w:numFmt w:val="bullet"/>
      <w:lvlText w:val=""/>
      <w:lvlJc w:val="left"/>
      <w:pPr>
        <w:ind w:left="5811" w:hanging="360"/>
      </w:pPr>
      <w:rPr>
        <w:rFonts w:ascii="Symbol" w:hAnsi="Symbol" w:hint="default"/>
      </w:rPr>
    </w:lvl>
    <w:lvl w:ilvl="7" w:tplc="10090003" w:tentative="1">
      <w:start w:val="1"/>
      <w:numFmt w:val="bullet"/>
      <w:lvlText w:val="o"/>
      <w:lvlJc w:val="left"/>
      <w:pPr>
        <w:ind w:left="6531" w:hanging="360"/>
      </w:pPr>
      <w:rPr>
        <w:rFonts w:ascii="Courier New" w:hAnsi="Courier New" w:cs="Courier New" w:hint="default"/>
      </w:rPr>
    </w:lvl>
    <w:lvl w:ilvl="8" w:tplc="10090005" w:tentative="1">
      <w:start w:val="1"/>
      <w:numFmt w:val="bullet"/>
      <w:lvlText w:val=""/>
      <w:lvlJc w:val="left"/>
      <w:pPr>
        <w:ind w:left="7251" w:hanging="360"/>
      </w:pPr>
      <w:rPr>
        <w:rFonts w:ascii="Wingdings" w:hAnsi="Wingdings" w:hint="default"/>
      </w:rPr>
    </w:lvl>
  </w:abstractNum>
  <w:abstractNum w:abstractNumId="7" w15:restartNumberingAfterBreak="0">
    <w:nsid w:val="3E306E15"/>
    <w:multiLevelType w:val="hybridMultilevel"/>
    <w:tmpl w:val="CD3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22832"/>
    <w:multiLevelType w:val="hybridMultilevel"/>
    <w:tmpl w:val="8D427E90"/>
    <w:lvl w:ilvl="0" w:tplc="D3560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648C"/>
    <w:multiLevelType w:val="multilevel"/>
    <w:tmpl w:val="D9648A6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5C311B7"/>
    <w:multiLevelType w:val="hybridMultilevel"/>
    <w:tmpl w:val="2A5689D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36F4F"/>
    <w:multiLevelType w:val="hybridMultilevel"/>
    <w:tmpl w:val="E8F0FAC0"/>
    <w:lvl w:ilvl="0" w:tplc="B554F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A07A1"/>
    <w:multiLevelType w:val="hybridMultilevel"/>
    <w:tmpl w:val="092AF7DE"/>
    <w:lvl w:ilvl="0" w:tplc="04090011">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271819"/>
    <w:multiLevelType w:val="hybridMultilevel"/>
    <w:tmpl w:val="1F42877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34101C"/>
    <w:multiLevelType w:val="hybridMultilevel"/>
    <w:tmpl w:val="528C206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1722CF"/>
    <w:multiLevelType w:val="hybridMultilevel"/>
    <w:tmpl w:val="092AF7D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A57F2C"/>
    <w:multiLevelType w:val="hybridMultilevel"/>
    <w:tmpl w:val="092AF7DE"/>
    <w:lvl w:ilvl="0" w:tplc="04090011">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8E67A71"/>
    <w:multiLevelType w:val="hybridMultilevel"/>
    <w:tmpl w:val="2F8A3242"/>
    <w:lvl w:ilvl="0" w:tplc="26B8CB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D64B37"/>
    <w:multiLevelType w:val="hybridMultilevel"/>
    <w:tmpl w:val="987EC4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6799532">
    <w:abstractNumId w:val="4"/>
  </w:num>
  <w:num w:numId="2" w16cid:durableId="529803246">
    <w:abstractNumId w:val="10"/>
  </w:num>
  <w:num w:numId="3" w16cid:durableId="1076512305">
    <w:abstractNumId w:val="3"/>
  </w:num>
  <w:num w:numId="4" w16cid:durableId="347299072">
    <w:abstractNumId w:val="11"/>
  </w:num>
  <w:num w:numId="5" w16cid:durableId="1535342427">
    <w:abstractNumId w:val="7"/>
  </w:num>
  <w:num w:numId="6" w16cid:durableId="1231423707">
    <w:abstractNumId w:val="18"/>
  </w:num>
  <w:num w:numId="7" w16cid:durableId="743182421">
    <w:abstractNumId w:val="13"/>
  </w:num>
  <w:num w:numId="8" w16cid:durableId="1654025273">
    <w:abstractNumId w:val="17"/>
  </w:num>
  <w:num w:numId="9" w16cid:durableId="708993303">
    <w:abstractNumId w:val="14"/>
  </w:num>
  <w:num w:numId="10" w16cid:durableId="2064669543">
    <w:abstractNumId w:val="8"/>
  </w:num>
  <w:num w:numId="11" w16cid:durableId="1219126059">
    <w:abstractNumId w:val="6"/>
  </w:num>
  <w:num w:numId="12" w16cid:durableId="125243427">
    <w:abstractNumId w:val="5"/>
  </w:num>
  <w:num w:numId="13" w16cid:durableId="1937397346">
    <w:abstractNumId w:val="0"/>
  </w:num>
  <w:num w:numId="14" w16cid:durableId="1526946932">
    <w:abstractNumId w:val="1"/>
  </w:num>
  <w:num w:numId="15" w16cid:durableId="217013633">
    <w:abstractNumId w:val="2"/>
  </w:num>
  <w:num w:numId="16" w16cid:durableId="190067831">
    <w:abstractNumId w:val="16"/>
  </w:num>
  <w:num w:numId="17" w16cid:durableId="2101371193">
    <w:abstractNumId w:val="12"/>
  </w:num>
  <w:num w:numId="18" w16cid:durableId="427042817">
    <w:abstractNumId w:val="9"/>
  </w:num>
  <w:num w:numId="19" w16cid:durableId="489247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CE"/>
    <w:rsid w:val="000013A4"/>
    <w:rsid w:val="000120F3"/>
    <w:rsid w:val="000125E1"/>
    <w:rsid w:val="00013473"/>
    <w:rsid w:val="0001764E"/>
    <w:rsid w:val="00020F76"/>
    <w:rsid w:val="00021258"/>
    <w:rsid w:val="0002404C"/>
    <w:rsid w:val="00027145"/>
    <w:rsid w:val="0003170F"/>
    <w:rsid w:val="0003311F"/>
    <w:rsid w:val="0004023B"/>
    <w:rsid w:val="00042A25"/>
    <w:rsid w:val="00044633"/>
    <w:rsid w:val="000513D0"/>
    <w:rsid w:val="00052129"/>
    <w:rsid w:val="00054597"/>
    <w:rsid w:val="000618DC"/>
    <w:rsid w:val="00066A00"/>
    <w:rsid w:val="0007044D"/>
    <w:rsid w:val="000747C6"/>
    <w:rsid w:val="000805E7"/>
    <w:rsid w:val="00084753"/>
    <w:rsid w:val="000850D0"/>
    <w:rsid w:val="000912C6"/>
    <w:rsid w:val="000948A4"/>
    <w:rsid w:val="000A4672"/>
    <w:rsid w:val="000B419B"/>
    <w:rsid w:val="000B6741"/>
    <w:rsid w:val="000C1FAD"/>
    <w:rsid w:val="000C320C"/>
    <w:rsid w:val="000C6CA0"/>
    <w:rsid w:val="000D3229"/>
    <w:rsid w:val="000D5CAE"/>
    <w:rsid w:val="000D75FE"/>
    <w:rsid w:val="000E15D8"/>
    <w:rsid w:val="000E208E"/>
    <w:rsid w:val="000F11A6"/>
    <w:rsid w:val="000F5BCA"/>
    <w:rsid w:val="000F664F"/>
    <w:rsid w:val="000F6F13"/>
    <w:rsid w:val="00102DD8"/>
    <w:rsid w:val="00103902"/>
    <w:rsid w:val="00120C56"/>
    <w:rsid w:val="001238F0"/>
    <w:rsid w:val="0013293C"/>
    <w:rsid w:val="001364EC"/>
    <w:rsid w:val="001410D8"/>
    <w:rsid w:val="0014151C"/>
    <w:rsid w:val="00142148"/>
    <w:rsid w:val="00146F97"/>
    <w:rsid w:val="00150A20"/>
    <w:rsid w:val="00154C6F"/>
    <w:rsid w:val="0015543F"/>
    <w:rsid w:val="001567BA"/>
    <w:rsid w:val="0016222B"/>
    <w:rsid w:val="00175251"/>
    <w:rsid w:val="00176B00"/>
    <w:rsid w:val="00187BDA"/>
    <w:rsid w:val="00190E06"/>
    <w:rsid w:val="00192382"/>
    <w:rsid w:val="001A07FB"/>
    <w:rsid w:val="001A2BD0"/>
    <w:rsid w:val="001A2EF5"/>
    <w:rsid w:val="001A455F"/>
    <w:rsid w:val="001A4A3B"/>
    <w:rsid w:val="001B1919"/>
    <w:rsid w:val="001B47D1"/>
    <w:rsid w:val="001C47BD"/>
    <w:rsid w:val="001D143B"/>
    <w:rsid w:val="001D2E15"/>
    <w:rsid w:val="001D325C"/>
    <w:rsid w:val="001D7607"/>
    <w:rsid w:val="001E3B7C"/>
    <w:rsid w:val="001E4A3E"/>
    <w:rsid w:val="001E5DA4"/>
    <w:rsid w:val="001F5F4D"/>
    <w:rsid w:val="001F5F54"/>
    <w:rsid w:val="00203CA4"/>
    <w:rsid w:val="00204D92"/>
    <w:rsid w:val="0021030A"/>
    <w:rsid w:val="002105EE"/>
    <w:rsid w:val="00210CD1"/>
    <w:rsid w:val="002177D6"/>
    <w:rsid w:val="00220CBF"/>
    <w:rsid w:val="002238E7"/>
    <w:rsid w:val="0022552D"/>
    <w:rsid w:val="00230EFD"/>
    <w:rsid w:val="0023192C"/>
    <w:rsid w:val="002358E0"/>
    <w:rsid w:val="00236517"/>
    <w:rsid w:val="00241AF9"/>
    <w:rsid w:val="00244B31"/>
    <w:rsid w:val="002469BB"/>
    <w:rsid w:val="00246A0E"/>
    <w:rsid w:val="00257493"/>
    <w:rsid w:val="00257A74"/>
    <w:rsid w:val="002605E5"/>
    <w:rsid w:val="0026069D"/>
    <w:rsid w:val="002609A3"/>
    <w:rsid w:val="0027584B"/>
    <w:rsid w:val="00276317"/>
    <w:rsid w:val="00287178"/>
    <w:rsid w:val="00291186"/>
    <w:rsid w:val="00293D68"/>
    <w:rsid w:val="00294738"/>
    <w:rsid w:val="002A02AB"/>
    <w:rsid w:val="002A075C"/>
    <w:rsid w:val="002B1137"/>
    <w:rsid w:val="002B1177"/>
    <w:rsid w:val="002B3162"/>
    <w:rsid w:val="002B33D8"/>
    <w:rsid w:val="002C0438"/>
    <w:rsid w:val="002C0442"/>
    <w:rsid w:val="002C0E03"/>
    <w:rsid w:val="002C1EA3"/>
    <w:rsid w:val="002C4D58"/>
    <w:rsid w:val="002C71B2"/>
    <w:rsid w:val="002C73D2"/>
    <w:rsid w:val="002C7C2C"/>
    <w:rsid w:val="002D28F2"/>
    <w:rsid w:val="002D60A7"/>
    <w:rsid w:val="002E1640"/>
    <w:rsid w:val="002E1988"/>
    <w:rsid w:val="002E2E90"/>
    <w:rsid w:val="003063BE"/>
    <w:rsid w:val="003264C1"/>
    <w:rsid w:val="00326A46"/>
    <w:rsid w:val="00327538"/>
    <w:rsid w:val="003303F0"/>
    <w:rsid w:val="00333C26"/>
    <w:rsid w:val="003345B7"/>
    <w:rsid w:val="00334E3D"/>
    <w:rsid w:val="003406B0"/>
    <w:rsid w:val="003430A8"/>
    <w:rsid w:val="0034369F"/>
    <w:rsid w:val="00343D1C"/>
    <w:rsid w:val="003450E4"/>
    <w:rsid w:val="00346DCB"/>
    <w:rsid w:val="003471AA"/>
    <w:rsid w:val="00350E6D"/>
    <w:rsid w:val="00363F03"/>
    <w:rsid w:val="00364AAC"/>
    <w:rsid w:val="00374A6E"/>
    <w:rsid w:val="003753BD"/>
    <w:rsid w:val="003764A7"/>
    <w:rsid w:val="00377F29"/>
    <w:rsid w:val="003813A2"/>
    <w:rsid w:val="00383EF4"/>
    <w:rsid w:val="00391E5A"/>
    <w:rsid w:val="003924B4"/>
    <w:rsid w:val="00395DA4"/>
    <w:rsid w:val="00396182"/>
    <w:rsid w:val="00396F05"/>
    <w:rsid w:val="00397B57"/>
    <w:rsid w:val="003A31D4"/>
    <w:rsid w:val="003B343F"/>
    <w:rsid w:val="003B57C0"/>
    <w:rsid w:val="003B72D5"/>
    <w:rsid w:val="003B73F0"/>
    <w:rsid w:val="003C14AC"/>
    <w:rsid w:val="003C3EB9"/>
    <w:rsid w:val="003D10F6"/>
    <w:rsid w:val="003D48B0"/>
    <w:rsid w:val="003D4ED3"/>
    <w:rsid w:val="003D68D2"/>
    <w:rsid w:val="003F3C3A"/>
    <w:rsid w:val="00401EA0"/>
    <w:rsid w:val="00402B23"/>
    <w:rsid w:val="004065D9"/>
    <w:rsid w:val="00407A49"/>
    <w:rsid w:val="00411333"/>
    <w:rsid w:val="004163BF"/>
    <w:rsid w:val="00420224"/>
    <w:rsid w:val="00420ABD"/>
    <w:rsid w:val="0042407E"/>
    <w:rsid w:val="0042745F"/>
    <w:rsid w:val="00427638"/>
    <w:rsid w:val="00427C9F"/>
    <w:rsid w:val="00435197"/>
    <w:rsid w:val="00435F49"/>
    <w:rsid w:val="00436E4B"/>
    <w:rsid w:val="004401F3"/>
    <w:rsid w:val="004429AE"/>
    <w:rsid w:val="00442CCD"/>
    <w:rsid w:val="004433E7"/>
    <w:rsid w:val="004433EA"/>
    <w:rsid w:val="00444C8E"/>
    <w:rsid w:val="00445A42"/>
    <w:rsid w:val="00445A4C"/>
    <w:rsid w:val="00446C1B"/>
    <w:rsid w:val="00450873"/>
    <w:rsid w:val="004521F4"/>
    <w:rsid w:val="00453B74"/>
    <w:rsid w:val="00454496"/>
    <w:rsid w:val="004572C3"/>
    <w:rsid w:val="00460DDD"/>
    <w:rsid w:val="004741A2"/>
    <w:rsid w:val="00474A4F"/>
    <w:rsid w:val="00483629"/>
    <w:rsid w:val="00483AA8"/>
    <w:rsid w:val="0048476A"/>
    <w:rsid w:val="00484D8D"/>
    <w:rsid w:val="00490892"/>
    <w:rsid w:val="00492BE2"/>
    <w:rsid w:val="004975DC"/>
    <w:rsid w:val="004979D9"/>
    <w:rsid w:val="004A2115"/>
    <w:rsid w:val="004A66F8"/>
    <w:rsid w:val="004A7C71"/>
    <w:rsid w:val="004B050E"/>
    <w:rsid w:val="004B65BF"/>
    <w:rsid w:val="004B6CA6"/>
    <w:rsid w:val="004D0431"/>
    <w:rsid w:val="004D2023"/>
    <w:rsid w:val="004D4558"/>
    <w:rsid w:val="004D5582"/>
    <w:rsid w:val="004E35B4"/>
    <w:rsid w:val="004E3D03"/>
    <w:rsid w:val="004E48A8"/>
    <w:rsid w:val="00500BA5"/>
    <w:rsid w:val="0050207C"/>
    <w:rsid w:val="005026D8"/>
    <w:rsid w:val="00503433"/>
    <w:rsid w:val="00505D83"/>
    <w:rsid w:val="00505E02"/>
    <w:rsid w:val="00506402"/>
    <w:rsid w:val="0051039A"/>
    <w:rsid w:val="00510A9E"/>
    <w:rsid w:val="0051275D"/>
    <w:rsid w:val="0051545C"/>
    <w:rsid w:val="005155A2"/>
    <w:rsid w:val="00515A90"/>
    <w:rsid w:val="0053036E"/>
    <w:rsid w:val="00533D17"/>
    <w:rsid w:val="00534252"/>
    <w:rsid w:val="0054552E"/>
    <w:rsid w:val="00551E0B"/>
    <w:rsid w:val="00552155"/>
    <w:rsid w:val="00560967"/>
    <w:rsid w:val="00565F3A"/>
    <w:rsid w:val="00576F06"/>
    <w:rsid w:val="00584B08"/>
    <w:rsid w:val="00585B46"/>
    <w:rsid w:val="00586599"/>
    <w:rsid w:val="00586F05"/>
    <w:rsid w:val="005874B5"/>
    <w:rsid w:val="00587A97"/>
    <w:rsid w:val="005906E4"/>
    <w:rsid w:val="00592EFE"/>
    <w:rsid w:val="00593CC0"/>
    <w:rsid w:val="005A5343"/>
    <w:rsid w:val="005A550D"/>
    <w:rsid w:val="005A5D56"/>
    <w:rsid w:val="005A66AE"/>
    <w:rsid w:val="005B2062"/>
    <w:rsid w:val="005B3B9D"/>
    <w:rsid w:val="005B50F6"/>
    <w:rsid w:val="005B511A"/>
    <w:rsid w:val="005B68DB"/>
    <w:rsid w:val="005B7C98"/>
    <w:rsid w:val="005C03D0"/>
    <w:rsid w:val="005C4F38"/>
    <w:rsid w:val="005C6CF4"/>
    <w:rsid w:val="005C6D94"/>
    <w:rsid w:val="005D5342"/>
    <w:rsid w:val="005D6EEF"/>
    <w:rsid w:val="005E3949"/>
    <w:rsid w:val="005E471B"/>
    <w:rsid w:val="005E78B8"/>
    <w:rsid w:val="005E7B89"/>
    <w:rsid w:val="005F0588"/>
    <w:rsid w:val="005F0A18"/>
    <w:rsid w:val="005F1762"/>
    <w:rsid w:val="00602A82"/>
    <w:rsid w:val="00602D47"/>
    <w:rsid w:val="006030E9"/>
    <w:rsid w:val="00604C26"/>
    <w:rsid w:val="00605965"/>
    <w:rsid w:val="00611C43"/>
    <w:rsid w:val="006140D7"/>
    <w:rsid w:val="00620474"/>
    <w:rsid w:val="00623D95"/>
    <w:rsid w:val="006251C0"/>
    <w:rsid w:val="00626EE7"/>
    <w:rsid w:val="00635B0A"/>
    <w:rsid w:val="00642C65"/>
    <w:rsid w:val="00650299"/>
    <w:rsid w:val="00651871"/>
    <w:rsid w:val="00655AB8"/>
    <w:rsid w:val="006609E3"/>
    <w:rsid w:val="0066145C"/>
    <w:rsid w:val="00666AB2"/>
    <w:rsid w:val="00666EAC"/>
    <w:rsid w:val="00667902"/>
    <w:rsid w:val="00670125"/>
    <w:rsid w:val="00675380"/>
    <w:rsid w:val="00683BA9"/>
    <w:rsid w:val="00684203"/>
    <w:rsid w:val="006872D3"/>
    <w:rsid w:val="00694624"/>
    <w:rsid w:val="006A04E8"/>
    <w:rsid w:val="006A53CC"/>
    <w:rsid w:val="006B0C94"/>
    <w:rsid w:val="006B1B32"/>
    <w:rsid w:val="006B50EB"/>
    <w:rsid w:val="006C112E"/>
    <w:rsid w:val="006C7A96"/>
    <w:rsid w:val="006E249F"/>
    <w:rsid w:val="00700A4E"/>
    <w:rsid w:val="0070109D"/>
    <w:rsid w:val="007032DE"/>
    <w:rsid w:val="00706AD3"/>
    <w:rsid w:val="007158D8"/>
    <w:rsid w:val="00724C37"/>
    <w:rsid w:val="00724CEA"/>
    <w:rsid w:val="0072541E"/>
    <w:rsid w:val="0072700B"/>
    <w:rsid w:val="007279C4"/>
    <w:rsid w:val="007303B4"/>
    <w:rsid w:val="007306E2"/>
    <w:rsid w:val="00731545"/>
    <w:rsid w:val="007318AC"/>
    <w:rsid w:val="0074519E"/>
    <w:rsid w:val="00746404"/>
    <w:rsid w:val="007473F9"/>
    <w:rsid w:val="0075177C"/>
    <w:rsid w:val="0075334C"/>
    <w:rsid w:val="00753B8F"/>
    <w:rsid w:val="0076086A"/>
    <w:rsid w:val="00764EEF"/>
    <w:rsid w:val="00773811"/>
    <w:rsid w:val="00781C81"/>
    <w:rsid w:val="0078459B"/>
    <w:rsid w:val="00792470"/>
    <w:rsid w:val="007944B0"/>
    <w:rsid w:val="00795686"/>
    <w:rsid w:val="007969D1"/>
    <w:rsid w:val="00796A74"/>
    <w:rsid w:val="00797DC4"/>
    <w:rsid w:val="007A1AFF"/>
    <w:rsid w:val="007A3CED"/>
    <w:rsid w:val="007A6300"/>
    <w:rsid w:val="007B68A7"/>
    <w:rsid w:val="007C0BCA"/>
    <w:rsid w:val="007C4A9D"/>
    <w:rsid w:val="007D06FC"/>
    <w:rsid w:val="007D15D3"/>
    <w:rsid w:val="007D2FBC"/>
    <w:rsid w:val="007D7FF7"/>
    <w:rsid w:val="007E00AE"/>
    <w:rsid w:val="007E7FD1"/>
    <w:rsid w:val="007F114D"/>
    <w:rsid w:val="007F3CA4"/>
    <w:rsid w:val="0080175F"/>
    <w:rsid w:val="00803EE2"/>
    <w:rsid w:val="00814A3A"/>
    <w:rsid w:val="00816FB0"/>
    <w:rsid w:val="0082558A"/>
    <w:rsid w:val="008257CE"/>
    <w:rsid w:val="00827D12"/>
    <w:rsid w:val="008319CB"/>
    <w:rsid w:val="00836FC6"/>
    <w:rsid w:val="0084179E"/>
    <w:rsid w:val="00842092"/>
    <w:rsid w:val="008446AD"/>
    <w:rsid w:val="0084681F"/>
    <w:rsid w:val="0085122C"/>
    <w:rsid w:val="00857DDE"/>
    <w:rsid w:val="008637F9"/>
    <w:rsid w:val="00865711"/>
    <w:rsid w:val="0087131C"/>
    <w:rsid w:val="008728AC"/>
    <w:rsid w:val="00877029"/>
    <w:rsid w:val="008822E4"/>
    <w:rsid w:val="00894814"/>
    <w:rsid w:val="00895228"/>
    <w:rsid w:val="00895BDC"/>
    <w:rsid w:val="008A18F8"/>
    <w:rsid w:val="008A28F3"/>
    <w:rsid w:val="008B3800"/>
    <w:rsid w:val="008B3B9C"/>
    <w:rsid w:val="008C35C5"/>
    <w:rsid w:val="008D4143"/>
    <w:rsid w:val="008D6B5D"/>
    <w:rsid w:val="008D77DC"/>
    <w:rsid w:val="008E2256"/>
    <w:rsid w:val="008F0977"/>
    <w:rsid w:val="008F221D"/>
    <w:rsid w:val="00904B48"/>
    <w:rsid w:val="0091003C"/>
    <w:rsid w:val="00916529"/>
    <w:rsid w:val="009240F2"/>
    <w:rsid w:val="00926968"/>
    <w:rsid w:val="00927B78"/>
    <w:rsid w:val="00930BD2"/>
    <w:rsid w:val="00951AC1"/>
    <w:rsid w:val="009530EF"/>
    <w:rsid w:val="009537D7"/>
    <w:rsid w:val="00953FA6"/>
    <w:rsid w:val="00965888"/>
    <w:rsid w:val="00971FF7"/>
    <w:rsid w:val="00974FA6"/>
    <w:rsid w:val="00981475"/>
    <w:rsid w:val="00986D2D"/>
    <w:rsid w:val="00990699"/>
    <w:rsid w:val="00992409"/>
    <w:rsid w:val="00992EB0"/>
    <w:rsid w:val="009A50E0"/>
    <w:rsid w:val="009A69FD"/>
    <w:rsid w:val="009A716A"/>
    <w:rsid w:val="009C16B7"/>
    <w:rsid w:val="009C222C"/>
    <w:rsid w:val="009C22B9"/>
    <w:rsid w:val="009C7F6F"/>
    <w:rsid w:val="009D00E3"/>
    <w:rsid w:val="009D337A"/>
    <w:rsid w:val="009E2FA9"/>
    <w:rsid w:val="009E59A3"/>
    <w:rsid w:val="009F1657"/>
    <w:rsid w:val="009F2EA2"/>
    <w:rsid w:val="009F78B7"/>
    <w:rsid w:val="00A01AE9"/>
    <w:rsid w:val="00A02A4F"/>
    <w:rsid w:val="00A11A75"/>
    <w:rsid w:val="00A17AD1"/>
    <w:rsid w:val="00A2131C"/>
    <w:rsid w:val="00A21734"/>
    <w:rsid w:val="00A22A22"/>
    <w:rsid w:val="00A273DF"/>
    <w:rsid w:val="00A30E7F"/>
    <w:rsid w:val="00A3140F"/>
    <w:rsid w:val="00A373B5"/>
    <w:rsid w:val="00A43901"/>
    <w:rsid w:val="00A439BF"/>
    <w:rsid w:val="00A45152"/>
    <w:rsid w:val="00A52D3C"/>
    <w:rsid w:val="00A6232C"/>
    <w:rsid w:val="00A635BA"/>
    <w:rsid w:val="00A6736C"/>
    <w:rsid w:val="00A74047"/>
    <w:rsid w:val="00A770AB"/>
    <w:rsid w:val="00A7796A"/>
    <w:rsid w:val="00A77E64"/>
    <w:rsid w:val="00A8292B"/>
    <w:rsid w:val="00A90C0D"/>
    <w:rsid w:val="00A90C85"/>
    <w:rsid w:val="00A9162F"/>
    <w:rsid w:val="00A9584B"/>
    <w:rsid w:val="00AA31CE"/>
    <w:rsid w:val="00AA328D"/>
    <w:rsid w:val="00AB182C"/>
    <w:rsid w:val="00AB5193"/>
    <w:rsid w:val="00AB6D20"/>
    <w:rsid w:val="00AC0D21"/>
    <w:rsid w:val="00AC4CAA"/>
    <w:rsid w:val="00AC72E8"/>
    <w:rsid w:val="00AD10D3"/>
    <w:rsid w:val="00AD321B"/>
    <w:rsid w:val="00AD6B75"/>
    <w:rsid w:val="00AE1F18"/>
    <w:rsid w:val="00AE6F3B"/>
    <w:rsid w:val="00AF1746"/>
    <w:rsid w:val="00AF572D"/>
    <w:rsid w:val="00B0308F"/>
    <w:rsid w:val="00B039BB"/>
    <w:rsid w:val="00B06493"/>
    <w:rsid w:val="00B07B6C"/>
    <w:rsid w:val="00B15F45"/>
    <w:rsid w:val="00B205DA"/>
    <w:rsid w:val="00B2229B"/>
    <w:rsid w:val="00B2233A"/>
    <w:rsid w:val="00B23E32"/>
    <w:rsid w:val="00B25388"/>
    <w:rsid w:val="00B354A6"/>
    <w:rsid w:val="00B441D4"/>
    <w:rsid w:val="00B45063"/>
    <w:rsid w:val="00B51A28"/>
    <w:rsid w:val="00B5265F"/>
    <w:rsid w:val="00B53D79"/>
    <w:rsid w:val="00B603E7"/>
    <w:rsid w:val="00B627D5"/>
    <w:rsid w:val="00B70B30"/>
    <w:rsid w:val="00B70D51"/>
    <w:rsid w:val="00B85DAC"/>
    <w:rsid w:val="00B869EA"/>
    <w:rsid w:val="00B92492"/>
    <w:rsid w:val="00B94BC9"/>
    <w:rsid w:val="00B97208"/>
    <w:rsid w:val="00BA0970"/>
    <w:rsid w:val="00BA4035"/>
    <w:rsid w:val="00BA6352"/>
    <w:rsid w:val="00BA652E"/>
    <w:rsid w:val="00BB0DDD"/>
    <w:rsid w:val="00BB0E70"/>
    <w:rsid w:val="00BD172A"/>
    <w:rsid w:val="00BD2587"/>
    <w:rsid w:val="00BD4A13"/>
    <w:rsid w:val="00BD5034"/>
    <w:rsid w:val="00BD5948"/>
    <w:rsid w:val="00BD73CA"/>
    <w:rsid w:val="00BE200A"/>
    <w:rsid w:val="00BE7E4A"/>
    <w:rsid w:val="00BF57CD"/>
    <w:rsid w:val="00BF6BE7"/>
    <w:rsid w:val="00C042BC"/>
    <w:rsid w:val="00C0513A"/>
    <w:rsid w:val="00C12820"/>
    <w:rsid w:val="00C159E7"/>
    <w:rsid w:val="00C16005"/>
    <w:rsid w:val="00C21AB3"/>
    <w:rsid w:val="00C21D35"/>
    <w:rsid w:val="00C26D54"/>
    <w:rsid w:val="00C41B0E"/>
    <w:rsid w:val="00C41DC2"/>
    <w:rsid w:val="00C42675"/>
    <w:rsid w:val="00C43554"/>
    <w:rsid w:val="00C46803"/>
    <w:rsid w:val="00C473D2"/>
    <w:rsid w:val="00C47904"/>
    <w:rsid w:val="00C47B99"/>
    <w:rsid w:val="00C54AF3"/>
    <w:rsid w:val="00C573CE"/>
    <w:rsid w:val="00C61AE5"/>
    <w:rsid w:val="00C65956"/>
    <w:rsid w:val="00C66405"/>
    <w:rsid w:val="00C67164"/>
    <w:rsid w:val="00C671DE"/>
    <w:rsid w:val="00C67E74"/>
    <w:rsid w:val="00C70018"/>
    <w:rsid w:val="00C777A3"/>
    <w:rsid w:val="00C84748"/>
    <w:rsid w:val="00C84D6E"/>
    <w:rsid w:val="00C876CA"/>
    <w:rsid w:val="00C92DEF"/>
    <w:rsid w:val="00C93A2D"/>
    <w:rsid w:val="00C95C39"/>
    <w:rsid w:val="00C970F8"/>
    <w:rsid w:val="00CA05DA"/>
    <w:rsid w:val="00CA222C"/>
    <w:rsid w:val="00CB0203"/>
    <w:rsid w:val="00CB481F"/>
    <w:rsid w:val="00CB6F6F"/>
    <w:rsid w:val="00CC0DF1"/>
    <w:rsid w:val="00CC1BD0"/>
    <w:rsid w:val="00CC2319"/>
    <w:rsid w:val="00CC66DD"/>
    <w:rsid w:val="00CD7BD6"/>
    <w:rsid w:val="00CF0953"/>
    <w:rsid w:val="00CF4BC8"/>
    <w:rsid w:val="00D05F3B"/>
    <w:rsid w:val="00D0666C"/>
    <w:rsid w:val="00D07B5C"/>
    <w:rsid w:val="00D15D33"/>
    <w:rsid w:val="00D16392"/>
    <w:rsid w:val="00D16CCB"/>
    <w:rsid w:val="00D17D33"/>
    <w:rsid w:val="00D21EBD"/>
    <w:rsid w:val="00D22777"/>
    <w:rsid w:val="00D23D8B"/>
    <w:rsid w:val="00D27009"/>
    <w:rsid w:val="00D32728"/>
    <w:rsid w:val="00D33F7D"/>
    <w:rsid w:val="00D34B8D"/>
    <w:rsid w:val="00D4432F"/>
    <w:rsid w:val="00D45470"/>
    <w:rsid w:val="00D46090"/>
    <w:rsid w:val="00D51C0D"/>
    <w:rsid w:val="00D53251"/>
    <w:rsid w:val="00D54CE1"/>
    <w:rsid w:val="00D56D00"/>
    <w:rsid w:val="00D67DC5"/>
    <w:rsid w:val="00D705AF"/>
    <w:rsid w:val="00D71F7A"/>
    <w:rsid w:val="00D724AD"/>
    <w:rsid w:val="00D82EED"/>
    <w:rsid w:val="00D95DE9"/>
    <w:rsid w:val="00D97D44"/>
    <w:rsid w:val="00DA11EA"/>
    <w:rsid w:val="00DA1E7B"/>
    <w:rsid w:val="00DA3DE5"/>
    <w:rsid w:val="00DA595C"/>
    <w:rsid w:val="00DA7B44"/>
    <w:rsid w:val="00DB053D"/>
    <w:rsid w:val="00DB633E"/>
    <w:rsid w:val="00DC6F01"/>
    <w:rsid w:val="00DD71F5"/>
    <w:rsid w:val="00DD7C5F"/>
    <w:rsid w:val="00DE3CD7"/>
    <w:rsid w:val="00DE485D"/>
    <w:rsid w:val="00DE640F"/>
    <w:rsid w:val="00DE6FBF"/>
    <w:rsid w:val="00DE7539"/>
    <w:rsid w:val="00DF0EE7"/>
    <w:rsid w:val="00DF609F"/>
    <w:rsid w:val="00DF7946"/>
    <w:rsid w:val="00E03D4C"/>
    <w:rsid w:val="00E04570"/>
    <w:rsid w:val="00E065A3"/>
    <w:rsid w:val="00E14453"/>
    <w:rsid w:val="00E15F2D"/>
    <w:rsid w:val="00E17953"/>
    <w:rsid w:val="00E20190"/>
    <w:rsid w:val="00E22253"/>
    <w:rsid w:val="00E229A2"/>
    <w:rsid w:val="00E265CC"/>
    <w:rsid w:val="00E26A80"/>
    <w:rsid w:val="00E337AC"/>
    <w:rsid w:val="00E37CC6"/>
    <w:rsid w:val="00E40344"/>
    <w:rsid w:val="00E40BC8"/>
    <w:rsid w:val="00E40CA5"/>
    <w:rsid w:val="00E41A6E"/>
    <w:rsid w:val="00E420F6"/>
    <w:rsid w:val="00E44C06"/>
    <w:rsid w:val="00E5153C"/>
    <w:rsid w:val="00E51C13"/>
    <w:rsid w:val="00E5237B"/>
    <w:rsid w:val="00E63ADB"/>
    <w:rsid w:val="00E63EF4"/>
    <w:rsid w:val="00E719E3"/>
    <w:rsid w:val="00E73D28"/>
    <w:rsid w:val="00E8481B"/>
    <w:rsid w:val="00E87738"/>
    <w:rsid w:val="00E9289B"/>
    <w:rsid w:val="00E94C61"/>
    <w:rsid w:val="00E94D72"/>
    <w:rsid w:val="00E95B80"/>
    <w:rsid w:val="00E96714"/>
    <w:rsid w:val="00EA059A"/>
    <w:rsid w:val="00EA0858"/>
    <w:rsid w:val="00EA304C"/>
    <w:rsid w:val="00EA5DF3"/>
    <w:rsid w:val="00EB308F"/>
    <w:rsid w:val="00EC1E48"/>
    <w:rsid w:val="00EC62EE"/>
    <w:rsid w:val="00EC67C3"/>
    <w:rsid w:val="00EC6E43"/>
    <w:rsid w:val="00ED0548"/>
    <w:rsid w:val="00ED2BB0"/>
    <w:rsid w:val="00ED388D"/>
    <w:rsid w:val="00ED60A2"/>
    <w:rsid w:val="00EE0940"/>
    <w:rsid w:val="00EE09A1"/>
    <w:rsid w:val="00EE32E5"/>
    <w:rsid w:val="00EF50F8"/>
    <w:rsid w:val="00F002D5"/>
    <w:rsid w:val="00F04551"/>
    <w:rsid w:val="00F11EE5"/>
    <w:rsid w:val="00F15527"/>
    <w:rsid w:val="00F300B2"/>
    <w:rsid w:val="00F4124F"/>
    <w:rsid w:val="00F4753F"/>
    <w:rsid w:val="00F55EE0"/>
    <w:rsid w:val="00F5671B"/>
    <w:rsid w:val="00F602B0"/>
    <w:rsid w:val="00F62ECC"/>
    <w:rsid w:val="00F6587A"/>
    <w:rsid w:val="00F65B3A"/>
    <w:rsid w:val="00F720FB"/>
    <w:rsid w:val="00F72799"/>
    <w:rsid w:val="00F729E5"/>
    <w:rsid w:val="00F72E5E"/>
    <w:rsid w:val="00F72F29"/>
    <w:rsid w:val="00F73648"/>
    <w:rsid w:val="00F7382C"/>
    <w:rsid w:val="00F749C3"/>
    <w:rsid w:val="00F93941"/>
    <w:rsid w:val="00F93D6B"/>
    <w:rsid w:val="00F93EDD"/>
    <w:rsid w:val="00F95D58"/>
    <w:rsid w:val="00F97925"/>
    <w:rsid w:val="00FA6D1A"/>
    <w:rsid w:val="00FB02A4"/>
    <w:rsid w:val="00FB4785"/>
    <w:rsid w:val="00FC02BF"/>
    <w:rsid w:val="00FC159A"/>
    <w:rsid w:val="00FC1B29"/>
    <w:rsid w:val="00FC58CE"/>
    <w:rsid w:val="00FC6202"/>
    <w:rsid w:val="00FC7F92"/>
    <w:rsid w:val="00FD031C"/>
    <w:rsid w:val="00FD2094"/>
    <w:rsid w:val="00FD4139"/>
    <w:rsid w:val="00FD6399"/>
    <w:rsid w:val="00FE492F"/>
    <w:rsid w:val="00FE5328"/>
    <w:rsid w:val="00FF40D5"/>
    <w:rsid w:val="00FF5694"/>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B9D586"/>
  <w15:docId w15:val="{035BED4A-EBFA-4053-9CE2-825DC10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0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07E"/>
  </w:style>
  <w:style w:type="paragraph" w:styleId="Footer">
    <w:name w:val="footer"/>
    <w:basedOn w:val="Normal"/>
    <w:link w:val="FooterChar"/>
    <w:uiPriority w:val="99"/>
    <w:unhideWhenUsed/>
    <w:rsid w:val="0042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07E"/>
  </w:style>
  <w:style w:type="character" w:customStyle="1" w:styleId="Heading1Char">
    <w:name w:val="Heading 1 Char"/>
    <w:basedOn w:val="DefaultParagraphFont"/>
    <w:link w:val="Heading1"/>
    <w:uiPriority w:val="9"/>
    <w:rsid w:val="00FE5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7A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07A49"/>
    <w:pPr>
      <w:ind w:left="720"/>
      <w:contextualSpacing/>
    </w:pPr>
  </w:style>
  <w:style w:type="paragraph" w:styleId="TOCHeading">
    <w:name w:val="TOC Heading"/>
    <w:basedOn w:val="Heading1"/>
    <w:next w:val="Normal"/>
    <w:uiPriority w:val="39"/>
    <w:unhideWhenUsed/>
    <w:qFormat/>
    <w:rsid w:val="00F04551"/>
    <w:pPr>
      <w:outlineLvl w:val="9"/>
    </w:pPr>
  </w:style>
  <w:style w:type="paragraph" w:styleId="TOC1">
    <w:name w:val="toc 1"/>
    <w:basedOn w:val="Normal"/>
    <w:next w:val="Normal"/>
    <w:autoRedefine/>
    <w:uiPriority w:val="39"/>
    <w:unhideWhenUsed/>
    <w:rsid w:val="00E065A3"/>
    <w:pPr>
      <w:tabs>
        <w:tab w:val="left" w:pos="660"/>
        <w:tab w:val="right" w:leader="dot" w:pos="9350"/>
      </w:tabs>
      <w:spacing w:after="100"/>
    </w:pPr>
  </w:style>
  <w:style w:type="paragraph" w:styleId="TOC2">
    <w:name w:val="toc 2"/>
    <w:basedOn w:val="Normal"/>
    <w:next w:val="Normal"/>
    <w:autoRedefine/>
    <w:uiPriority w:val="39"/>
    <w:unhideWhenUsed/>
    <w:rsid w:val="00F04551"/>
    <w:pPr>
      <w:spacing w:after="100"/>
      <w:ind w:left="220"/>
    </w:pPr>
  </w:style>
  <w:style w:type="character" w:styleId="Hyperlink">
    <w:name w:val="Hyperlink"/>
    <w:basedOn w:val="DefaultParagraphFont"/>
    <w:uiPriority w:val="99"/>
    <w:unhideWhenUsed/>
    <w:rsid w:val="00F04551"/>
    <w:rPr>
      <w:color w:val="0563C1" w:themeColor="hyperlink"/>
      <w:u w:val="single"/>
    </w:rPr>
  </w:style>
  <w:style w:type="character" w:customStyle="1" w:styleId="Heading3Char">
    <w:name w:val="Heading 3 Char"/>
    <w:basedOn w:val="DefaultParagraphFont"/>
    <w:link w:val="Heading3"/>
    <w:uiPriority w:val="9"/>
    <w:rsid w:val="005B50F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F0977"/>
    <w:pPr>
      <w:spacing w:after="100"/>
      <w:ind w:left="440"/>
    </w:pPr>
  </w:style>
  <w:style w:type="character" w:styleId="LineNumber">
    <w:name w:val="line number"/>
    <w:basedOn w:val="DefaultParagraphFont"/>
    <w:uiPriority w:val="99"/>
    <w:semiHidden/>
    <w:unhideWhenUsed/>
    <w:rsid w:val="00396F05"/>
  </w:style>
  <w:style w:type="paragraph" w:styleId="BalloonText">
    <w:name w:val="Balloon Text"/>
    <w:basedOn w:val="Normal"/>
    <w:link w:val="BalloonTextChar"/>
    <w:uiPriority w:val="99"/>
    <w:semiHidden/>
    <w:unhideWhenUsed/>
    <w:rsid w:val="00505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D83"/>
    <w:rPr>
      <w:rFonts w:ascii="Segoe UI" w:hAnsi="Segoe UI" w:cs="Segoe UI"/>
      <w:sz w:val="18"/>
      <w:szCs w:val="18"/>
    </w:rPr>
  </w:style>
  <w:style w:type="character" w:styleId="CommentReference">
    <w:name w:val="annotation reference"/>
    <w:basedOn w:val="DefaultParagraphFont"/>
    <w:uiPriority w:val="99"/>
    <w:semiHidden/>
    <w:unhideWhenUsed/>
    <w:rsid w:val="00926968"/>
    <w:rPr>
      <w:sz w:val="16"/>
      <w:szCs w:val="16"/>
    </w:rPr>
  </w:style>
  <w:style w:type="paragraph" w:styleId="CommentText">
    <w:name w:val="annotation text"/>
    <w:basedOn w:val="Normal"/>
    <w:link w:val="CommentTextChar"/>
    <w:uiPriority w:val="99"/>
    <w:unhideWhenUsed/>
    <w:rsid w:val="00926968"/>
    <w:pPr>
      <w:spacing w:line="240" w:lineRule="auto"/>
    </w:pPr>
    <w:rPr>
      <w:sz w:val="20"/>
      <w:szCs w:val="20"/>
    </w:rPr>
  </w:style>
  <w:style w:type="character" w:customStyle="1" w:styleId="CommentTextChar">
    <w:name w:val="Comment Text Char"/>
    <w:basedOn w:val="DefaultParagraphFont"/>
    <w:link w:val="CommentText"/>
    <w:uiPriority w:val="99"/>
    <w:rsid w:val="00926968"/>
    <w:rPr>
      <w:sz w:val="20"/>
      <w:szCs w:val="20"/>
    </w:rPr>
  </w:style>
  <w:style w:type="paragraph" w:styleId="CommentSubject">
    <w:name w:val="annotation subject"/>
    <w:basedOn w:val="CommentText"/>
    <w:next w:val="CommentText"/>
    <w:link w:val="CommentSubjectChar"/>
    <w:uiPriority w:val="99"/>
    <w:semiHidden/>
    <w:unhideWhenUsed/>
    <w:rsid w:val="00926968"/>
    <w:rPr>
      <w:b/>
      <w:bCs/>
    </w:rPr>
  </w:style>
  <w:style w:type="character" w:customStyle="1" w:styleId="CommentSubjectChar">
    <w:name w:val="Comment Subject Char"/>
    <w:basedOn w:val="CommentTextChar"/>
    <w:link w:val="CommentSubject"/>
    <w:uiPriority w:val="99"/>
    <w:semiHidden/>
    <w:rsid w:val="00926968"/>
    <w:rPr>
      <w:b/>
      <w:bCs/>
      <w:sz w:val="20"/>
      <w:szCs w:val="20"/>
    </w:rPr>
  </w:style>
  <w:style w:type="character" w:customStyle="1" w:styleId="UnresolvedMention1">
    <w:name w:val="Unresolved Mention1"/>
    <w:basedOn w:val="DefaultParagraphFont"/>
    <w:uiPriority w:val="99"/>
    <w:semiHidden/>
    <w:unhideWhenUsed/>
    <w:rsid w:val="00926968"/>
    <w:rPr>
      <w:color w:val="605E5C"/>
      <w:shd w:val="clear" w:color="auto" w:fill="E1DFDD"/>
    </w:rPr>
  </w:style>
  <w:style w:type="paragraph" w:styleId="Revision">
    <w:name w:val="Revision"/>
    <w:hidden/>
    <w:uiPriority w:val="99"/>
    <w:semiHidden/>
    <w:rsid w:val="00DB633E"/>
    <w:pPr>
      <w:spacing w:after="0" w:line="240" w:lineRule="auto"/>
    </w:pPr>
  </w:style>
  <w:style w:type="paragraph" w:customStyle="1" w:styleId="Default">
    <w:name w:val="Default"/>
    <w:rsid w:val="00971FF7"/>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17360">
      <w:bodyDiv w:val="1"/>
      <w:marLeft w:val="0"/>
      <w:marRight w:val="0"/>
      <w:marTop w:val="0"/>
      <w:marBottom w:val="0"/>
      <w:divBdr>
        <w:top w:val="none" w:sz="0" w:space="0" w:color="auto"/>
        <w:left w:val="none" w:sz="0" w:space="0" w:color="auto"/>
        <w:bottom w:val="none" w:sz="0" w:space="0" w:color="auto"/>
        <w:right w:val="none" w:sz="0" w:space="0" w:color="auto"/>
      </w:divBdr>
    </w:div>
    <w:div w:id="148112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29C5-B9BB-41E0-A489-64B83F19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Pinke</dc:creator>
  <cp:keywords/>
  <dc:description/>
  <cp:lastModifiedBy>Laura Hampton</cp:lastModifiedBy>
  <cp:revision>12</cp:revision>
  <cp:lastPrinted>2020-08-17T19:00:00Z</cp:lastPrinted>
  <dcterms:created xsi:type="dcterms:W3CDTF">2022-10-31T14:22:00Z</dcterms:created>
  <dcterms:modified xsi:type="dcterms:W3CDTF">2022-11-02T12:27:00Z</dcterms:modified>
</cp:coreProperties>
</file>