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1731E3B9" w:rsidR="003832E7" w:rsidRPr="003832E7" w:rsidRDefault="005A668A" w:rsidP="003832E7">
      <w:pPr>
        <w:pStyle w:val="Default"/>
        <w:jc w:val="right"/>
        <w:rPr>
          <w:rFonts w:ascii="Arial" w:hAnsi="Arial" w:cs="Arial"/>
          <w:sz w:val="22"/>
          <w:szCs w:val="22"/>
        </w:rPr>
      </w:pPr>
      <w:proofErr w:type="spellStart"/>
      <w:r>
        <w:rPr>
          <w:rFonts w:ascii="Arial" w:hAnsi="Arial" w:cs="Arial"/>
          <w:bCs/>
          <w:sz w:val="22"/>
          <w:szCs w:val="22"/>
        </w:rPr>
        <w:t>Entegrus</w:t>
      </w:r>
      <w:proofErr w:type="spellEnd"/>
      <w:r>
        <w:rPr>
          <w:rFonts w:ascii="Arial" w:hAnsi="Arial" w:cs="Arial"/>
          <w:bCs/>
          <w:sz w:val="22"/>
          <w:szCs w:val="22"/>
        </w:rPr>
        <w:t xml:space="preserve"> Powerlines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0730FA5E"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5A668A">
        <w:rPr>
          <w:rFonts w:ascii="Arial" w:hAnsi="Arial" w:cs="Arial"/>
          <w:sz w:val="22"/>
          <w:szCs w:val="22"/>
        </w:rPr>
        <w:t>0026</w:t>
      </w:r>
    </w:p>
    <w:p w14:paraId="31F8E0D6" w14:textId="296CFDBD" w:rsidR="00A07077" w:rsidRPr="00D57E8C" w:rsidRDefault="005A668A" w:rsidP="00A07077">
      <w:pPr>
        <w:pStyle w:val="Default"/>
        <w:jc w:val="center"/>
        <w:rPr>
          <w:rFonts w:ascii="Arial" w:hAnsi="Arial" w:cs="Arial"/>
          <w:sz w:val="28"/>
          <w:szCs w:val="28"/>
        </w:rPr>
      </w:pPr>
      <w:proofErr w:type="spellStart"/>
      <w:r>
        <w:rPr>
          <w:rFonts w:ascii="Arial" w:hAnsi="Arial" w:cs="Arial"/>
          <w:b/>
          <w:bCs/>
          <w:sz w:val="28"/>
          <w:szCs w:val="28"/>
        </w:rPr>
        <w:t>Entegrus</w:t>
      </w:r>
      <w:proofErr w:type="spellEnd"/>
      <w:r>
        <w:rPr>
          <w:rFonts w:ascii="Arial" w:hAnsi="Arial" w:cs="Arial"/>
          <w:b/>
          <w:bCs/>
          <w:sz w:val="28"/>
          <w:szCs w:val="28"/>
        </w:rPr>
        <w:t xml:space="preserve"> Powerlines Inc.</w:t>
      </w:r>
    </w:p>
    <w:p w14:paraId="33D6510D" w14:textId="67EA4E6F"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5A668A">
        <w:rPr>
          <w:rFonts w:ascii="Arial" w:hAnsi="Arial" w:cs="Arial"/>
          <w:b/>
          <w:bCs/>
          <w:sz w:val="28"/>
          <w:szCs w:val="28"/>
        </w:rPr>
        <w:t>0026</w:t>
      </w:r>
    </w:p>
    <w:p w14:paraId="2A0CB1B0" w14:textId="3DB43A3C"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proofErr w:type="spellStart"/>
      <w:r w:rsidR="005A668A">
        <w:rPr>
          <w:rFonts w:ascii="Arial" w:eastAsia="Calibri" w:hAnsi="Arial" w:cs="Arial"/>
          <w:sz w:val="24"/>
          <w:szCs w:val="24"/>
        </w:rPr>
        <w:t>Entegrus</w:t>
      </w:r>
      <w:proofErr w:type="spellEnd"/>
      <w:r w:rsidR="005A668A">
        <w:rPr>
          <w:rFonts w:ascii="Arial" w:eastAsia="Calibri" w:hAnsi="Arial" w:cs="Arial"/>
          <w:sz w:val="24"/>
          <w:szCs w:val="24"/>
        </w:rPr>
        <w:t xml:space="preserve"> Powerlines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64A0096A" w:rsidR="00D57E8C" w:rsidRDefault="00D57E8C" w:rsidP="00AB251C">
      <w:pPr>
        <w:spacing w:after="240"/>
        <w:rPr>
          <w:rFonts w:ascii="Arial" w:hAnsi="Arial" w:cs="Arial"/>
          <w:b/>
          <w:sz w:val="24"/>
          <w:szCs w:val="24"/>
        </w:rPr>
      </w:pPr>
      <w:r>
        <w:rPr>
          <w:rFonts w:ascii="Arial" w:hAnsi="Arial" w:cs="Arial"/>
          <w:b/>
          <w:sz w:val="24"/>
          <w:szCs w:val="24"/>
        </w:rPr>
        <w:t>Staff Question-1</w:t>
      </w:r>
    </w:p>
    <w:p w14:paraId="6A96223D" w14:textId="5E134C53" w:rsidR="00706372" w:rsidRDefault="00706372" w:rsidP="00AB251C">
      <w:pPr>
        <w:spacing w:after="240"/>
        <w:rPr>
          <w:rFonts w:ascii="Arial" w:hAnsi="Arial" w:cs="Arial"/>
          <w:b/>
          <w:sz w:val="24"/>
          <w:szCs w:val="24"/>
        </w:rPr>
      </w:pPr>
      <w:r>
        <w:rPr>
          <w:rFonts w:ascii="Arial" w:hAnsi="Arial" w:cs="Arial"/>
          <w:b/>
          <w:sz w:val="24"/>
          <w:szCs w:val="24"/>
        </w:rPr>
        <w:t>Ref:</w:t>
      </w:r>
    </w:p>
    <w:p w14:paraId="2563FDBF" w14:textId="09EF5D25" w:rsidR="00706372" w:rsidRPr="00706372" w:rsidRDefault="00706372" w:rsidP="00706372">
      <w:pPr>
        <w:pStyle w:val="ListParagraph"/>
        <w:numPr>
          <w:ilvl w:val="0"/>
          <w:numId w:val="28"/>
        </w:numPr>
        <w:spacing w:after="240"/>
        <w:rPr>
          <w:rFonts w:ascii="Arial" w:hAnsi="Arial" w:cs="Arial"/>
          <w:bCs/>
          <w:sz w:val="24"/>
          <w:szCs w:val="24"/>
        </w:rPr>
      </w:pPr>
      <w:r w:rsidRPr="00706372">
        <w:rPr>
          <w:rFonts w:ascii="Arial" w:hAnsi="Arial" w:cs="Arial"/>
          <w:bCs/>
          <w:sz w:val="24"/>
          <w:szCs w:val="24"/>
        </w:rPr>
        <w:t>Rate Generator Model</w:t>
      </w:r>
    </w:p>
    <w:p w14:paraId="74A8A289" w14:textId="2249E79C" w:rsidR="005A668A" w:rsidRDefault="000A726E" w:rsidP="00AB251C">
      <w:pPr>
        <w:spacing w:after="240"/>
        <w:rPr>
          <w:rFonts w:ascii="Arial" w:hAnsi="Arial" w:cs="Arial"/>
          <w:bCs/>
          <w:sz w:val="24"/>
          <w:szCs w:val="24"/>
        </w:rPr>
      </w:pPr>
      <w:r w:rsidRPr="000A726E">
        <w:rPr>
          <w:rFonts w:ascii="Arial" w:hAnsi="Arial" w:cs="Arial"/>
          <w:b/>
          <w:sz w:val="24"/>
          <w:szCs w:val="24"/>
        </w:rPr>
        <w:t>Question:</w:t>
      </w:r>
      <w:r>
        <w:rPr>
          <w:rFonts w:ascii="Arial" w:hAnsi="Arial" w:cs="Arial"/>
          <w:bCs/>
          <w:sz w:val="24"/>
          <w:szCs w:val="24"/>
        </w:rPr>
        <w:t xml:space="preserve"> </w:t>
      </w:r>
      <w:r w:rsidR="005A668A" w:rsidRPr="005A668A">
        <w:rPr>
          <w:rFonts w:ascii="Arial" w:hAnsi="Arial" w:cs="Arial"/>
          <w:bCs/>
          <w:sz w:val="24"/>
          <w:szCs w:val="24"/>
        </w:rPr>
        <w:t xml:space="preserve">Please reconcile the </w:t>
      </w:r>
      <w:r w:rsidR="005A668A">
        <w:rPr>
          <w:rFonts w:ascii="Arial" w:hAnsi="Arial" w:cs="Arial"/>
          <w:bCs/>
          <w:sz w:val="24"/>
          <w:szCs w:val="24"/>
        </w:rPr>
        <w:t xml:space="preserve">discrepancy in the </w:t>
      </w:r>
      <w:r w:rsidR="005A668A" w:rsidRPr="005A668A">
        <w:rPr>
          <w:rFonts w:ascii="Arial" w:hAnsi="Arial" w:cs="Arial"/>
          <w:bCs/>
          <w:sz w:val="24"/>
          <w:szCs w:val="24"/>
        </w:rPr>
        <w:t>OEB Approved Rate base and OEB Approved Regulatory Taxable Income 2016 (Tab 8. STS – Tax Change, Cell H16 and H18)</w:t>
      </w:r>
      <w:r w:rsidR="00706372">
        <w:rPr>
          <w:rFonts w:ascii="Arial" w:hAnsi="Arial" w:cs="Arial"/>
          <w:bCs/>
          <w:sz w:val="24"/>
          <w:szCs w:val="24"/>
        </w:rPr>
        <w:t xml:space="preserve"> at ref 1)</w:t>
      </w:r>
      <w:r w:rsidR="005A668A" w:rsidRPr="005A668A">
        <w:rPr>
          <w:rFonts w:ascii="Arial" w:hAnsi="Arial" w:cs="Arial"/>
          <w:bCs/>
          <w:sz w:val="24"/>
          <w:szCs w:val="24"/>
        </w:rPr>
        <w:t xml:space="preserve"> for both rate zones as per the 2016 COS Decision/ 2022 Rate Generator Model. </w:t>
      </w:r>
      <w:r w:rsidR="005A668A">
        <w:rPr>
          <w:rFonts w:ascii="Arial" w:hAnsi="Arial" w:cs="Arial"/>
          <w:bCs/>
          <w:sz w:val="24"/>
          <w:szCs w:val="24"/>
        </w:rPr>
        <w:t xml:space="preserve">Please update the models accordingly. </w:t>
      </w:r>
    </w:p>
    <w:p w14:paraId="17C54EBF" w14:textId="2712B6B9" w:rsidR="005A668A" w:rsidRDefault="005A668A" w:rsidP="00AB251C">
      <w:pPr>
        <w:spacing w:after="240"/>
        <w:rPr>
          <w:rFonts w:ascii="Arial" w:hAnsi="Arial" w:cs="Arial"/>
          <w:b/>
          <w:sz w:val="24"/>
          <w:szCs w:val="24"/>
        </w:rPr>
      </w:pPr>
      <w:r w:rsidRPr="005A668A">
        <w:rPr>
          <w:rFonts w:ascii="Arial" w:hAnsi="Arial" w:cs="Arial"/>
          <w:b/>
          <w:sz w:val="24"/>
          <w:szCs w:val="24"/>
        </w:rPr>
        <w:t>Staff Question-2</w:t>
      </w:r>
    </w:p>
    <w:p w14:paraId="45487B11" w14:textId="77777777" w:rsidR="00706372" w:rsidRDefault="00706372" w:rsidP="00706372">
      <w:pPr>
        <w:spacing w:after="240"/>
        <w:rPr>
          <w:rFonts w:ascii="Arial" w:hAnsi="Arial" w:cs="Arial"/>
          <w:b/>
          <w:sz w:val="24"/>
          <w:szCs w:val="24"/>
        </w:rPr>
      </w:pPr>
      <w:r>
        <w:rPr>
          <w:rFonts w:ascii="Arial" w:hAnsi="Arial" w:cs="Arial"/>
          <w:b/>
          <w:sz w:val="24"/>
          <w:szCs w:val="24"/>
        </w:rPr>
        <w:t>Ref:</w:t>
      </w:r>
    </w:p>
    <w:p w14:paraId="13F8A7C2" w14:textId="16C5A473" w:rsidR="00706372" w:rsidRPr="00706372" w:rsidRDefault="00706372" w:rsidP="00AB251C">
      <w:pPr>
        <w:pStyle w:val="ListParagraph"/>
        <w:numPr>
          <w:ilvl w:val="0"/>
          <w:numId w:val="30"/>
        </w:numPr>
        <w:spacing w:after="240"/>
        <w:rPr>
          <w:rFonts w:ascii="Arial" w:hAnsi="Arial" w:cs="Arial"/>
          <w:bCs/>
          <w:sz w:val="24"/>
          <w:szCs w:val="24"/>
        </w:rPr>
      </w:pPr>
      <w:r w:rsidRPr="00706372">
        <w:rPr>
          <w:rFonts w:ascii="Arial" w:hAnsi="Arial" w:cs="Arial"/>
          <w:bCs/>
          <w:sz w:val="24"/>
          <w:szCs w:val="24"/>
        </w:rPr>
        <w:t>Rate Generator Model</w:t>
      </w:r>
    </w:p>
    <w:p w14:paraId="69B3A242" w14:textId="47C01893" w:rsidR="005A668A" w:rsidRDefault="000A726E" w:rsidP="00AB251C">
      <w:pPr>
        <w:spacing w:after="240"/>
        <w:rPr>
          <w:rFonts w:ascii="Arial" w:hAnsi="Arial" w:cs="Arial"/>
          <w:bCs/>
          <w:sz w:val="24"/>
          <w:szCs w:val="24"/>
        </w:rPr>
      </w:pPr>
      <w:r w:rsidRPr="000A726E">
        <w:rPr>
          <w:rFonts w:ascii="Arial" w:hAnsi="Arial" w:cs="Arial"/>
          <w:b/>
          <w:sz w:val="24"/>
          <w:szCs w:val="24"/>
        </w:rPr>
        <w:t>Question:</w:t>
      </w:r>
      <w:r>
        <w:rPr>
          <w:rFonts w:ascii="Arial" w:hAnsi="Arial" w:cs="Arial"/>
          <w:bCs/>
          <w:sz w:val="24"/>
          <w:szCs w:val="24"/>
        </w:rPr>
        <w:t xml:space="preserve"> </w:t>
      </w:r>
      <w:r w:rsidR="005A668A">
        <w:rPr>
          <w:rFonts w:ascii="Arial" w:hAnsi="Arial" w:cs="Arial"/>
          <w:bCs/>
          <w:sz w:val="24"/>
          <w:szCs w:val="24"/>
        </w:rPr>
        <w:t xml:space="preserve">Please clarify how 1595 Recovery Proportion is estimated in Tab 4. Billing Det. For Def-Var </w:t>
      </w:r>
      <w:r w:rsidR="00706372">
        <w:rPr>
          <w:rFonts w:ascii="Arial" w:hAnsi="Arial" w:cs="Arial"/>
          <w:bCs/>
          <w:sz w:val="24"/>
          <w:szCs w:val="24"/>
        </w:rPr>
        <w:t xml:space="preserve">at ref 1) </w:t>
      </w:r>
      <w:r w:rsidR="005A668A">
        <w:rPr>
          <w:rFonts w:ascii="Arial" w:hAnsi="Arial" w:cs="Arial"/>
          <w:bCs/>
          <w:sz w:val="24"/>
          <w:szCs w:val="24"/>
        </w:rPr>
        <w:t>for both rate zones</w:t>
      </w:r>
      <w:r>
        <w:rPr>
          <w:rFonts w:ascii="Arial" w:hAnsi="Arial" w:cs="Arial"/>
          <w:bCs/>
          <w:sz w:val="24"/>
          <w:szCs w:val="24"/>
        </w:rPr>
        <w:t xml:space="preserve"> and provide reference to any previous filing</w:t>
      </w:r>
      <w:r w:rsidR="005A668A">
        <w:rPr>
          <w:rFonts w:ascii="Arial" w:hAnsi="Arial" w:cs="Arial"/>
          <w:bCs/>
          <w:sz w:val="24"/>
          <w:szCs w:val="24"/>
        </w:rPr>
        <w:t xml:space="preserve">. </w:t>
      </w:r>
    </w:p>
    <w:p w14:paraId="4537915C" w14:textId="278DC41C" w:rsidR="00706372" w:rsidRDefault="00706372" w:rsidP="00706372">
      <w:pPr>
        <w:spacing w:after="240"/>
        <w:rPr>
          <w:rFonts w:ascii="Arial" w:hAnsi="Arial" w:cs="Arial"/>
          <w:b/>
          <w:sz w:val="24"/>
          <w:szCs w:val="24"/>
        </w:rPr>
      </w:pPr>
      <w:bookmarkStart w:id="1" w:name="_Hlk112752122"/>
      <w:r w:rsidRPr="005A668A">
        <w:rPr>
          <w:rFonts w:ascii="Arial" w:hAnsi="Arial" w:cs="Arial"/>
          <w:b/>
          <w:sz w:val="24"/>
          <w:szCs w:val="24"/>
        </w:rPr>
        <w:t>Staff Question-</w:t>
      </w:r>
      <w:r>
        <w:rPr>
          <w:rFonts w:ascii="Arial" w:hAnsi="Arial" w:cs="Arial"/>
          <w:b/>
          <w:sz w:val="24"/>
          <w:szCs w:val="24"/>
        </w:rPr>
        <w:t>3</w:t>
      </w:r>
    </w:p>
    <w:p w14:paraId="7FD05F78" w14:textId="77777777" w:rsidR="00706372" w:rsidRDefault="00706372" w:rsidP="00706372">
      <w:pPr>
        <w:spacing w:after="240"/>
        <w:rPr>
          <w:rFonts w:ascii="Arial" w:hAnsi="Arial" w:cs="Arial"/>
          <w:b/>
          <w:sz w:val="24"/>
          <w:szCs w:val="24"/>
        </w:rPr>
      </w:pPr>
      <w:r>
        <w:rPr>
          <w:rFonts w:ascii="Arial" w:hAnsi="Arial" w:cs="Arial"/>
          <w:b/>
          <w:sz w:val="24"/>
          <w:szCs w:val="24"/>
        </w:rPr>
        <w:t>Ref:</w:t>
      </w:r>
    </w:p>
    <w:p w14:paraId="77EB7D38" w14:textId="23BFD3A0" w:rsidR="00706372" w:rsidRDefault="00706372" w:rsidP="00706372">
      <w:pPr>
        <w:pStyle w:val="ListParagraph"/>
        <w:numPr>
          <w:ilvl w:val="0"/>
          <w:numId w:val="32"/>
        </w:numPr>
        <w:spacing w:after="240"/>
        <w:rPr>
          <w:rFonts w:ascii="Arial" w:hAnsi="Arial" w:cs="Arial"/>
          <w:bCs/>
          <w:sz w:val="24"/>
          <w:szCs w:val="24"/>
        </w:rPr>
      </w:pPr>
      <w:r>
        <w:rPr>
          <w:rFonts w:ascii="Arial" w:hAnsi="Arial" w:cs="Arial"/>
          <w:bCs/>
          <w:sz w:val="24"/>
          <w:szCs w:val="24"/>
        </w:rPr>
        <w:t xml:space="preserve">2023 GA Analysis </w:t>
      </w:r>
      <w:proofErr w:type="spellStart"/>
      <w:r>
        <w:rPr>
          <w:rFonts w:ascii="Arial" w:hAnsi="Arial" w:cs="Arial"/>
          <w:bCs/>
          <w:sz w:val="24"/>
          <w:szCs w:val="24"/>
        </w:rPr>
        <w:t>Workform</w:t>
      </w:r>
      <w:proofErr w:type="spellEnd"/>
      <w:r w:rsidR="000A726E">
        <w:rPr>
          <w:rFonts w:ascii="Arial" w:hAnsi="Arial" w:cs="Arial"/>
          <w:bCs/>
          <w:sz w:val="24"/>
          <w:szCs w:val="24"/>
        </w:rPr>
        <w:t xml:space="preserve"> – MAIN </w:t>
      </w:r>
    </w:p>
    <w:bookmarkEnd w:id="1"/>
    <w:p w14:paraId="11265FC5" w14:textId="59AAC99D" w:rsidR="000A726E" w:rsidRDefault="000A726E" w:rsidP="00706372">
      <w:pPr>
        <w:pStyle w:val="ListParagraph"/>
        <w:numPr>
          <w:ilvl w:val="0"/>
          <w:numId w:val="32"/>
        </w:numPr>
        <w:spacing w:after="240"/>
        <w:rPr>
          <w:rFonts w:ascii="Arial" w:hAnsi="Arial" w:cs="Arial"/>
          <w:bCs/>
          <w:sz w:val="24"/>
          <w:szCs w:val="24"/>
        </w:rPr>
      </w:pPr>
      <w:r>
        <w:rPr>
          <w:rFonts w:ascii="Arial" w:hAnsi="Arial" w:cs="Arial"/>
          <w:bCs/>
          <w:sz w:val="24"/>
          <w:szCs w:val="24"/>
        </w:rPr>
        <w:t xml:space="preserve">2023 GA Analysis </w:t>
      </w:r>
      <w:proofErr w:type="spellStart"/>
      <w:r>
        <w:rPr>
          <w:rFonts w:ascii="Arial" w:hAnsi="Arial" w:cs="Arial"/>
          <w:bCs/>
          <w:sz w:val="24"/>
          <w:szCs w:val="24"/>
        </w:rPr>
        <w:t>Workform</w:t>
      </w:r>
      <w:proofErr w:type="spellEnd"/>
      <w:r>
        <w:rPr>
          <w:rFonts w:ascii="Arial" w:hAnsi="Arial" w:cs="Arial"/>
          <w:bCs/>
          <w:sz w:val="24"/>
          <w:szCs w:val="24"/>
        </w:rPr>
        <w:t xml:space="preserve"> - STT</w:t>
      </w:r>
    </w:p>
    <w:p w14:paraId="5EDBF77D" w14:textId="7B9CEC70" w:rsidR="00706372" w:rsidRPr="00706372" w:rsidRDefault="000A726E" w:rsidP="00706372">
      <w:pPr>
        <w:spacing w:after="240"/>
        <w:rPr>
          <w:rFonts w:ascii="Arial" w:hAnsi="Arial" w:cs="Arial"/>
          <w:bCs/>
          <w:sz w:val="24"/>
          <w:szCs w:val="24"/>
        </w:rPr>
      </w:pPr>
      <w:r w:rsidRPr="000A726E">
        <w:rPr>
          <w:rFonts w:ascii="Arial" w:hAnsi="Arial" w:cs="Arial"/>
          <w:b/>
          <w:sz w:val="24"/>
          <w:szCs w:val="24"/>
        </w:rPr>
        <w:t>Question:</w:t>
      </w:r>
      <w:r>
        <w:rPr>
          <w:rFonts w:ascii="Arial" w:hAnsi="Arial" w:cs="Arial"/>
          <w:bCs/>
          <w:sz w:val="24"/>
          <w:szCs w:val="24"/>
        </w:rPr>
        <w:t xml:space="preserve"> </w:t>
      </w:r>
      <w:r w:rsidR="00F05655">
        <w:rPr>
          <w:rFonts w:ascii="Arial" w:hAnsi="Arial" w:cs="Arial"/>
          <w:bCs/>
          <w:sz w:val="24"/>
          <w:szCs w:val="24"/>
        </w:rPr>
        <w:t>At ref 1) Tab ‘GA 2020’ and ‘GA 2021’</w:t>
      </w:r>
      <w:r>
        <w:rPr>
          <w:rFonts w:ascii="Arial" w:hAnsi="Arial" w:cs="Arial"/>
          <w:bCs/>
          <w:sz w:val="24"/>
          <w:szCs w:val="24"/>
        </w:rPr>
        <w:t xml:space="preserve"> and at ref 2) Tab ‘GA 2021’, the expected GA volume variance is typically a small variance. Upon reviewing Account 4707 in the RRR filing, OEB staff noted a $0 balance. Can you confirm this and explain the variance? </w:t>
      </w:r>
    </w:p>
    <w:p w14:paraId="217E871A" w14:textId="065A5085" w:rsidR="00387ADC" w:rsidRDefault="00387ADC" w:rsidP="00387ADC">
      <w:pPr>
        <w:spacing w:after="240"/>
        <w:rPr>
          <w:rFonts w:ascii="Arial" w:hAnsi="Arial" w:cs="Arial"/>
          <w:b/>
          <w:sz w:val="24"/>
          <w:szCs w:val="24"/>
        </w:rPr>
      </w:pPr>
      <w:bookmarkStart w:id="2" w:name="_Hlk113446516"/>
      <w:r w:rsidRPr="005A668A">
        <w:rPr>
          <w:rFonts w:ascii="Arial" w:hAnsi="Arial" w:cs="Arial"/>
          <w:b/>
          <w:sz w:val="24"/>
          <w:szCs w:val="24"/>
        </w:rPr>
        <w:lastRenderedPageBreak/>
        <w:t>Staff Question-</w:t>
      </w:r>
      <w:r>
        <w:rPr>
          <w:rFonts w:ascii="Arial" w:hAnsi="Arial" w:cs="Arial"/>
          <w:b/>
          <w:sz w:val="24"/>
          <w:szCs w:val="24"/>
        </w:rPr>
        <w:t>4</w:t>
      </w:r>
    </w:p>
    <w:p w14:paraId="0E11B8D4" w14:textId="77777777" w:rsidR="00387ADC" w:rsidRDefault="00387ADC" w:rsidP="00387ADC">
      <w:pPr>
        <w:spacing w:after="240"/>
        <w:rPr>
          <w:rFonts w:ascii="Arial" w:hAnsi="Arial" w:cs="Arial"/>
          <w:b/>
          <w:sz w:val="24"/>
          <w:szCs w:val="24"/>
        </w:rPr>
      </w:pPr>
      <w:r>
        <w:rPr>
          <w:rFonts w:ascii="Arial" w:hAnsi="Arial" w:cs="Arial"/>
          <w:b/>
          <w:sz w:val="24"/>
          <w:szCs w:val="24"/>
        </w:rPr>
        <w:t>Ref:</w:t>
      </w:r>
    </w:p>
    <w:bookmarkEnd w:id="2"/>
    <w:p w14:paraId="58EC6253" w14:textId="49F3322C" w:rsidR="00387ADC" w:rsidRDefault="00273276" w:rsidP="00387ADC">
      <w:pPr>
        <w:pStyle w:val="ListParagraph"/>
        <w:numPr>
          <w:ilvl w:val="0"/>
          <w:numId w:val="34"/>
        </w:numPr>
        <w:spacing w:after="240"/>
        <w:rPr>
          <w:rFonts w:ascii="Arial" w:hAnsi="Arial" w:cs="Arial"/>
          <w:bCs/>
          <w:sz w:val="24"/>
          <w:szCs w:val="24"/>
        </w:rPr>
      </w:pPr>
      <w:r>
        <w:rPr>
          <w:rFonts w:ascii="Arial" w:hAnsi="Arial" w:cs="Arial"/>
          <w:bCs/>
          <w:sz w:val="24"/>
          <w:szCs w:val="24"/>
        </w:rPr>
        <w:t>Rate Generator Model</w:t>
      </w:r>
      <w:r w:rsidR="00387ADC">
        <w:rPr>
          <w:rFonts w:ascii="Arial" w:hAnsi="Arial" w:cs="Arial"/>
          <w:bCs/>
          <w:sz w:val="24"/>
          <w:szCs w:val="24"/>
        </w:rPr>
        <w:t xml:space="preserve"> – MAIN </w:t>
      </w:r>
    </w:p>
    <w:p w14:paraId="388018D0" w14:textId="07FBC112" w:rsidR="00273276" w:rsidRDefault="00273276" w:rsidP="00387ADC">
      <w:pPr>
        <w:pStyle w:val="ListParagraph"/>
        <w:numPr>
          <w:ilvl w:val="0"/>
          <w:numId w:val="34"/>
        </w:numPr>
        <w:spacing w:after="240"/>
        <w:rPr>
          <w:rFonts w:ascii="Arial" w:hAnsi="Arial" w:cs="Arial"/>
          <w:bCs/>
          <w:sz w:val="24"/>
          <w:szCs w:val="24"/>
        </w:rPr>
      </w:pPr>
      <w:r>
        <w:rPr>
          <w:rFonts w:ascii="Arial" w:hAnsi="Arial" w:cs="Arial"/>
          <w:bCs/>
          <w:sz w:val="24"/>
          <w:szCs w:val="24"/>
        </w:rPr>
        <w:t xml:space="preserve">Account 1595 Analysis </w:t>
      </w:r>
      <w:proofErr w:type="spellStart"/>
      <w:r>
        <w:rPr>
          <w:rFonts w:ascii="Arial" w:hAnsi="Arial" w:cs="Arial"/>
          <w:bCs/>
          <w:sz w:val="24"/>
          <w:szCs w:val="24"/>
        </w:rPr>
        <w:t>Workform</w:t>
      </w:r>
      <w:proofErr w:type="spellEnd"/>
    </w:p>
    <w:p w14:paraId="0152168B" w14:textId="66BBF2D3" w:rsidR="00706372" w:rsidRDefault="00273276" w:rsidP="00AB251C">
      <w:pPr>
        <w:spacing w:after="240"/>
        <w:rPr>
          <w:rFonts w:ascii="Arial" w:hAnsi="Arial" w:cs="Arial"/>
          <w:bCs/>
          <w:sz w:val="24"/>
          <w:szCs w:val="24"/>
        </w:rPr>
      </w:pPr>
      <w:r>
        <w:rPr>
          <w:rFonts w:ascii="Arial" w:hAnsi="Arial" w:cs="Arial"/>
          <w:bCs/>
          <w:sz w:val="24"/>
          <w:szCs w:val="24"/>
        </w:rPr>
        <w:t xml:space="preserve">Question: For the Main rate zone, the residual balance in Account 1595 is </w:t>
      </w:r>
      <w:r w:rsidRPr="00273276">
        <w:rPr>
          <w:rFonts w:ascii="Arial" w:hAnsi="Arial" w:cs="Arial"/>
          <w:bCs/>
          <w:sz w:val="24"/>
          <w:szCs w:val="24"/>
        </w:rPr>
        <w:t>$304,481</w:t>
      </w:r>
      <w:r>
        <w:rPr>
          <w:rFonts w:ascii="Arial" w:hAnsi="Arial" w:cs="Arial"/>
          <w:bCs/>
          <w:sz w:val="24"/>
          <w:szCs w:val="24"/>
        </w:rPr>
        <w:t xml:space="preserve"> as noted at ref 1) Tab ‘3. Continuity Schedule’. As part of the review, OEB staff has attached ref 2), the Account 1595 Analysis </w:t>
      </w:r>
      <w:proofErr w:type="spellStart"/>
      <w:r>
        <w:rPr>
          <w:rFonts w:ascii="Arial" w:hAnsi="Arial" w:cs="Arial"/>
          <w:bCs/>
          <w:sz w:val="24"/>
          <w:szCs w:val="24"/>
        </w:rPr>
        <w:t>Workform</w:t>
      </w:r>
      <w:proofErr w:type="spellEnd"/>
      <w:r>
        <w:rPr>
          <w:rFonts w:ascii="Arial" w:hAnsi="Arial" w:cs="Arial"/>
          <w:bCs/>
          <w:sz w:val="24"/>
          <w:szCs w:val="24"/>
        </w:rPr>
        <w:t xml:space="preserve"> to be completed for </w:t>
      </w:r>
      <w:proofErr w:type="spellStart"/>
      <w:r>
        <w:rPr>
          <w:rFonts w:ascii="Arial" w:hAnsi="Arial" w:cs="Arial"/>
          <w:bCs/>
          <w:sz w:val="24"/>
          <w:szCs w:val="24"/>
        </w:rPr>
        <w:t>Entegrus</w:t>
      </w:r>
      <w:proofErr w:type="spellEnd"/>
      <w:r>
        <w:rPr>
          <w:rFonts w:ascii="Arial" w:hAnsi="Arial" w:cs="Arial"/>
          <w:bCs/>
          <w:sz w:val="24"/>
          <w:szCs w:val="24"/>
        </w:rPr>
        <w:t xml:space="preserve"> Main. Please submit the completed </w:t>
      </w:r>
      <w:proofErr w:type="spellStart"/>
      <w:r w:rsidR="004D1BA3">
        <w:rPr>
          <w:rFonts w:ascii="Arial" w:hAnsi="Arial" w:cs="Arial"/>
          <w:bCs/>
          <w:sz w:val="24"/>
          <w:szCs w:val="24"/>
        </w:rPr>
        <w:t>work</w:t>
      </w:r>
      <w:r>
        <w:rPr>
          <w:rFonts w:ascii="Arial" w:hAnsi="Arial" w:cs="Arial"/>
          <w:bCs/>
          <w:sz w:val="24"/>
          <w:szCs w:val="24"/>
        </w:rPr>
        <w:t>form</w:t>
      </w:r>
      <w:proofErr w:type="spellEnd"/>
      <w:r>
        <w:rPr>
          <w:rFonts w:ascii="Arial" w:hAnsi="Arial" w:cs="Arial"/>
          <w:bCs/>
          <w:sz w:val="24"/>
          <w:szCs w:val="24"/>
        </w:rPr>
        <w:t xml:space="preserve"> as part of your responses. </w:t>
      </w:r>
    </w:p>
    <w:p w14:paraId="535F7CA4" w14:textId="77777777" w:rsidR="00BA52E0" w:rsidRPr="005A668A" w:rsidRDefault="00BA52E0" w:rsidP="00AB251C">
      <w:pPr>
        <w:spacing w:after="240"/>
        <w:rPr>
          <w:rFonts w:ascii="Arial" w:hAnsi="Arial" w:cs="Arial"/>
          <w:bCs/>
          <w:sz w:val="24"/>
          <w:szCs w:val="24"/>
        </w:rPr>
      </w:pPr>
    </w:p>
    <w:p w14:paraId="11BAB767" w14:textId="4FF515AD" w:rsidR="00BA52E0" w:rsidRPr="00BA52E0" w:rsidRDefault="00BA52E0" w:rsidP="00BA52E0">
      <w:pPr>
        <w:spacing w:after="240"/>
        <w:rPr>
          <w:rFonts w:ascii="Arial" w:hAnsi="Arial" w:cs="Arial"/>
          <w:b/>
          <w:sz w:val="24"/>
          <w:szCs w:val="24"/>
        </w:rPr>
      </w:pPr>
      <w:bookmarkStart w:id="3" w:name="_Hlk113450413"/>
      <w:r w:rsidRPr="00BA52E0">
        <w:rPr>
          <w:rFonts w:ascii="Arial" w:hAnsi="Arial" w:cs="Arial"/>
          <w:b/>
          <w:sz w:val="24"/>
          <w:szCs w:val="24"/>
        </w:rPr>
        <w:t>Staff Question-</w:t>
      </w:r>
      <w:r w:rsidR="007E1635">
        <w:rPr>
          <w:rFonts w:ascii="Arial" w:hAnsi="Arial" w:cs="Arial"/>
          <w:b/>
          <w:sz w:val="24"/>
          <w:szCs w:val="24"/>
        </w:rPr>
        <w:t>5</w:t>
      </w:r>
    </w:p>
    <w:p w14:paraId="1E982F10" w14:textId="067FDAE8" w:rsidR="005A668A" w:rsidRDefault="00BA52E0" w:rsidP="00BA52E0">
      <w:pPr>
        <w:spacing w:after="240"/>
        <w:rPr>
          <w:rFonts w:ascii="Arial" w:hAnsi="Arial" w:cs="Arial"/>
          <w:b/>
          <w:sz w:val="24"/>
          <w:szCs w:val="24"/>
        </w:rPr>
      </w:pPr>
      <w:r w:rsidRPr="00BA52E0">
        <w:rPr>
          <w:rFonts w:ascii="Arial" w:hAnsi="Arial" w:cs="Arial"/>
          <w:b/>
          <w:sz w:val="24"/>
          <w:szCs w:val="24"/>
        </w:rPr>
        <w:t>Ref:</w:t>
      </w:r>
    </w:p>
    <w:bookmarkEnd w:id="3"/>
    <w:p w14:paraId="783FD78C" w14:textId="2F0C0D7E" w:rsidR="00353EA9" w:rsidRDefault="00353EA9" w:rsidP="00353EA9">
      <w:pPr>
        <w:pStyle w:val="ListParagraph"/>
        <w:numPr>
          <w:ilvl w:val="0"/>
          <w:numId w:val="36"/>
        </w:numPr>
        <w:spacing w:after="0" w:line="240" w:lineRule="auto"/>
        <w:rPr>
          <w:rFonts w:ascii="Arial" w:hAnsi="Arial" w:cs="Arial"/>
          <w:sz w:val="24"/>
          <w:szCs w:val="24"/>
        </w:rPr>
      </w:pPr>
      <w:r w:rsidRPr="00353EA9">
        <w:rPr>
          <w:rFonts w:ascii="Arial" w:hAnsi="Arial" w:cs="Arial"/>
          <w:sz w:val="24"/>
          <w:szCs w:val="24"/>
        </w:rPr>
        <w:t xml:space="preserve">Excel LRAMVA </w:t>
      </w:r>
      <w:proofErr w:type="spellStart"/>
      <w:r w:rsidRPr="00353EA9">
        <w:rPr>
          <w:rFonts w:ascii="Arial" w:hAnsi="Arial" w:cs="Arial"/>
          <w:sz w:val="24"/>
          <w:szCs w:val="24"/>
        </w:rPr>
        <w:t>Workform</w:t>
      </w:r>
      <w:proofErr w:type="spellEnd"/>
      <w:r w:rsidRPr="00353EA9">
        <w:rPr>
          <w:rFonts w:ascii="Arial" w:hAnsi="Arial" w:cs="Arial"/>
          <w:sz w:val="24"/>
          <w:szCs w:val="24"/>
        </w:rPr>
        <w:t>, Tab 3 Distribution Rates</w:t>
      </w:r>
    </w:p>
    <w:p w14:paraId="7C6E5537" w14:textId="77777777" w:rsidR="00353EA9" w:rsidRPr="00353EA9" w:rsidRDefault="00353EA9" w:rsidP="00353EA9">
      <w:pPr>
        <w:pStyle w:val="ListParagraph"/>
        <w:spacing w:after="0" w:line="240" w:lineRule="auto"/>
        <w:rPr>
          <w:rFonts w:ascii="Arial" w:hAnsi="Arial" w:cs="Arial"/>
          <w:sz w:val="24"/>
          <w:szCs w:val="24"/>
        </w:rPr>
      </w:pPr>
    </w:p>
    <w:p w14:paraId="73E0B3E0" w14:textId="5D3469A6" w:rsidR="00353EA9" w:rsidRPr="00353EA9" w:rsidRDefault="00353EA9" w:rsidP="00BA52E0">
      <w:pPr>
        <w:spacing w:after="240"/>
        <w:rPr>
          <w:rFonts w:ascii="Arial" w:hAnsi="Arial" w:cs="Arial"/>
          <w:bCs/>
          <w:sz w:val="24"/>
          <w:szCs w:val="24"/>
        </w:rPr>
      </w:pPr>
      <w:r w:rsidRPr="00353EA9">
        <w:rPr>
          <w:rFonts w:ascii="Arial" w:hAnsi="Arial" w:cs="Arial"/>
          <w:bCs/>
          <w:sz w:val="24"/>
          <w:szCs w:val="24"/>
        </w:rPr>
        <w:t>Question:</w:t>
      </w:r>
      <w:r>
        <w:rPr>
          <w:rFonts w:ascii="Arial" w:hAnsi="Arial" w:cs="Arial"/>
          <w:bCs/>
          <w:sz w:val="24"/>
          <w:szCs w:val="24"/>
        </w:rPr>
        <w:t xml:space="preserve"> </w:t>
      </w:r>
      <w:r w:rsidRPr="00353EA9">
        <w:rPr>
          <w:rFonts w:ascii="Arial" w:hAnsi="Arial" w:cs="Arial"/>
          <w:bCs/>
          <w:sz w:val="24"/>
          <w:szCs w:val="24"/>
        </w:rPr>
        <w:t xml:space="preserve">Please confirm if the STEI – Sentinel rate for 2020 under EB-2020-0015 should read $6.0223. Per the Decision and Rate Order, the rate is $6.2233. If this was a typographical error, please update the LRAMVA </w:t>
      </w:r>
      <w:proofErr w:type="spellStart"/>
      <w:r w:rsidRPr="00353EA9">
        <w:rPr>
          <w:rFonts w:ascii="Arial" w:hAnsi="Arial" w:cs="Arial"/>
          <w:bCs/>
          <w:sz w:val="24"/>
          <w:szCs w:val="24"/>
        </w:rPr>
        <w:t>Workform</w:t>
      </w:r>
      <w:proofErr w:type="spellEnd"/>
      <w:r w:rsidRPr="00353EA9">
        <w:rPr>
          <w:rFonts w:ascii="Arial" w:hAnsi="Arial" w:cs="Arial"/>
          <w:bCs/>
          <w:sz w:val="24"/>
          <w:szCs w:val="24"/>
        </w:rPr>
        <w:t xml:space="preserve"> accordingly.</w:t>
      </w:r>
    </w:p>
    <w:p w14:paraId="5E8951E7" w14:textId="1DBA8F29" w:rsidR="00353EA9" w:rsidRPr="00353EA9" w:rsidRDefault="00353EA9" w:rsidP="00353EA9">
      <w:pPr>
        <w:spacing w:after="240"/>
        <w:rPr>
          <w:rFonts w:ascii="Arial" w:hAnsi="Arial" w:cs="Arial"/>
          <w:b/>
          <w:sz w:val="24"/>
          <w:szCs w:val="24"/>
        </w:rPr>
      </w:pPr>
      <w:r w:rsidRPr="00353EA9">
        <w:rPr>
          <w:rFonts w:ascii="Arial" w:hAnsi="Arial" w:cs="Arial"/>
          <w:b/>
          <w:sz w:val="24"/>
          <w:szCs w:val="24"/>
        </w:rPr>
        <w:t>Staff Question-</w:t>
      </w:r>
      <w:r w:rsidR="007E1635">
        <w:rPr>
          <w:rFonts w:ascii="Arial" w:hAnsi="Arial" w:cs="Arial"/>
          <w:b/>
          <w:sz w:val="24"/>
          <w:szCs w:val="24"/>
        </w:rPr>
        <w:t>6</w:t>
      </w:r>
    </w:p>
    <w:p w14:paraId="5517FA7C" w14:textId="27220E11" w:rsidR="00353EA9" w:rsidRDefault="00353EA9" w:rsidP="00353EA9">
      <w:pPr>
        <w:spacing w:after="240"/>
        <w:rPr>
          <w:rFonts w:ascii="Arial" w:hAnsi="Arial" w:cs="Arial"/>
          <w:b/>
          <w:sz w:val="24"/>
          <w:szCs w:val="24"/>
        </w:rPr>
      </w:pPr>
      <w:r w:rsidRPr="00353EA9">
        <w:rPr>
          <w:rFonts w:ascii="Arial" w:hAnsi="Arial" w:cs="Arial"/>
          <w:b/>
          <w:sz w:val="24"/>
          <w:szCs w:val="24"/>
        </w:rPr>
        <w:t>Ref:</w:t>
      </w:r>
    </w:p>
    <w:p w14:paraId="60826BAE" w14:textId="7254329E" w:rsidR="007E1635" w:rsidRDefault="007E1635" w:rsidP="007E1635">
      <w:pPr>
        <w:pStyle w:val="ListParagraph"/>
        <w:numPr>
          <w:ilvl w:val="0"/>
          <w:numId w:val="37"/>
        </w:numPr>
        <w:spacing w:after="240"/>
        <w:rPr>
          <w:rFonts w:ascii="Arial" w:hAnsi="Arial" w:cs="Arial"/>
          <w:bCs/>
          <w:sz w:val="24"/>
          <w:szCs w:val="24"/>
        </w:rPr>
      </w:pPr>
      <w:r w:rsidRPr="007E1635">
        <w:rPr>
          <w:rFonts w:ascii="Arial" w:hAnsi="Arial" w:cs="Arial"/>
          <w:bCs/>
          <w:sz w:val="24"/>
          <w:szCs w:val="24"/>
        </w:rPr>
        <w:t xml:space="preserve">Excel LRAMVA </w:t>
      </w:r>
      <w:proofErr w:type="spellStart"/>
      <w:r w:rsidRPr="007E1635">
        <w:rPr>
          <w:rFonts w:ascii="Arial" w:hAnsi="Arial" w:cs="Arial"/>
          <w:bCs/>
          <w:sz w:val="24"/>
          <w:szCs w:val="24"/>
        </w:rPr>
        <w:t>Workform</w:t>
      </w:r>
      <w:proofErr w:type="spellEnd"/>
      <w:r w:rsidRPr="007E1635">
        <w:rPr>
          <w:rFonts w:ascii="Arial" w:hAnsi="Arial" w:cs="Arial"/>
          <w:bCs/>
          <w:sz w:val="24"/>
          <w:szCs w:val="24"/>
        </w:rPr>
        <w:t>, Tab 5 2015-2027 LRAM</w:t>
      </w:r>
    </w:p>
    <w:p w14:paraId="2326DECC" w14:textId="278096A0" w:rsidR="007E1635" w:rsidRDefault="007E1635" w:rsidP="007E1635">
      <w:pPr>
        <w:spacing w:after="240"/>
        <w:rPr>
          <w:rFonts w:ascii="Arial" w:hAnsi="Arial" w:cs="Arial"/>
          <w:bCs/>
          <w:sz w:val="24"/>
          <w:szCs w:val="24"/>
        </w:rPr>
      </w:pPr>
      <w:r>
        <w:rPr>
          <w:rFonts w:ascii="Arial" w:hAnsi="Arial" w:cs="Arial"/>
          <w:bCs/>
          <w:sz w:val="24"/>
          <w:szCs w:val="24"/>
        </w:rPr>
        <w:t>Questions:</w:t>
      </w:r>
    </w:p>
    <w:p w14:paraId="6FF8E187" w14:textId="77777777" w:rsidR="007E1635" w:rsidRPr="007E1635" w:rsidRDefault="007E1635" w:rsidP="007E1635">
      <w:pPr>
        <w:spacing w:after="0" w:line="240" w:lineRule="auto"/>
        <w:rPr>
          <w:rFonts w:ascii="Arial" w:eastAsia="Calibri" w:hAnsi="Arial" w:cs="Arial"/>
          <w:b/>
          <w:bCs/>
          <w:sz w:val="24"/>
          <w:szCs w:val="24"/>
          <w:lang w:val="en-US"/>
        </w:rPr>
      </w:pPr>
      <w:r w:rsidRPr="007E1635">
        <w:rPr>
          <w:rFonts w:ascii="Arial" w:eastAsia="Calibri" w:hAnsi="Arial" w:cs="Arial"/>
          <w:b/>
          <w:bCs/>
          <w:sz w:val="24"/>
          <w:szCs w:val="24"/>
          <w:lang w:val="en-US"/>
        </w:rPr>
        <w:t>2016</w:t>
      </w:r>
    </w:p>
    <w:p w14:paraId="39F0DD59"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5-b for the Save on Energy Retrofit program (row 276 of Tab 5 for years 2016 to 2025). </w:t>
      </w:r>
    </w:p>
    <w:p w14:paraId="686868FC" w14:textId="77777777" w:rsidR="007E1635" w:rsidRPr="007E1635" w:rsidRDefault="007E1635" w:rsidP="007E1635">
      <w:pPr>
        <w:numPr>
          <w:ilvl w:val="1"/>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Per the note in cell C276, the savings reported covers both rate zones (Main and STEI) in the P&amp;C report. However, the save on energy retrofit program savings have already been captured under row 268 and row 271 for STEI, and row 253 and row 256 for Main. Please confirm why an additional combined savings is reported under row 276. </w:t>
      </w:r>
    </w:p>
    <w:p w14:paraId="08907A98" w14:textId="77777777" w:rsidR="007E1635" w:rsidRPr="007E1635" w:rsidRDefault="007E1635" w:rsidP="007E1635">
      <w:pPr>
        <w:spacing w:after="0" w:line="240" w:lineRule="auto"/>
        <w:ind w:left="1440"/>
        <w:contextualSpacing/>
        <w:rPr>
          <w:rFonts w:ascii="Arial" w:eastAsia="Calibri" w:hAnsi="Arial" w:cs="Arial"/>
          <w:sz w:val="24"/>
          <w:szCs w:val="24"/>
          <w:lang w:val="en-US"/>
        </w:rPr>
      </w:pPr>
    </w:p>
    <w:p w14:paraId="29BBD40A" w14:textId="77777777" w:rsidR="007E1635" w:rsidRPr="007E1635" w:rsidRDefault="007E1635" w:rsidP="007E1635">
      <w:pPr>
        <w:spacing w:after="0" w:line="240" w:lineRule="auto"/>
        <w:rPr>
          <w:rFonts w:ascii="Arial" w:eastAsia="Calibri" w:hAnsi="Arial" w:cs="Arial"/>
          <w:b/>
          <w:bCs/>
          <w:sz w:val="24"/>
          <w:szCs w:val="24"/>
          <w:lang w:val="en-US"/>
        </w:rPr>
      </w:pPr>
      <w:r w:rsidRPr="007E1635">
        <w:rPr>
          <w:rFonts w:ascii="Arial" w:eastAsia="Calibri" w:hAnsi="Arial" w:cs="Arial"/>
          <w:b/>
          <w:bCs/>
          <w:sz w:val="24"/>
          <w:szCs w:val="24"/>
          <w:lang w:val="en-US"/>
        </w:rPr>
        <w:t>2017</w:t>
      </w:r>
    </w:p>
    <w:p w14:paraId="25C24DAA"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lastRenderedPageBreak/>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5-c for the Save on Energy Coupon program (row 500 of Tab 5 for years 2017 to 2019). </w:t>
      </w:r>
    </w:p>
    <w:p w14:paraId="2A2A37EB" w14:textId="77777777" w:rsidR="007E1635" w:rsidRPr="007E1635" w:rsidRDefault="007E1635" w:rsidP="007E1635">
      <w:pPr>
        <w:numPr>
          <w:ilvl w:val="1"/>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Per the note in cell C500, the savings reported covers both rate zones (Main and STEI) in the P&amp;C report. However, the save on energy coupon program savings have already been captured under row 441 for Main and row 475 for STEI. Please confirm why an additional combined savings is reported under row 500. </w:t>
      </w:r>
    </w:p>
    <w:p w14:paraId="30AFFEF3"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5-c for the Save on Energy Retrofit program (row 510 of Tab 5 for years 2017 to 2025). </w:t>
      </w:r>
    </w:p>
    <w:p w14:paraId="6AD47C2D" w14:textId="77777777" w:rsidR="007E1635" w:rsidRPr="007E1635" w:rsidRDefault="007E1635" w:rsidP="007E1635">
      <w:pPr>
        <w:numPr>
          <w:ilvl w:val="1"/>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Per the note in cell C510, the savings reported covers both rate zones (Main and STEI) in the P&amp;C report. However, the Save on Energy Retrofit program savings have already been captured under row 454 and row 457 for Main, and row 488 for STEI. Please confirm why an additional combined savings is reported under row 510. </w:t>
      </w:r>
    </w:p>
    <w:p w14:paraId="74ACCA9F"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5-c for the Save on Energy Small Business Lighting program (row 513 of Tab 5 for years 2017 to 2025). </w:t>
      </w:r>
    </w:p>
    <w:p w14:paraId="23E634C4" w14:textId="77777777" w:rsidR="007E1635" w:rsidRPr="007E1635" w:rsidRDefault="007E1635" w:rsidP="007E1635">
      <w:pPr>
        <w:numPr>
          <w:ilvl w:val="1"/>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Per the note in cell C513, the savings reported covers both rate zones (Main and STEI) in the P&amp;C report. However, the Save on Energy Small Business Lighting program savings have already been captured under row 460 for Main. Please confirm why combined savings is reported under row 513. </w:t>
      </w:r>
    </w:p>
    <w:p w14:paraId="5183188C" w14:textId="77777777" w:rsidR="007E1635" w:rsidRPr="007E1635" w:rsidRDefault="007E1635" w:rsidP="007E1635">
      <w:pPr>
        <w:spacing w:after="0" w:line="240" w:lineRule="auto"/>
        <w:ind w:left="1440"/>
        <w:contextualSpacing/>
        <w:rPr>
          <w:rFonts w:ascii="Arial" w:eastAsia="Calibri" w:hAnsi="Arial" w:cs="Arial"/>
          <w:sz w:val="24"/>
          <w:szCs w:val="24"/>
          <w:lang w:val="en-US"/>
        </w:rPr>
      </w:pPr>
    </w:p>
    <w:p w14:paraId="2D51886E" w14:textId="77777777" w:rsidR="007E1635" w:rsidRPr="007E1635" w:rsidRDefault="007E1635" w:rsidP="007E1635">
      <w:pPr>
        <w:spacing w:after="0" w:line="240" w:lineRule="auto"/>
        <w:rPr>
          <w:rFonts w:ascii="Arial" w:eastAsia="Calibri" w:hAnsi="Arial" w:cs="Arial"/>
          <w:b/>
          <w:bCs/>
          <w:sz w:val="24"/>
          <w:szCs w:val="24"/>
          <w:lang w:val="en-US"/>
        </w:rPr>
      </w:pPr>
      <w:r w:rsidRPr="007E1635">
        <w:rPr>
          <w:rFonts w:ascii="Arial" w:eastAsia="Calibri" w:hAnsi="Arial" w:cs="Arial"/>
          <w:b/>
          <w:bCs/>
          <w:sz w:val="24"/>
          <w:szCs w:val="24"/>
          <w:lang w:val="en-US"/>
        </w:rPr>
        <w:t xml:space="preserve">2018 </w:t>
      </w:r>
    </w:p>
    <w:p w14:paraId="2BEBA813"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Please provide the June 2019 IESO Value-Added Services Report (increment) referenced under Table 5-d for the Save on Energy Heating and Cooling program to verify the adjustment to 2018 savings reported under row 712</w:t>
      </w:r>
    </w:p>
    <w:p w14:paraId="0A9B98A7"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Instant Discount program (row 714 of Tab 5 for years 2018, 2019 and 2025)</w:t>
      </w:r>
    </w:p>
    <w:p w14:paraId="0E3BF78B"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Home Assistance program (row 720 of Tab 5 for years 2018 and 2019)</w:t>
      </w:r>
    </w:p>
    <w:p w14:paraId="2D943DCE"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Please provide the Post P&amp;C Report referenced under Table 5-d for the Save on Energy New Construction program to verify the adjustment to 2018 savings reported under row 724</w:t>
      </w:r>
    </w:p>
    <w:p w14:paraId="2B13C50E"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Retrofit program (row 730, row 731 and row 733 of Tab 5 for years 2018 to 2025)</w:t>
      </w:r>
    </w:p>
    <w:p w14:paraId="307B6CEC"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Small Business Lighting program (row 736 and row 737 of Tab 5 for years 2018 to 2025)</w:t>
      </w:r>
    </w:p>
    <w:p w14:paraId="0A0E747A"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lastRenderedPageBreak/>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High Performance New Construction program (row 739 of Tab 5 for years 2018 and 2019)</w:t>
      </w:r>
    </w:p>
    <w:p w14:paraId="67971E85"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Business Refrigeration program (row 742 of Tab 5 for years 2021 to 2025)</w:t>
      </w:r>
    </w:p>
    <w:p w14:paraId="2B7AC8FB"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savings reported under Table 5-d for the Save on Energy Business Process and System Upgrades program (row 745 of Tab 5 for years 2018 to 2025)</w:t>
      </w:r>
    </w:p>
    <w:p w14:paraId="207D17E8" w14:textId="77777777" w:rsidR="007E1635" w:rsidRPr="007E1635" w:rsidRDefault="007E1635" w:rsidP="007E1635">
      <w:pPr>
        <w:spacing w:after="0" w:line="240" w:lineRule="auto"/>
        <w:rPr>
          <w:rFonts w:ascii="Arial" w:eastAsia="Calibri" w:hAnsi="Arial" w:cs="Arial"/>
          <w:sz w:val="24"/>
          <w:szCs w:val="24"/>
          <w:lang w:val="en-US"/>
        </w:rPr>
      </w:pPr>
    </w:p>
    <w:p w14:paraId="7A0AE722" w14:textId="77777777" w:rsidR="007E1635" w:rsidRPr="007E1635" w:rsidRDefault="007E1635" w:rsidP="007E1635">
      <w:pPr>
        <w:spacing w:after="0" w:line="240" w:lineRule="auto"/>
        <w:rPr>
          <w:rFonts w:ascii="Arial" w:eastAsia="Calibri" w:hAnsi="Arial" w:cs="Arial"/>
          <w:b/>
          <w:bCs/>
          <w:sz w:val="24"/>
          <w:szCs w:val="24"/>
          <w:lang w:val="en-US"/>
        </w:rPr>
      </w:pPr>
      <w:r w:rsidRPr="007E1635">
        <w:rPr>
          <w:rFonts w:ascii="Arial" w:eastAsia="Calibri" w:hAnsi="Arial" w:cs="Arial"/>
          <w:b/>
          <w:bCs/>
          <w:sz w:val="24"/>
          <w:szCs w:val="24"/>
          <w:lang w:val="en-US"/>
        </w:rPr>
        <w:t>2019</w:t>
      </w:r>
    </w:p>
    <w:p w14:paraId="0F520AFA"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true up savings reported under Table 5-e for the Save on Energy New Construction program (row 914 of Tab 5 for years 2019 to 2025)</w:t>
      </w:r>
    </w:p>
    <w:p w14:paraId="597BC39A"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true up savings reported under Table 5-e for the Save on Energy Retrofit program (row 924 of Tab 5 for years 2019 to 2025). Only the verified savings of 15,446 can be tied to the P&amp;C report. </w:t>
      </w:r>
    </w:p>
    <w:p w14:paraId="7C0BE048"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verified and true up savings reported under Table 5-e for the Save on Energy Small Business Lighting program (row 926 and row 927 of Tab 5 for years 2019 to 2025). Only the 2020 verified savings of 52,044 can be tied to the P&amp;C report. </w:t>
      </w:r>
    </w:p>
    <w:p w14:paraId="6EA8153A" w14:textId="77777777"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true up savings reported under Table 5-e for the Save on Energy High Performance New Construction program (row 930 of Tab 5 for years 2019 to 2025)</w:t>
      </w:r>
    </w:p>
    <w:p w14:paraId="2407C385" w14:textId="77777777" w:rsid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true up savings reported under Table 5-e for the Save on Energy Process &amp; Systems Upgrade program (row 936 of Tab 5 for years 2019 to 2025)</w:t>
      </w:r>
    </w:p>
    <w:p w14:paraId="0B1F5244" w14:textId="5E70AF73" w:rsidR="007E1635" w:rsidRPr="007E1635" w:rsidRDefault="007E1635" w:rsidP="007E1635">
      <w:pPr>
        <w:numPr>
          <w:ilvl w:val="0"/>
          <w:numId w:val="38"/>
        </w:numPr>
        <w:spacing w:after="0" w:line="240" w:lineRule="auto"/>
        <w:contextualSpacing/>
        <w:rPr>
          <w:rFonts w:ascii="Arial" w:eastAsia="Calibri" w:hAnsi="Arial" w:cs="Arial"/>
          <w:sz w:val="24"/>
          <w:szCs w:val="24"/>
          <w:lang w:val="en-US"/>
        </w:rPr>
      </w:pPr>
      <w:r w:rsidRPr="007E1635">
        <w:rPr>
          <w:rFonts w:ascii="Arial" w:eastAsia="Calibri" w:hAnsi="Arial" w:cs="Arial"/>
          <w:sz w:val="24"/>
          <w:szCs w:val="24"/>
          <w:lang w:val="en-US"/>
        </w:rPr>
        <w:t xml:space="preserve">Please verify which report, </w:t>
      </w:r>
      <w:proofErr w:type="gramStart"/>
      <w:r w:rsidRPr="007E1635">
        <w:rPr>
          <w:rFonts w:ascii="Arial" w:eastAsia="Calibri" w:hAnsi="Arial" w:cs="Arial"/>
          <w:sz w:val="24"/>
          <w:szCs w:val="24"/>
          <w:lang w:val="en-US"/>
        </w:rPr>
        <w:t>tabs</w:t>
      </w:r>
      <w:proofErr w:type="gramEnd"/>
      <w:r w:rsidRPr="007E1635">
        <w:rPr>
          <w:rFonts w:ascii="Arial" w:eastAsia="Calibri" w:hAnsi="Arial" w:cs="Arial"/>
          <w:sz w:val="24"/>
          <w:szCs w:val="24"/>
          <w:lang w:val="en-US"/>
        </w:rPr>
        <w:t xml:space="preserve"> and cell references </w:t>
      </w:r>
      <w:proofErr w:type="spellStart"/>
      <w:r w:rsidRPr="007E1635">
        <w:rPr>
          <w:rFonts w:ascii="Arial" w:eastAsia="Calibri" w:hAnsi="Arial" w:cs="Arial"/>
          <w:sz w:val="24"/>
          <w:szCs w:val="24"/>
          <w:lang w:val="en-US"/>
        </w:rPr>
        <w:t>Entegrus</w:t>
      </w:r>
      <w:proofErr w:type="spellEnd"/>
      <w:r w:rsidRPr="007E1635">
        <w:rPr>
          <w:rFonts w:ascii="Arial" w:eastAsia="Calibri" w:hAnsi="Arial" w:cs="Arial"/>
          <w:sz w:val="24"/>
          <w:szCs w:val="24"/>
          <w:lang w:val="en-US"/>
        </w:rPr>
        <w:t xml:space="preserve"> is able to tie the verified and true up savings reported under Table 5-e for the Business Refrigeration Local program (row 945 and row 946 of Tab 5 for years 2019 to 2025). Only verified savings of 105,685 from 2019-2021 can be tied to the P&amp;C report.</w:t>
      </w:r>
    </w:p>
    <w:p w14:paraId="43AE605B" w14:textId="77777777" w:rsidR="00D57E8C" w:rsidRPr="002D056D" w:rsidRDefault="00D57E8C" w:rsidP="00AB251C">
      <w:pPr>
        <w:spacing w:after="240"/>
        <w:rPr>
          <w:rFonts w:ascii="Arial" w:hAnsi="Arial" w:cs="Arial"/>
          <w:b/>
          <w:sz w:val="24"/>
          <w:szCs w:val="24"/>
        </w:rPr>
      </w:pPr>
    </w:p>
    <w:sectPr w:rsidR="00D57E8C"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F"/>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6A04F0"/>
    <w:multiLevelType w:val="hybridMultilevel"/>
    <w:tmpl w:val="1942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02F64C9"/>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8157F"/>
    <w:multiLevelType w:val="hybridMultilevel"/>
    <w:tmpl w:val="763AF79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47230E"/>
    <w:multiLevelType w:val="hybridMultilevel"/>
    <w:tmpl w:val="8E247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3B1C24"/>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F024B1A"/>
    <w:multiLevelType w:val="hybridMultilevel"/>
    <w:tmpl w:val="2C146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610C8"/>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460F30"/>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FA841AE"/>
    <w:multiLevelType w:val="hybridMultilevel"/>
    <w:tmpl w:val="8E247CF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F832844"/>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9"/>
  </w:num>
  <w:num w:numId="3">
    <w:abstractNumId w:val="27"/>
  </w:num>
  <w:num w:numId="4">
    <w:abstractNumId w:val="36"/>
  </w:num>
  <w:num w:numId="5">
    <w:abstractNumId w:val="15"/>
  </w:num>
  <w:num w:numId="6">
    <w:abstractNumId w:val="11"/>
  </w:num>
  <w:num w:numId="7">
    <w:abstractNumId w:val="23"/>
  </w:num>
  <w:num w:numId="8">
    <w:abstractNumId w:val="16"/>
  </w:num>
  <w:num w:numId="9">
    <w:abstractNumId w:val="18"/>
  </w:num>
  <w:num w:numId="10">
    <w:abstractNumId w:val="6"/>
  </w:num>
  <w:num w:numId="11">
    <w:abstractNumId w:val="22"/>
  </w:num>
  <w:num w:numId="12">
    <w:abstractNumId w:val="29"/>
  </w:num>
  <w:num w:numId="13">
    <w:abstractNumId w:val="5"/>
  </w:num>
  <w:num w:numId="14">
    <w:abstractNumId w:val="2"/>
  </w:num>
  <w:num w:numId="15">
    <w:abstractNumId w:val="35"/>
  </w:num>
  <w:num w:numId="16">
    <w:abstractNumId w:val="10"/>
  </w:num>
  <w:num w:numId="17">
    <w:abstractNumId w:val="25"/>
  </w:num>
  <w:num w:numId="18">
    <w:abstractNumId w:val="32"/>
  </w:num>
  <w:num w:numId="19">
    <w:abstractNumId w:val="34"/>
  </w:num>
  <w:num w:numId="20">
    <w:abstractNumId w:val="13"/>
  </w:num>
  <w:num w:numId="21">
    <w:abstractNumId w:val="31"/>
  </w:num>
  <w:num w:numId="22">
    <w:abstractNumId w:val="12"/>
  </w:num>
  <w:num w:numId="23">
    <w:abstractNumId w:val="28"/>
  </w:num>
  <w:num w:numId="24">
    <w:abstractNumId w:val="26"/>
  </w:num>
  <w:num w:numId="25">
    <w:abstractNumId w:val="3"/>
  </w:num>
  <w:num w:numId="26">
    <w:abstractNumId w:val="21"/>
  </w:num>
  <w:num w:numId="27">
    <w:abstractNumId w:val="24"/>
  </w:num>
  <w:num w:numId="28">
    <w:abstractNumId w:val="19"/>
  </w:num>
  <w:num w:numId="29">
    <w:abstractNumId w:val="30"/>
  </w:num>
  <w:num w:numId="30">
    <w:abstractNumId w:val="17"/>
  </w:num>
  <w:num w:numId="31">
    <w:abstractNumId w:val="7"/>
  </w:num>
  <w:num w:numId="32">
    <w:abstractNumId w:val="20"/>
  </w:num>
  <w:num w:numId="33">
    <w:abstractNumId w:val="37"/>
  </w:num>
  <w:num w:numId="34">
    <w:abstractNumId w:val="0"/>
  </w:num>
  <w:num w:numId="35">
    <w:abstractNumId w:val="4"/>
  </w:num>
  <w:num w:numId="36">
    <w:abstractNumId w:val="33"/>
  </w:num>
  <w:num w:numId="37">
    <w:abstractNumId w:val="1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26E"/>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3276"/>
    <w:rsid w:val="00274A48"/>
    <w:rsid w:val="00291CCC"/>
    <w:rsid w:val="002A6415"/>
    <w:rsid w:val="002B7B7C"/>
    <w:rsid w:val="002C2BF2"/>
    <w:rsid w:val="002C7EF6"/>
    <w:rsid w:val="002D4924"/>
    <w:rsid w:val="002F4756"/>
    <w:rsid w:val="00302509"/>
    <w:rsid w:val="003049C5"/>
    <w:rsid w:val="003303BF"/>
    <w:rsid w:val="00340C00"/>
    <w:rsid w:val="00353EA9"/>
    <w:rsid w:val="003702D1"/>
    <w:rsid w:val="00373FAD"/>
    <w:rsid w:val="003777B5"/>
    <w:rsid w:val="003832E7"/>
    <w:rsid w:val="00387ADC"/>
    <w:rsid w:val="003A20A0"/>
    <w:rsid w:val="003A58B0"/>
    <w:rsid w:val="00400DFC"/>
    <w:rsid w:val="00412DC6"/>
    <w:rsid w:val="00425009"/>
    <w:rsid w:val="004377B0"/>
    <w:rsid w:val="00472C81"/>
    <w:rsid w:val="00475032"/>
    <w:rsid w:val="004859EF"/>
    <w:rsid w:val="004D1BA3"/>
    <w:rsid w:val="00511EC2"/>
    <w:rsid w:val="005164F5"/>
    <w:rsid w:val="0052560F"/>
    <w:rsid w:val="005666F2"/>
    <w:rsid w:val="00572064"/>
    <w:rsid w:val="00584369"/>
    <w:rsid w:val="00587A35"/>
    <w:rsid w:val="005A668A"/>
    <w:rsid w:val="005E27C0"/>
    <w:rsid w:val="005F4693"/>
    <w:rsid w:val="00623602"/>
    <w:rsid w:val="0064279A"/>
    <w:rsid w:val="00651C98"/>
    <w:rsid w:val="006A5D23"/>
    <w:rsid w:val="006E3D58"/>
    <w:rsid w:val="00704EE5"/>
    <w:rsid w:val="00706372"/>
    <w:rsid w:val="007066E2"/>
    <w:rsid w:val="0072241F"/>
    <w:rsid w:val="00722640"/>
    <w:rsid w:val="0073197E"/>
    <w:rsid w:val="00746080"/>
    <w:rsid w:val="007508EC"/>
    <w:rsid w:val="00772B57"/>
    <w:rsid w:val="00781D04"/>
    <w:rsid w:val="007C2D45"/>
    <w:rsid w:val="007E163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66FEC"/>
    <w:rsid w:val="009A5C44"/>
    <w:rsid w:val="009B03AF"/>
    <w:rsid w:val="009C4216"/>
    <w:rsid w:val="009D5F4B"/>
    <w:rsid w:val="009E626E"/>
    <w:rsid w:val="009E7CBF"/>
    <w:rsid w:val="00A07077"/>
    <w:rsid w:val="00A50DD0"/>
    <w:rsid w:val="00A516B0"/>
    <w:rsid w:val="00A5620A"/>
    <w:rsid w:val="00AA06D9"/>
    <w:rsid w:val="00AB251C"/>
    <w:rsid w:val="00AC2406"/>
    <w:rsid w:val="00AD3FCF"/>
    <w:rsid w:val="00B03802"/>
    <w:rsid w:val="00B069AA"/>
    <w:rsid w:val="00B23A36"/>
    <w:rsid w:val="00B25576"/>
    <w:rsid w:val="00B25EF5"/>
    <w:rsid w:val="00B50EB2"/>
    <w:rsid w:val="00B6722A"/>
    <w:rsid w:val="00B82D78"/>
    <w:rsid w:val="00BA434C"/>
    <w:rsid w:val="00BA52E0"/>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05655"/>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2</cp:revision>
  <cp:lastPrinted>2014-09-29T14:43:00Z</cp:lastPrinted>
  <dcterms:created xsi:type="dcterms:W3CDTF">2022-09-07T18:02:00Z</dcterms:created>
  <dcterms:modified xsi:type="dcterms:W3CDTF">2022-09-07T18:02:00Z</dcterms:modified>
</cp:coreProperties>
</file>