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B79D" w14:textId="1731E3B9" w:rsidR="003832E7" w:rsidRPr="003832E7" w:rsidRDefault="005A668A" w:rsidP="003832E7">
      <w:pPr>
        <w:pStyle w:val="Default"/>
        <w:jc w:val="right"/>
        <w:rPr>
          <w:rFonts w:ascii="Arial" w:hAnsi="Arial" w:cs="Arial"/>
          <w:sz w:val="22"/>
          <w:szCs w:val="22"/>
        </w:rPr>
      </w:pPr>
      <w:proofErr w:type="spellStart"/>
      <w:r>
        <w:rPr>
          <w:rFonts w:ascii="Arial" w:hAnsi="Arial" w:cs="Arial"/>
          <w:bCs/>
          <w:sz w:val="22"/>
          <w:szCs w:val="22"/>
        </w:rPr>
        <w:t>Entegrus</w:t>
      </w:r>
      <w:proofErr w:type="spellEnd"/>
      <w:r>
        <w:rPr>
          <w:rFonts w:ascii="Arial" w:hAnsi="Arial" w:cs="Arial"/>
          <w:bCs/>
          <w:sz w:val="22"/>
          <w:szCs w:val="22"/>
        </w:rPr>
        <w:t xml:space="preserve"> Powerlines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0730FA5E" w:rsidR="00A07077" w:rsidRPr="00D57E8C" w:rsidRDefault="00623602" w:rsidP="00AB251C">
      <w:pPr>
        <w:pStyle w:val="Default"/>
        <w:spacing w:after="240"/>
        <w:jc w:val="right"/>
        <w:rPr>
          <w:rFonts w:ascii="Arial" w:hAnsi="Arial" w:cs="Arial"/>
          <w:sz w:val="22"/>
          <w:szCs w:val="22"/>
        </w:rPr>
      </w:pPr>
      <w:r>
        <w:rPr>
          <w:rFonts w:ascii="Arial" w:hAnsi="Arial" w:cs="Arial"/>
          <w:sz w:val="22"/>
          <w:szCs w:val="22"/>
        </w:rPr>
        <w:t>EB-202</w:t>
      </w:r>
      <w:r w:rsidR="005E27C0">
        <w:rPr>
          <w:rFonts w:ascii="Arial" w:hAnsi="Arial" w:cs="Arial"/>
          <w:sz w:val="22"/>
          <w:szCs w:val="22"/>
        </w:rPr>
        <w:t>2</w:t>
      </w:r>
      <w:r w:rsidR="009D5F4B" w:rsidRPr="00D57E8C">
        <w:rPr>
          <w:rFonts w:ascii="Arial" w:hAnsi="Arial" w:cs="Arial"/>
          <w:sz w:val="22"/>
          <w:szCs w:val="22"/>
        </w:rPr>
        <w:t>-</w:t>
      </w:r>
      <w:r w:rsidR="005A668A">
        <w:rPr>
          <w:rFonts w:ascii="Arial" w:hAnsi="Arial" w:cs="Arial"/>
          <w:sz w:val="22"/>
          <w:szCs w:val="22"/>
        </w:rPr>
        <w:t>0026</w:t>
      </w:r>
    </w:p>
    <w:p w14:paraId="31F8E0D6" w14:textId="296CFDBD" w:rsidR="00A07077" w:rsidRPr="00D57E8C" w:rsidRDefault="005A668A" w:rsidP="00A07077">
      <w:pPr>
        <w:pStyle w:val="Default"/>
        <w:jc w:val="center"/>
        <w:rPr>
          <w:rFonts w:ascii="Arial" w:hAnsi="Arial" w:cs="Arial"/>
          <w:sz w:val="28"/>
          <w:szCs w:val="28"/>
        </w:rPr>
      </w:pPr>
      <w:proofErr w:type="spellStart"/>
      <w:r>
        <w:rPr>
          <w:rFonts w:ascii="Arial" w:hAnsi="Arial" w:cs="Arial"/>
          <w:b/>
          <w:bCs/>
          <w:sz w:val="28"/>
          <w:szCs w:val="28"/>
        </w:rPr>
        <w:t>Entegrus</w:t>
      </w:r>
      <w:proofErr w:type="spellEnd"/>
      <w:r>
        <w:rPr>
          <w:rFonts w:ascii="Arial" w:hAnsi="Arial" w:cs="Arial"/>
          <w:b/>
          <w:bCs/>
          <w:sz w:val="28"/>
          <w:szCs w:val="28"/>
        </w:rPr>
        <w:t xml:space="preserve"> Powerlines Inc.</w:t>
      </w:r>
    </w:p>
    <w:p w14:paraId="33D6510D" w14:textId="67EA4E6F" w:rsidR="00A07077" w:rsidRDefault="00623602" w:rsidP="00AB251C">
      <w:pPr>
        <w:pStyle w:val="Default"/>
        <w:spacing w:after="360"/>
        <w:jc w:val="center"/>
        <w:rPr>
          <w:rFonts w:ascii="Arial" w:hAnsi="Arial" w:cs="Arial"/>
          <w:b/>
          <w:bCs/>
          <w:sz w:val="28"/>
          <w:szCs w:val="28"/>
        </w:rPr>
      </w:pPr>
      <w:r>
        <w:rPr>
          <w:rFonts w:ascii="Arial" w:hAnsi="Arial" w:cs="Arial"/>
          <w:b/>
          <w:bCs/>
          <w:sz w:val="28"/>
          <w:szCs w:val="28"/>
        </w:rPr>
        <w:t>EB-202</w:t>
      </w:r>
      <w:r w:rsidR="005E27C0">
        <w:rPr>
          <w:rFonts w:ascii="Arial" w:hAnsi="Arial" w:cs="Arial"/>
          <w:b/>
          <w:bCs/>
          <w:sz w:val="28"/>
          <w:szCs w:val="28"/>
        </w:rPr>
        <w:t>2</w:t>
      </w:r>
      <w:r w:rsidR="00B069AA" w:rsidRPr="00D57E8C">
        <w:rPr>
          <w:rFonts w:ascii="Arial" w:hAnsi="Arial" w:cs="Arial"/>
          <w:b/>
          <w:bCs/>
          <w:sz w:val="28"/>
          <w:szCs w:val="28"/>
        </w:rPr>
        <w:t>-</w:t>
      </w:r>
      <w:r w:rsidR="005A668A">
        <w:rPr>
          <w:rFonts w:ascii="Arial" w:hAnsi="Arial" w:cs="Arial"/>
          <w:b/>
          <w:bCs/>
          <w:sz w:val="28"/>
          <w:szCs w:val="28"/>
        </w:rPr>
        <w:t>0026</w:t>
      </w:r>
    </w:p>
    <w:p w14:paraId="2A0CB1B0" w14:textId="3DB43A3C" w:rsidR="00E86F26" w:rsidRPr="00E86F26"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proofErr w:type="spellStart"/>
      <w:r w:rsidR="005A668A">
        <w:rPr>
          <w:rFonts w:ascii="Arial" w:eastAsia="Calibri" w:hAnsi="Arial" w:cs="Arial"/>
          <w:sz w:val="24"/>
          <w:szCs w:val="24"/>
        </w:rPr>
        <w:t>Entegrus</w:t>
      </w:r>
      <w:proofErr w:type="spellEnd"/>
      <w:r w:rsidR="005A668A">
        <w:rPr>
          <w:rFonts w:ascii="Arial" w:eastAsia="Calibri" w:hAnsi="Arial" w:cs="Arial"/>
          <w:sz w:val="24"/>
          <w:szCs w:val="24"/>
        </w:rPr>
        <w:t xml:space="preserve"> Powerlines Inc.</w:t>
      </w:r>
      <w:r w:rsidRPr="00E86F26">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p w14:paraId="7CFAFC4F" w14:textId="64A0096A" w:rsidR="00D57E8C" w:rsidRDefault="00D57E8C" w:rsidP="00AB251C">
      <w:pPr>
        <w:spacing w:after="240"/>
        <w:rPr>
          <w:rFonts w:ascii="Arial" w:hAnsi="Arial" w:cs="Arial"/>
          <w:b/>
          <w:sz w:val="24"/>
          <w:szCs w:val="24"/>
        </w:rPr>
      </w:pPr>
      <w:bookmarkStart w:id="1" w:name="_Hlk114835836"/>
      <w:bookmarkEnd w:id="0"/>
      <w:r>
        <w:rPr>
          <w:rFonts w:ascii="Arial" w:hAnsi="Arial" w:cs="Arial"/>
          <w:b/>
          <w:sz w:val="24"/>
          <w:szCs w:val="24"/>
        </w:rPr>
        <w:t>Staff Question-1</w:t>
      </w:r>
    </w:p>
    <w:bookmarkEnd w:id="1"/>
    <w:p w14:paraId="6A96223D" w14:textId="5E134C53" w:rsidR="00706372" w:rsidRDefault="00706372" w:rsidP="00AB251C">
      <w:pPr>
        <w:spacing w:after="240"/>
        <w:rPr>
          <w:rFonts w:ascii="Arial" w:hAnsi="Arial" w:cs="Arial"/>
          <w:b/>
          <w:sz w:val="24"/>
          <w:szCs w:val="24"/>
        </w:rPr>
      </w:pPr>
      <w:r>
        <w:rPr>
          <w:rFonts w:ascii="Arial" w:hAnsi="Arial" w:cs="Arial"/>
          <w:b/>
          <w:sz w:val="24"/>
          <w:szCs w:val="24"/>
        </w:rPr>
        <w:t>Ref:</w:t>
      </w:r>
    </w:p>
    <w:p w14:paraId="2563FDBF" w14:textId="2E0425A6" w:rsidR="00706372" w:rsidRPr="00706372" w:rsidRDefault="00D21EF1" w:rsidP="00706372">
      <w:pPr>
        <w:pStyle w:val="ListParagraph"/>
        <w:numPr>
          <w:ilvl w:val="0"/>
          <w:numId w:val="28"/>
        </w:numPr>
        <w:spacing w:after="240"/>
        <w:rPr>
          <w:rFonts w:ascii="Arial" w:hAnsi="Arial" w:cs="Arial"/>
          <w:bCs/>
          <w:sz w:val="24"/>
          <w:szCs w:val="24"/>
        </w:rPr>
      </w:pPr>
      <w:r>
        <w:rPr>
          <w:rFonts w:ascii="Arial" w:hAnsi="Arial" w:cs="Arial"/>
          <w:bCs/>
          <w:sz w:val="24"/>
          <w:szCs w:val="24"/>
        </w:rPr>
        <w:t xml:space="preserve">1595 Analysis </w:t>
      </w:r>
      <w:proofErr w:type="spellStart"/>
      <w:r>
        <w:rPr>
          <w:rFonts w:ascii="Arial" w:hAnsi="Arial" w:cs="Arial"/>
          <w:bCs/>
          <w:sz w:val="24"/>
          <w:szCs w:val="24"/>
        </w:rPr>
        <w:t>Workform</w:t>
      </w:r>
      <w:proofErr w:type="spellEnd"/>
    </w:p>
    <w:p w14:paraId="0B1F5244" w14:textId="4156246B" w:rsidR="007E1635" w:rsidRDefault="000A726E" w:rsidP="00DA61A7">
      <w:pPr>
        <w:spacing w:after="240"/>
        <w:rPr>
          <w:rFonts w:ascii="Arial" w:hAnsi="Arial" w:cs="Arial"/>
          <w:bCs/>
          <w:sz w:val="24"/>
          <w:szCs w:val="24"/>
        </w:rPr>
      </w:pPr>
      <w:r w:rsidRPr="000A726E">
        <w:rPr>
          <w:rFonts w:ascii="Arial" w:hAnsi="Arial" w:cs="Arial"/>
          <w:b/>
          <w:sz w:val="24"/>
          <w:szCs w:val="24"/>
        </w:rPr>
        <w:t>Question:</w:t>
      </w:r>
      <w:r>
        <w:rPr>
          <w:rFonts w:ascii="Arial" w:hAnsi="Arial" w:cs="Arial"/>
          <w:bCs/>
          <w:sz w:val="24"/>
          <w:szCs w:val="24"/>
        </w:rPr>
        <w:t xml:space="preserve"> </w:t>
      </w:r>
      <w:r w:rsidR="00DA6D94">
        <w:rPr>
          <w:rFonts w:ascii="Arial" w:hAnsi="Arial" w:cs="Arial"/>
          <w:bCs/>
          <w:sz w:val="24"/>
          <w:szCs w:val="24"/>
        </w:rPr>
        <w:t xml:space="preserve">OEB staff notes that at ref 1) tab ‘1595 2018’, forecasted vs billed consumption variance to be 117, 874, 559 kWh (cell I99). Can </w:t>
      </w:r>
      <w:proofErr w:type="spellStart"/>
      <w:r w:rsidR="00DA6D94">
        <w:rPr>
          <w:rFonts w:ascii="Arial" w:hAnsi="Arial" w:cs="Arial"/>
          <w:bCs/>
          <w:sz w:val="24"/>
          <w:szCs w:val="24"/>
        </w:rPr>
        <w:t>Entegrus</w:t>
      </w:r>
      <w:proofErr w:type="spellEnd"/>
      <w:r w:rsidR="00DA6D94">
        <w:rPr>
          <w:rFonts w:ascii="Arial" w:hAnsi="Arial" w:cs="Arial"/>
          <w:bCs/>
          <w:sz w:val="24"/>
          <w:szCs w:val="24"/>
        </w:rPr>
        <w:t xml:space="preserve"> explain the driver of this variance for the GS 50 to 4,999 kW rate class? </w:t>
      </w:r>
    </w:p>
    <w:p w14:paraId="0B88BABB" w14:textId="49E74E5E" w:rsidR="00DA6D94" w:rsidRDefault="00DA6D94" w:rsidP="00DA6D94">
      <w:pPr>
        <w:spacing w:after="240"/>
        <w:rPr>
          <w:rFonts w:ascii="Arial" w:hAnsi="Arial" w:cs="Arial"/>
          <w:b/>
          <w:sz w:val="24"/>
          <w:szCs w:val="24"/>
        </w:rPr>
      </w:pPr>
      <w:r>
        <w:rPr>
          <w:rFonts w:ascii="Arial" w:hAnsi="Arial" w:cs="Arial"/>
          <w:b/>
          <w:sz w:val="24"/>
          <w:szCs w:val="24"/>
        </w:rPr>
        <w:t>Staff Question-2</w:t>
      </w:r>
    </w:p>
    <w:p w14:paraId="20BFF5D0" w14:textId="0D45BE6A" w:rsidR="00DA6D94" w:rsidRPr="00DA6D94" w:rsidRDefault="00DA6D94" w:rsidP="00DA61A7">
      <w:pPr>
        <w:spacing w:after="240"/>
        <w:rPr>
          <w:rFonts w:ascii="Arial" w:eastAsia="Calibri" w:hAnsi="Arial" w:cs="Arial"/>
          <w:b/>
          <w:bCs/>
          <w:sz w:val="24"/>
          <w:szCs w:val="24"/>
          <w:lang w:val="en-US"/>
        </w:rPr>
      </w:pPr>
      <w:r w:rsidRPr="00DA6D94">
        <w:rPr>
          <w:rFonts w:ascii="Arial" w:eastAsia="Calibri" w:hAnsi="Arial" w:cs="Arial"/>
          <w:b/>
          <w:bCs/>
          <w:sz w:val="24"/>
          <w:szCs w:val="24"/>
          <w:lang w:val="en-US"/>
        </w:rPr>
        <w:t>Ref:</w:t>
      </w:r>
    </w:p>
    <w:p w14:paraId="423C00A6" w14:textId="77777777" w:rsidR="00DA6D94" w:rsidRPr="00EB4C14" w:rsidRDefault="00DA6D94" w:rsidP="00DA6D94">
      <w:pPr>
        <w:pStyle w:val="ListParagraph"/>
        <w:numPr>
          <w:ilvl w:val="0"/>
          <w:numId w:val="39"/>
        </w:numPr>
        <w:spacing w:after="240"/>
        <w:rPr>
          <w:rFonts w:ascii="Arial" w:hAnsi="Arial" w:cs="Arial"/>
          <w:sz w:val="24"/>
          <w:szCs w:val="24"/>
          <w:lang w:val="en-US"/>
        </w:rPr>
      </w:pPr>
      <w:r w:rsidRPr="00EB4C14">
        <w:rPr>
          <w:rFonts w:ascii="Arial" w:hAnsi="Arial" w:cs="Arial"/>
          <w:sz w:val="24"/>
          <w:szCs w:val="24"/>
          <w:lang w:val="en-US"/>
        </w:rPr>
        <w:t>Rate Generator Model – Tab 17, 19</w:t>
      </w:r>
    </w:p>
    <w:p w14:paraId="12F1C802" w14:textId="77777777" w:rsidR="00DA6D94" w:rsidRPr="007A60D9" w:rsidRDefault="00DA6D94" w:rsidP="00DA6D94">
      <w:pPr>
        <w:spacing w:after="240"/>
        <w:rPr>
          <w:rFonts w:ascii="Arial" w:hAnsi="Arial" w:cs="Arial"/>
          <w:bCs/>
          <w:sz w:val="24"/>
          <w:szCs w:val="24"/>
        </w:rPr>
      </w:pPr>
      <w:r w:rsidRPr="00DA6D94">
        <w:rPr>
          <w:rFonts w:ascii="Arial" w:hAnsi="Arial" w:cs="Arial"/>
          <w:b/>
          <w:sz w:val="24"/>
          <w:szCs w:val="24"/>
        </w:rPr>
        <w:t>Question:</w:t>
      </w:r>
      <w:r>
        <w:rPr>
          <w:rFonts w:ascii="Arial" w:hAnsi="Arial" w:cs="Arial"/>
          <w:bCs/>
          <w:sz w:val="24"/>
          <w:szCs w:val="24"/>
        </w:rPr>
        <w:t xml:space="preserve"> OEB staff has updated the Smart Meter Entity Charge to $0.42 in Tab 17 and reflected in Tab 19. Please confirm this update in the attached model. </w:t>
      </w:r>
    </w:p>
    <w:p w14:paraId="3E22D6E1" w14:textId="77777777" w:rsidR="00997291" w:rsidRPr="00447EA2" w:rsidRDefault="00997291" w:rsidP="00997291">
      <w:pPr>
        <w:spacing w:after="240"/>
        <w:rPr>
          <w:rFonts w:ascii="Arial" w:hAnsi="Arial" w:cs="Arial"/>
          <w:b/>
          <w:sz w:val="24"/>
          <w:szCs w:val="24"/>
        </w:rPr>
      </w:pPr>
      <w:bookmarkStart w:id="2" w:name="_Hlk115787507"/>
      <w:r w:rsidRPr="00447EA2">
        <w:rPr>
          <w:rFonts w:ascii="Arial" w:hAnsi="Arial" w:cs="Arial"/>
          <w:b/>
          <w:sz w:val="24"/>
          <w:szCs w:val="24"/>
        </w:rPr>
        <w:t>Staff Question-3</w:t>
      </w:r>
    </w:p>
    <w:p w14:paraId="599A40D1" w14:textId="77777777" w:rsidR="00997291" w:rsidRPr="00447EA2" w:rsidRDefault="00997291" w:rsidP="00997291">
      <w:pPr>
        <w:spacing w:after="240"/>
        <w:rPr>
          <w:rFonts w:ascii="Arial" w:hAnsi="Arial" w:cs="Arial"/>
          <w:b/>
          <w:sz w:val="24"/>
          <w:szCs w:val="24"/>
        </w:rPr>
      </w:pPr>
      <w:r w:rsidRPr="00447EA2">
        <w:rPr>
          <w:rFonts w:ascii="Arial" w:hAnsi="Arial" w:cs="Arial"/>
          <w:b/>
          <w:sz w:val="24"/>
          <w:szCs w:val="24"/>
        </w:rPr>
        <w:t>Ref:</w:t>
      </w:r>
    </w:p>
    <w:p w14:paraId="0DB56BEB" w14:textId="1889E510" w:rsidR="00997291" w:rsidRPr="00447EA2" w:rsidRDefault="00997291" w:rsidP="00997291">
      <w:pPr>
        <w:pStyle w:val="ListParagraph"/>
        <w:numPr>
          <w:ilvl w:val="0"/>
          <w:numId w:val="40"/>
        </w:numPr>
        <w:spacing w:after="240"/>
        <w:rPr>
          <w:rFonts w:ascii="Arial" w:hAnsi="Arial" w:cs="Arial"/>
          <w:bCs/>
          <w:sz w:val="24"/>
          <w:szCs w:val="24"/>
        </w:rPr>
      </w:pPr>
      <w:r>
        <w:rPr>
          <w:rFonts w:ascii="Arial" w:hAnsi="Arial" w:cs="Arial"/>
          <w:bCs/>
          <w:sz w:val="24"/>
          <w:szCs w:val="24"/>
        </w:rPr>
        <w:t xml:space="preserve">2023 IRM </w:t>
      </w:r>
      <w:r w:rsidRPr="00447EA2">
        <w:rPr>
          <w:rFonts w:ascii="Arial" w:hAnsi="Arial" w:cs="Arial"/>
          <w:bCs/>
          <w:sz w:val="24"/>
          <w:szCs w:val="24"/>
        </w:rPr>
        <w:t>Rate Generator Model</w:t>
      </w:r>
      <w:r>
        <w:rPr>
          <w:rFonts w:ascii="Arial" w:hAnsi="Arial" w:cs="Arial"/>
          <w:bCs/>
          <w:sz w:val="24"/>
          <w:szCs w:val="24"/>
        </w:rPr>
        <w:t>, Tab 3</w:t>
      </w:r>
    </w:p>
    <w:bookmarkEnd w:id="2"/>
    <w:p w14:paraId="7960EEFA" w14:textId="77777777" w:rsidR="00997291" w:rsidRPr="00997291" w:rsidRDefault="00997291" w:rsidP="00997291">
      <w:pPr>
        <w:rPr>
          <w:rFonts w:ascii="Arial" w:hAnsi="Arial" w:cs="Arial"/>
          <w:b/>
          <w:bCs/>
          <w:sz w:val="24"/>
          <w:szCs w:val="24"/>
        </w:rPr>
      </w:pPr>
      <w:r>
        <w:rPr>
          <w:rFonts w:ascii="Arial" w:hAnsi="Arial" w:cs="Arial"/>
          <w:b/>
          <w:sz w:val="24"/>
          <w:szCs w:val="24"/>
        </w:rPr>
        <w:t xml:space="preserve">Question: </w:t>
      </w:r>
    </w:p>
    <w:p w14:paraId="718D04DD" w14:textId="39E106D3" w:rsidR="00997291" w:rsidRDefault="00997291" w:rsidP="00997291">
      <w:pPr>
        <w:numPr>
          <w:ilvl w:val="0"/>
          <w:numId w:val="41"/>
        </w:numPr>
        <w:rPr>
          <w:rFonts w:ascii="Arial" w:hAnsi="Arial" w:cs="Arial"/>
          <w:sz w:val="24"/>
          <w:szCs w:val="24"/>
        </w:rPr>
      </w:pPr>
      <w:r>
        <w:rPr>
          <w:rFonts w:ascii="Arial" w:hAnsi="Arial" w:cs="Arial"/>
          <w:sz w:val="24"/>
          <w:szCs w:val="24"/>
        </w:rPr>
        <w:t xml:space="preserve">For the Main rate zone, </w:t>
      </w:r>
      <w:r w:rsidRPr="00997291">
        <w:rPr>
          <w:rFonts w:ascii="Arial" w:hAnsi="Arial" w:cs="Arial"/>
          <w:sz w:val="24"/>
          <w:szCs w:val="24"/>
        </w:rPr>
        <w:t>please</w:t>
      </w:r>
      <w:r w:rsidRPr="00997291">
        <w:rPr>
          <w:rFonts w:ascii="Arial" w:hAnsi="Arial" w:cs="Arial"/>
          <w:sz w:val="24"/>
          <w:szCs w:val="24"/>
        </w:rPr>
        <w:t xml:space="preserve"> explain why the net transaction for Account 1580 RSVA – Wholesale Market Service Charge has changed significantly from a credit of ($</w:t>
      </w:r>
      <w:r>
        <w:rPr>
          <w:rFonts w:ascii="Arial" w:hAnsi="Arial" w:cs="Arial"/>
          <w:sz w:val="24"/>
          <w:szCs w:val="24"/>
        </w:rPr>
        <w:t>404,065)</w:t>
      </w:r>
      <w:r w:rsidRPr="00997291">
        <w:rPr>
          <w:rFonts w:ascii="Arial" w:hAnsi="Arial" w:cs="Arial"/>
          <w:sz w:val="24"/>
          <w:szCs w:val="24"/>
        </w:rPr>
        <w:t xml:space="preserve"> in 2020 (cell </w:t>
      </w:r>
      <w:r>
        <w:rPr>
          <w:rFonts w:ascii="Arial" w:hAnsi="Arial" w:cs="Arial"/>
          <w:sz w:val="24"/>
          <w:szCs w:val="24"/>
        </w:rPr>
        <w:t>AT</w:t>
      </w:r>
      <w:r w:rsidRPr="00997291">
        <w:rPr>
          <w:rFonts w:ascii="Arial" w:hAnsi="Arial" w:cs="Arial"/>
          <w:sz w:val="24"/>
          <w:szCs w:val="24"/>
        </w:rPr>
        <w:t>23) to a debit of $</w:t>
      </w:r>
      <w:r>
        <w:rPr>
          <w:rFonts w:ascii="Arial" w:hAnsi="Arial" w:cs="Arial"/>
          <w:sz w:val="24"/>
          <w:szCs w:val="24"/>
        </w:rPr>
        <w:t>705,379</w:t>
      </w:r>
      <w:r w:rsidRPr="00997291">
        <w:rPr>
          <w:rFonts w:ascii="Arial" w:hAnsi="Arial" w:cs="Arial"/>
          <w:sz w:val="24"/>
          <w:szCs w:val="24"/>
        </w:rPr>
        <w:t xml:space="preserve"> in 2021 (cell BD23</w:t>
      </w:r>
      <w:r>
        <w:rPr>
          <w:rFonts w:ascii="Arial" w:hAnsi="Arial" w:cs="Arial"/>
          <w:sz w:val="24"/>
          <w:szCs w:val="24"/>
        </w:rPr>
        <w:t>)</w:t>
      </w:r>
    </w:p>
    <w:p w14:paraId="2574E25B" w14:textId="78AE3996" w:rsidR="00997291" w:rsidRPr="00997291" w:rsidRDefault="00997291" w:rsidP="00997291">
      <w:pPr>
        <w:pStyle w:val="ListParagraph"/>
        <w:numPr>
          <w:ilvl w:val="0"/>
          <w:numId w:val="41"/>
        </w:numPr>
        <w:rPr>
          <w:rFonts w:ascii="Arial" w:hAnsi="Arial" w:cs="Arial"/>
          <w:sz w:val="24"/>
          <w:szCs w:val="24"/>
        </w:rPr>
      </w:pPr>
      <w:r>
        <w:rPr>
          <w:rFonts w:ascii="Arial" w:hAnsi="Arial" w:cs="Arial"/>
          <w:sz w:val="24"/>
          <w:szCs w:val="24"/>
        </w:rPr>
        <w:lastRenderedPageBreak/>
        <w:t>For the Main rate zone, p</w:t>
      </w:r>
      <w:r w:rsidRPr="00997291">
        <w:rPr>
          <w:rFonts w:ascii="Arial" w:hAnsi="Arial" w:cs="Arial"/>
          <w:sz w:val="24"/>
          <w:szCs w:val="24"/>
        </w:rPr>
        <w:t>lease explain why the net transaction for Account 1584 RSVA – Retail Transmission Network Charge has increased significantly from $</w:t>
      </w:r>
      <w:r w:rsidRPr="00997291">
        <w:t xml:space="preserve"> </w:t>
      </w:r>
      <w:r w:rsidRPr="00997291">
        <w:rPr>
          <w:rFonts w:ascii="Arial" w:hAnsi="Arial" w:cs="Arial"/>
          <w:sz w:val="24"/>
          <w:szCs w:val="24"/>
        </w:rPr>
        <w:t>260</w:t>
      </w:r>
      <w:r>
        <w:rPr>
          <w:rFonts w:ascii="Arial" w:hAnsi="Arial" w:cs="Arial"/>
          <w:sz w:val="24"/>
          <w:szCs w:val="24"/>
        </w:rPr>
        <w:t>,</w:t>
      </w:r>
      <w:r w:rsidRPr="00997291">
        <w:rPr>
          <w:rFonts w:ascii="Arial" w:hAnsi="Arial" w:cs="Arial"/>
          <w:sz w:val="24"/>
          <w:szCs w:val="24"/>
        </w:rPr>
        <w:t xml:space="preserve">925.45 in 2020 (cell </w:t>
      </w:r>
      <w:r>
        <w:rPr>
          <w:rFonts w:ascii="Arial" w:hAnsi="Arial" w:cs="Arial"/>
          <w:sz w:val="24"/>
          <w:szCs w:val="24"/>
        </w:rPr>
        <w:t>AT</w:t>
      </w:r>
      <w:r w:rsidRPr="00997291">
        <w:rPr>
          <w:rFonts w:ascii="Arial" w:hAnsi="Arial" w:cs="Arial"/>
          <w:sz w:val="24"/>
          <w:szCs w:val="24"/>
        </w:rPr>
        <w:t>26) to $</w:t>
      </w:r>
      <w:r w:rsidRPr="00997291">
        <w:t xml:space="preserve"> </w:t>
      </w:r>
      <w:r w:rsidRPr="00997291">
        <w:rPr>
          <w:rFonts w:ascii="Arial" w:hAnsi="Arial" w:cs="Arial"/>
          <w:sz w:val="24"/>
          <w:szCs w:val="24"/>
        </w:rPr>
        <w:t>1</w:t>
      </w:r>
      <w:r>
        <w:rPr>
          <w:rFonts w:ascii="Arial" w:hAnsi="Arial" w:cs="Arial"/>
          <w:sz w:val="24"/>
          <w:szCs w:val="24"/>
        </w:rPr>
        <w:t>,</w:t>
      </w:r>
      <w:r w:rsidRPr="00997291">
        <w:rPr>
          <w:rFonts w:ascii="Arial" w:hAnsi="Arial" w:cs="Arial"/>
          <w:sz w:val="24"/>
          <w:szCs w:val="24"/>
        </w:rPr>
        <w:t>324</w:t>
      </w:r>
      <w:r>
        <w:rPr>
          <w:rFonts w:ascii="Arial" w:hAnsi="Arial" w:cs="Arial"/>
          <w:sz w:val="24"/>
          <w:szCs w:val="24"/>
        </w:rPr>
        <w:t>,</w:t>
      </w:r>
      <w:r w:rsidRPr="00997291">
        <w:rPr>
          <w:rFonts w:ascii="Arial" w:hAnsi="Arial" w:cs="Arial"/>
          <w:sz w:val="24"/>
          <w:szCs w:val="24"/>
        </w:rPr>
        <w:t>234.7 in 2021 (cell BD26</w:t>
      </w:r>
      <w:r>
        <w:rPr>
          <w:rFonts w:ascii="Arial" w:hAnsi="Arial" w:cs="Arial"/>
          <w:sz w:val="24"/>
          <w:szCs w:val="24"/>
        </w:rPr>
        <w:t>)</w:t>
      </w:r>
    </w:p>
    <w:p w14:paraId="35AA44A4" w14:textId="77777777" w:rsidR="00997291" w:rsidRPr="00997291" w:rsidRDefault="00997291" w:rsidP="00997291">
      <w:pPr>
        <w:ind w:left="720"/>
        <w:rPr>
          <w:rFonts w:ascii="Arial" w:hAnsi="Arial" w:cs="Arial"/>
          <w:sz w:val="24"/>
          <w:szCs w:val="24"/>
        </w:rPr>
      </w:pPr>
    </w:p>
    <w:p w14:paraId="6F4CA1BC" w14:textId="7215EE59" w:rsidR="00997291" w:rsidRPr="00447EA2" w:rsidRDefault="00997291" w:rsidP="00997291">
      <w:pPr>
        <w:spacing w:after="240"/>
        <w:rPr>
          <w:rFonts w:ascii="Arial" w:hAnsi="Arial" w:cs="Arial"/>
          <w:b/>
          <w:sz w:val="24"/>
          <w:szCs w:val="24"/>
        </w:rPr>
      </w:pPr>
      <w:r w:rsidRPr="00447EA2">
        <w:rPr>
          <w:rFonts w:ascii="Arial" w:hAnsi="Arial" w:cs="Arial"/>
          <w:b/>
          <w:sz w:val="24"/>
          <w:szCs w:val="24"/>
        </w:rPr>
        <w:t>Staff Question-</w:t>
      </w:r>
      <w:r w:rsidR="005F2BA2">
        <w:rPr>
          <w:rFonts w:ascii="Arial" w:hAnsi="Arial" w:cs="Arial"/>
          <w:b/>
          <w:sz w:val="24"/>
          <w:szCs w:val="24"/>
        </w:rPr>
        <w:t>4</w:t>
      </w:r>
    </w:p>
    <w:p w14:paraId="69E58EAC" w14:textId="77777777" w:rsidR="00997291" w:rsidRPr="00447EA2" w:rsidRDefault="00997291" w:rsidP="00997291">
      <w:pPr>
        <w:spacing w:after="240"/>
        <w:rPr>
          <w:rFonts w:ascii="Arial" w:hAnsi="Arial" w:cs="Arial"/>
          <w:b/>
          <w:sz w:val="24"/>
          <w:szCs w:val="24"/>
        </w:rPr>
      </w:pPr>
      <w:r w:rsidRPr="00447EA2">
        <w:rPr>
          <w:rFonts w:ascii="Arial" w:hAnsi="Arial" w:cs="Arial"/>
          <w:b/>
          <w:sz w:val="24"/>
          <w:szCs w:val="24"/>
        </w:rPr>
        <w:t>Ref:</w:t>
      </w:r>
    </w:p>
    <w:p w14:paraId="269F538C" w14:textId="2A65524D" w:rsidR="00997291" w:rsidRDefault="00997291" w:rsidP="00997291">
      <w:pPr>
        <w:pStyle w:val="ListParagraph"/>
        <w:numPr>
          <w:ilvl w:val="0"/>
          <w:numId w:val="42"/>
        </w:numPr>
        <w:spacing w:after="240"/>
        <w:rPr>
          <w:rFonts w:ascii="Arial" w:hAnsi="Arial" w:cs="Arial"/>
          <w:bCs/>
          <w:sz w:val="24"/>
          <w:szCs w:val="24"/>
        </w:rPr>
      </w:pPr>
      <w:r>
        <w:rPr>
          <w:rFonts w:ascii="Arial" w:hAnsi="Arial" w:cs="Arial"/>
          <w:bCs/>
          <w:sz w:val="24"/>
          <w:szCs w:val="24"/>
        </w:rPr>
        <w:t xml:space="preserve">2023 IRM </w:t>
      </w:r>
      <w:r w:rsidRPr="00447EA2">
        <w:rPr>
          <w:rFonts w:ascii="Arial" w:hAnsi="Arial" w:cs="Arial"/>
          <w:bCs/>
          <w:sz w:val="24"/>
          <w:szCs w:val="24"/>
        </w:rPr>
        <w:t>Rate Generator Model</w:t>
      </w:r>
      <w:r>
        <w:rPr>
          <w:rFonts w:ascii="Arial" w:hAnsi="Arial" w:cs="Arial"/>
          <w:bCs/>
          <w:sz w:val="24"/>
          <w:szCs w:val="24"/>
        </w:rPr>
        <w:t>, Tab 3</w:t>
      </w:r>
    </w:p>
    <w:p w14:paraId="0C13275F" w14:textId="5B2AD573" w:rsidR="00997291" w:rsidRDefault="00997291" w:rsidP="00997291">
      <w:pPr>
        <w:pStyle w:val="ListParagraph"/>
        <w:numPr>
          <w:ilvl w:val="0"/>
          <w:numId w:val="42"/>
        </w:numPr>
        <w:spacing w:after="240"/>
        <w:rPr>
          <w:rFonts w:ascii="Arial" w:hAnsi="Arial" w:cs="Arial"/>
          <w:bCs/>
          <w:sz w:val="24"/>
          <w:szCs w:val="24"/>
        </w:rPr>
      </w:pPr>
      <w:r>
        <w:rPr>
          <w:rFonts w:ascii="Arial" w:hAnsi="Arial" w:cs="Arial"/>
          <w:bCs/>
          <w:sz w:val="24"/>
          <w:szCs w:val="24"/>
        </w:rPr>
        <w:t>2022 IRM Rate Generator Model, Decision and Rate Order, Tab 3</w:t>
      </w:r>
    </w:p>
    <w:p w14:paraId="154B7738" w14:textId="77777777" w:rsidR="00EA259D" w:rsidRDefault="00EA259D" w:rsidP="00EA259D">
      <w:pPr>
        <w:pStyle w:val="ListParagraph"/>
        <w:spacing w:after="240"/>
        <w:ind w:left="360"/>
        <w:rPr>
          <w:rFonts w:ascii="Arial" w:hAnsi="Arial" w:cs="Arial"/>
          <w:bCs/>
          <w:sz w:val="24"/>
          <w:szCs w:val="24"/>
        </w:rPr>
      </w:pPr>
    </w:p>
    <w:p w14:paraId="4CBCA40E" w14:textId="077072A5" w:rsidR="00EA259D" w:rsidRDefault="00997291" w:rsidP="00997291">
      <w:pPr>
        <w:pStyle w:val="ListParagraph"/>
        <w:spacing w:after="240"/>
        <w:ind w:left="0"/>
        <w:rPr>
          <w:rFonts w:ascii="Arial" w:hAnsi="Arial" w:cs="Arial"/>
          <w:b/>
          <w:sz w:val="24"/>
          <w:szCs w:val="24"/>
        </w:rPr>
      </w:pPr>
      <w:r w:rsidRPr="00447EA2">
        <w:rPr>
          <w:rFonts w:ascii="Arial" w:hAnsi="Arial" w:cs="Arial"/>
          <w:b/>
          <w:sz w:val="24"/>
          <w:szCs w:val="24"/>
        </w:rPr>
        <w:t>Question:</w:t>
      </w:r>
    </w:p>
    <w:p w14:paraId="7FEAE49A" w14:textId="77777777" w:rsidR="00EA259D" w:rsidRPr="00447EA2" w:rsidRDefault="00EA259D" w:rsidP="00997291">
      <w:pPr>
        <w:pStyle w:val="ListParagraph"/>
        <w:spacing w:after="240"/>
        <w:ind w:left="0"/>
        <w:rPr>
          <w:rFonts w:ascii="Arial" w:hAnsi="Arial" w:cs="Arial"/>
          <w:b/>
          <w:sz w:val="24"/>
          <w:szCs w:val="24"/>
        </w:rPr>
      </w:pPr>
    </w:p>
    <w:p w14:paraId="744DED90" w14:textId="4EC702E9" w:rsidR="00997291" w:rsidRPr="0081496E" w:rsidRDefault="00997291" w:rsidP="00997291">
      <w:pPr>
        <w:pStyle w:val="ListParagraph"/>
        <w:numPr>
          <w:ilvl w:val="0"/>
          <w:numId w:val="43"/>
        </w:numPr>
        <w:rPr>
          <w:rFonts w:ascii="Arial" w:hAnsi="Arial" w:cs="Arial"/>
          <w:bCs/>
          <w:sz w:val="24"/>
          <w:szCs w:val="24"/>
        </w:rPr>
      </w:pPr>
      <w:r>
        <w:rPr>
          <w:rFonts w:ascii="Arial" w:hAnsi="Arial" w:cs="Arial"/>
          <w:bCs/>
          <w:sz w:val="24"/>
          <w:szCs w:val="24"/>
        </w:rPr>
        <w:t>For the STT rate zone, p</w:t>
      </w:r>
      <w:r w:rsidRPr="0081496E">
        <w:rPr>
          <w:rFonts w:ascii="Arial" w:hAnsi="Arial" w:cs="Arial"/>
          <w:bCs/>
          <w:sz w:val="24"/>
          <w:szCs w:val="24"/>
        </w:rPr>
        <w:t xml:space="preserve">lease explain why the net transaction for Account 1584 RSVA – Retail Transmission Network Charge has </w:t>
      </w:r>
      <w:r>
        <w:rPr>
          <w:rFonts w:ascii="Arial" w:hAnsi="Arial" w:cs="Arial"/>
          <w:bCs/>
          <w:sz w:val="24"/>
          <w:szCs w:val="24"/>
        </w:rPr>
        <w:t xml:space="preserve">changed </w:t>
      </w:r>
      <w:r w:rsidRPr="0081496E">
        <w:rPr>
          <w:rFonts w:ascii="Arial" w:hAnsi="Arial" w:cs="Arial"/>
          <w:bCs/>
          <w:sz w:val="24"/>
          <w:szCs w:val="24"/>
        </w:rPr>
        <w:t xml:space="preserve">significantly from $ </w:t>
      </w:r>
      <w:r w:rsidRPr="00997291">
        <w:rPr>
          <w:rFonts w:ascii="Arial" w:hAnsi="Arial" w:cs="Arial"/>
          <w:bCs/>
          <w:sz w:val="24"/>
          <w:szCs w:val="24"/>
        </w:rPr>
        <w:t>20</w:t>
      </w:r>
      <w:r>
        <w:rPr>
          <w:rFonts w:ascii="Arial" w:hAnsi="Arial" w:cs="Arial"/>
          <w:bCs/>
          <w:sz w:val="24"/>
          <w:szCs w:val="24"/>
        </w:rPr>
        <w:t>,</w:t>
      </w:r>
      <w:r w:rsidRPr="00997291">
        <w:rPr>
          <w:rFonts w:ascii="Arial" w:hAnsi="Arial" w:cs="Arial"/>
          <w:bCs/>
          <w:sz w:val="24"/>
          <w:szCs w:val="24"/>
        </w:rPr>
        <w:t>585.36</w:t>
      </w:r>
      <w:r>
        <w:rPr>
          <w:rFonts w:ascii="Arial" w:hAnsi="Arial" w:cs="Arial"/>
          <w:bCs/>
          <w:sz w:val="24"/>
          <w:szCs w:val="24"/>
        </w:rPr>
        <w:t xml:space="preserve"> </w:t>
      </w:r>
      <w:r w:rsidRPr="0081496E">
        <w:rPr>
          <w:rFonts w:ascii="Arial" w:hAnsi="Arial" w:cs="Arial"/>
          <w:bCs/>
          <w:sz w:val="24"/>
          <w:szCs w:val="24"/>
        </w:rPr>
        <w:t>in 2020 (cell BD26 in Reference 2) to $</w:t>
      </w:r>
      <w:r w:rsidRPr="00997291">
        <w:rPr>
          <w:rFonts w:ascii="Arial" w:hAnsi="Arial" w:cs="Arial"/>
          <w:bCs/>
          <w:sz w:val="24"/>
          <w:szCs w:val="24"/>
        </w:rPr>
        <w:t xml:space="preserve"> 528,109</w:t>
      </w:r>
      <w:r w:rsidRPr="0081496E">
        <w:rPr>
          <w:rFonts w:ascii="Arial" w:hAnsi="Arial" w:cs="Arial"/>
          <w:bCs/>
          <w:sz w:val="24"/>
          <w:szCs w:val="24"/>
        </w:rPr>
        <w:t xml:space="preserve"> in 2021 (cell BD26 in Reference 1).</w:t>
      </w:r>
    </w:p>
    <w:p w14:paraId="6C9F996E" w14:textId="77777777" w:rsidR="00997291" w:rsidRPr="00447EA2" w:rsidRDefault="00997291" w:rsidP="00997291">
      <w:pPr>
        <w:pStyle w:val="ListParagraph"/>
        <w:spacing w:after="240"/>
        <w:rPr>
          <w:rFonts w:ascii="Arial" w:hAnsi="Arial" w:cs="Arial"/>
          <w:bCs/>
          <w:sz w:val="24"/>
          <w:szCs w:val="24"/>
        </w:rPr>
      </w:pPr>
    </w:p>
    <w:p w14:paraId="6E6D9100" w14:textId="77777777" w:rsidR="00997291" w:rsidRPr="00997291" w:rsidRDefault="00997291" w:rsidP="00997291">
      <w:pPr>
        <w:spacing w:after="240"/>
        <w:rPr>
          <w:rFonts w:ascii="Arial" w:hAnsi="Arial" w:cs="Arial"/>
          <w:bCs/>
          <w:sz w:val="24"/>
          <w:szCs w:val="24"/>
        </w:rPr>
      </w:pPr>
    </w:p>
    <w:p w14:paraId="43AE605B" w14:textId="4A00854D" w:rsidR="00D57E8C" w:rsidRPr="002D056D" w:rsidRDefault="00D57E8C" w:rsidP="00AB251C">
      <w:pPr>
        <w:spacing w:after="240"/>
        <w:rPr>
          <w:rFonts w:ascii="Arial" w:hAnsi="Arial" w:cs="Arial"/>
          <w:b/>
          <w:sz w:val="24"/>
          <w:szCs w:val="24"/>
        </w:rPr>
      </w:pPr>
    </w:p>
    <w:sectPr w:rsidR="00D57E8C" w:rsidRPr="002D056D"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5EF"/>
    <w:multiLevelType w:val="hybridMultilevel"/>
    <w:tmpl w:val="2C146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6A04F0"/>
    <w:multiLevelType w:val="hybridMultilevel"/>
    <w:tmpl w:val="1942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02F64C9"/>
    <w:multiLevelType w:val="hybridMultilevel"/>
    <w:tmpl w:val="2C146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C8157F"/>
    <w:multiLevelType w:val="hybridMultilevel"/>
    <w:tmpl w:val="763AF79A"/>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047230E"/>
    <w:multiLevelType w:val="hybridMultilevel"/>
    <w:tmpl w:val="8E247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1CD1A16"/>
    <w:multiLevelType w:val="hybridMultilevel"/>
    <w:tmpl w:val="C8760C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9545A23"/>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D3B1C24"/>
    <w:multiLevelType w:val="hybridMultilevel"/>
    <w:tmpl w:val="2C146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98744B"/>
    <w:multiLevelType w:val="hybridMultilevel"/>
    <w:tmpl w:val="6A5E30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024B1A"/>
    <w:multiLevelType w:val="hybridMultilevel"/>
    <w:tmpl w:val="2C1462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4610C8"/>
    <w:multiLevelType w:val="hybridMultilevel"/>
    <w:tmpl w:val="2C146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1E37AEA"/>
    <w:multiLevelType w:val="hybridMultilevel"/>
    <w:tmpl w:val="C8760C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1"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8460F30"/>
    <w:multiLevelType w:val="hybridMultilevel"/>
    <w:tmpl w:val="2C146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AB15C48"/>
    <w:multiLevelType w:val="hybridMultilevel"/>
    <w:tmpl w:val="28E8D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FA841AE"/>
    <w:multiLevelType w:val="hybridMultilevel"/>
    <w:tmpl w:val="8E247CF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F832844"/>
    <w:multiLevelType w:val="hybridMultilevel"/>
    <w:tmpl w:val="2C1462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9"/>
  </w:num>
  <w:num w:numId="3">
    <w:abstractNumId w:val="31"/>
  </w:num>
  <w:num w:numId="4">
    <w:abstractNumId w:val="41"/>
  </w:num>
  <w:num w:numId="5">
    <w:abstractNumId w:val="15"/>
  </w:num>
  <w:num w:numId="6">
    <w:abstractNumId w:val="11"/>
  </w:num>
  <w:num w:numId="7">
    <w:abstractNumId w:val="26"/>
  </w:num>
  <w:num w:numId="8">
    <w:abstractNumId w:val="17"/>
  </w:num>
  <w:num w:numId="9">
    <w:abstractNumId w:val="21"/>
  </w:num>
  <w:num w:numId="10">
    <w:abstractNumId w:val="6"/>
  </w:num>
  <w:num w:numId="11">
    <w:abstractNumId w:val="25"/>
  </w:num>
  <w:num w:numId="12">
    <w:abstractNumId w:val="33"/>
  </w:num>
  <w:num w:numId="13">
    <w:abstractNumId w:val="5"/>
  </w:num>
  <w:num w:numId="14">
    <w:abstractNumId w:val="2"/>
  </w:num>
  <w:num w:numId="15">
    <w:abstractNumId w:val="40"/>
  </w:num>
  <w:num w:numId="16">
    <w:abstractNumId w:val="10"/>
  </w:num>
  <w:num w:numId="17">
    <w:abstractNumId w:val="28"/>
  </w:num>
  <w:num w:numId="18">
    <w:abstractNumId w:val="37"/>
  </w:num>
  <w:num w:numId="19">
    <w:abstractNumId w:val="39"/>
  </w:num>
  <w:num w:numId="20">
    <w:abstractNumId w:val="13"/>
  </w:num>
  <w:num w:numId="21">
    <w:abstractNumId w:val="35"/>
  </w:num>
  <w:num w:numId="22">
    <w:abstractNumId w:val="12"/>
  </w:num>
  <w:num w:numId="23">
    <w:abstractNumId w:val="32"/>
  </w:num>
  <w:num w:numId="24">
    <w:abstractNumId w:val="30"/>
  </w:num>
  <w:num w:numId="25">
    <w:abstractNumId w:val="3"/>
  </w:num>
  <w:num w:numId="26">
    <w:abstractNumId w:val="24"/>
  </w:num>
  <w:num w:numId="27">
    <w:abstractNumId w:val="27"/>
  </w:num>
  <w:num w:numId="28">
    <w:abstractNumId w:val="22"/>
  </w:num>
  <w:num w:numId="29">
    <w:abstractNumId w:val="34"/>
  </w:num>
  <w:num w:numId="30">
    <w:abstractNumId w:val="19"/>
  </w:num>
  <w:num w:numId="31">
    <w:abstractNumId w:val="7"/>
  </w:num>
  <w:num w:numId="32">
    <w:abstractNumId w:val="23"/>
  </w:num>
  <w:num w:numId="33">
    <w:abstractNumId w:val="42"/>
  </w:num>
  <w:num w:numId="34">
    <w:abstractNumId w:val="0"/>
  </w:num>
  <w:num w:numId="35">
    <w:abstractNumId w:val="4"/>
  </w:num>
  <w:num w:numId="36">
    <w:abstractNumId w:val="38"/>
  </w:num>
  <w:num w:numId="37">
    <w:abstractNumId w:val="14"/>
  </w:num>
  <w:num w:numId="38">
    <w:abstractNumId w:val="8"/>
  </w:num>
  <w:num w:numId="39">
    <w:abstractNumId w:val="20"/>
  </w:num>
  <w:num w:numId="40">
    <w:abstractNumId w:val="36"/>
  </w:num>
  <w:num w:numId="41">
    <w:abstractNumId w:val="29"/>
  </w:num>
  <w:num w:numId="42">
    <w:abstractNumId w:val="18"/>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54071"/>
    <w:rsid w:val="0006126D"/>
    <w:rsid w:val="00067F57"/>
    <w:rsid w:val="00071BEC"/>
    <w:rsid w:val="00074514"/>
    <w:rsid w:val="000832D4"/>
    <w:rsid w:val="00090160"/>
    <w:rsid w:val="000A726E"/>
    <w:rsid w:val="000B3E7E"/>
    <w:rsid w:val="000D223C"/>
    <w:rsid w:val="000E4006"/>
    <w:rsid w:val="000F1E3A"/>
    <w:rsid w:val="00133BE1"/>
    <w:rsid w:val="00164E99"/>
    <w:rsid w:val="00183CC8"/>
    <w:rsid w:val="00187E9B"/>
    <w:rsid w:val="001927C2"/>
    <w:rsid w:val="001A4DCD"/>
    <w:rsid w:val="00203092"/>
    <w:rsid w:val="002208C0"/>
    <w:rsid w:val="00224C06"/>
    <w:rsid w:val="0025687C"/>
    <w:rsid w:val="00273276"/>
    <w:rsid w:val="00274A48"/>
    <w:rsid w:val="00291CCC"/>
    <w:rsid w:val="002A6415"/>
    <w:rsid w:val="002B7B7C"/>
    <w:rsid w:val="002C2BF2"/>
    <w:rsid w:val="002C7EF6"/>
    <w:rsid w:val="002D4924"/>
    <w:rsid w:val="002F4756"/>
    <w:rsid w:val="00302509"/>
    <w:rsid w:val="003049C5"/>
    <w:rsid w:val="003303BF"/>
    <w:rsid w:val="00340C00"/>
    <w:rsid w:val="00353EA9"/>
    <w:rsid w:val="003702D1"/>
    <w:rsid w:val="00373FAD"/>
    <w:rsid w:val="003777B5"/>
    <w:rsid w:val="003832E7"/>
    <w:rsid w:val="00387ADC"/>
    <w:rsid w:val="003A20A0"/>
    <w:rsid w:val="003A58B0"/>
    <w:rsid w:val="00400DFC"/>
    <w:rsid w:val="00412DC6"/>
    <w:rsid w:val="00425009"/>
    <w:rsid w:val="004377B0"/>
    <w:rsid w:val="00472C81"/>
    <w:rsid w:val="00475032"/>
    <w:rsid w:val="004859EF"/>
    <w:rsid w:val="004D1BA3"/>
    <w:rsid w:val="00511EC2"/>
    <w:rsid w:val="005164F5"/>
    <w:rsid w:val="0052560F"/>
    <w:rsid w:val="005666F2"/>
    <w:rsid w:val="00572064"/>
    <w:rsid w:val="00584369"/>
    <w:rsid w:val="00587A35"/>
    <w:rsid w:val="005A668A"/>
    <w:rsid w:val="005E27C0"/>
    <w:rsid w:val="005F2BA2"/>
    <w:rsid w:val="005F4693"/>
    <w:rsid w:val="00623602"/>
    <w:rsid w:val="0064279A"/>
    <w:rsid w:val="00651C98"/>
    <w:rsid w:val="006A5D23"/>
    <w:rsid w:val="006E3D58"/>
    <w:rsid w:val="00704EE5"/>
    <w:rsid w:val="00706372"/>
    <w:rsid w:val="007066E2"/>
    <w:rsid w:val="0072241F"/>
    <w:rsid w:val="00722640"/>
    <w:rsid w:val="0073197E"/>
    <w:rsid w:val="00746080"/>
    <w:rsid w:val="007508EC"/>
    <w:rsid w:val="00772B57"/>
    <w:rsid w:val="00781D04"/>
    <w:rsid w:val="007C2D45"/>
    <w:rsid w:val="007E1635"/>
    <w:rsid w:val="007F49EB"/>
    <w:rsid w:val="00805FDA"/>
    <w:rsid w:val="00812C1B"/>
    <w:rsid w:val="008173B1"/>
    <w:rsid w:val="00835AD0"/>
    <w:rsid w:val="00841787"/>
    <w:rsid w:val="008747B3"/>
    <w:rsid w:val="008813C3"/>
    <w:rsid w:val="008926F0"/>
    <w:rsid w:val="008964E8"/>
    <w:rsid w:val="008A48F6"/>
    <w:rsid w:val="008E6045"/>
    <w:rsid w:val="0090113B"/>
    <w:rsid w:val="0093258A"/>
    <w:rsid w:val="0094373C"/>
    <w:rsid w:val="00946DEE"/>
    <w:rsid w:val="00951E2B"/>
    <w:rsid w:val="00952939"/>
    <w:rsid w:val="00961EA0"/>
    <w:rsid w:val="00966FEC"/>
    <w:rsid w:val="00997291"/>
    <w:rsid w:val="009A5C44"/>
    <w:rsid w:val="009B03AF"/>
    <w:rsid w:val="009C4216"/>
    <w:rsid w:val="009D5F4B"/>
    <w:rsid w:val="009E626E"/>
    <w:rsid w:val="009E7CBF"/>
    <w:rsid w:val="00A07077"/>
    <w:rsid w:val="00A50DD0"/>
    <w:rsid w:val="00A516B0"/>
    <w:rsid w:val="00A5620A"/>
    <w:rsid w:val="00A61FAB"/>
    <w:rsid w:val="00AA06D9"/>
    <w:rsid w:val="00AB251C"/>
    <w:rsid w:val="00AC2406"/>
    <w:rsid w:val="00AD3FCF"/>
    <w:rsid w:val="00B03802"/>
    <w:rsid w:val="00B069AA"/>
    <w:rsid w:val="00B23A36"/>
    <w:rsid w:val="00B25576"/>
    <w:rsid w:val="00B25EF5"/>
    <w:rsid w:val="00B50EB2"/>
    <w:rsid w:val="00B6722A"/>
    <w:rsid w:val="00B82D78"/>
    <w:rsid w:val="00BA434C"/>
    <w:rsid w:val="00BA52E0"/>
    <w:rsid w:val="00BD4F65"/>
    <w:rsid w:val="00BD7607"/>
    <w:rsid w:val="00C06F9E"/>
    <w:rsid w:val="00C13E6B"/>
    <w:rsid w:val="00C2370B"/>
    <w:rsid w:val="00C27193"/>
    <w:rsid w:val="00C624D5"/>
    <w:rsid w:val="00C848A0"/>
    <w:rsid w:val="00C859E5"/>
    <w:rsid w:val="00C878C5"/>
    <w:rsid w:val="00C96AEA"/>
    <w:rsid w:val="00CC0B6D"/>
    <w:rsid w:val="00CD01B4"/>
    <w:rsid w:val="00CE1CD3"/>
    <w:rsid w:val="00CE4F01"/>
    <w:rsid w:val="00D21EF1"/>
    <w:rsid w:val="00D30F16"/>
    <w:rsid w:val="00D55546"/>
    <w:rsid w:val="00D57E8C"/>
    <w:rsid w:val="00D6213C"/>
    <w:rsid w:val="00D647C0"/>
    <w:rsid w:val="00D77694"/>
    <w:rsid w:val="00D77B0F"/>
    <w:rsid w:val="00DA61A7"/>
    <w:rsid w:val="00DA6D94"/>
    <w:rsid w:val="00DB6B52"/>
    <w:rsid w:val="00DE5488"/>
    <w:rsid w:val="00DE75AC"/>
    <w:rsid w:val="00DF5A52"/>
    <w:rsid w:val="00E17C58"/>
    <w:rsid w:val="00E231C2"/>
    <w:rsid w:val="00E429DA"/>
    <w:rsid w:val="00E616AB"/>
    <w:rsid w:val="00E62C2A"/>
    <w:rsid w:val="00E8586E"/>
    <w:rsid w:val="00E86F26"/>
    <w:rsid w:val="00E96A06"/>
    <w:rsid w:val="00EA0919"/>
    <w:rsid w:val="00EA259D"/>
    <w:rsid w:val="00EB5240"/>
    <w:rsid w:val="00EC0B55"/>
    <w:rsid w:val="00EE3753"/>
    <w:rsid w:val="00F034BF"/>
    <w:rsid w:val="00F05655"/>
    <w:rsid w:val="00F233A3"/>
    <w:rsid w:val="00F23D7A"/>
    <w:rsid w:val="00F26D30"/>
    <w:rsid w:val="00F57152"/>
    <w:rsid w:val="00F7362C"/>
    <w:rsid w:val="00F92F61"/>
    <w:rsid w:val="00FB6F10"/>
    <w:rsid w:val="00FC4CF8"/>
    <w:rsid w:val="00FC5D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1218</TotalTime>
  <Pages>2</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Amber Goher</cp:lastModifiedBy>
  <cp:revision>4</cp:revision>
  <cp:lastPrinted>2014-09-29T14:43:00Z</cp:lastPrinted>
  <dcterms:created xsi:type="dcterms:W3CDTF">2022-10-04T18:56:00Z</dcterms:created>
  <dcterms:modified xsi:type="dcterms:W3CDTF">2022-10-05T15:16:00Z</dcterms:modified>
</cp:coreProperties>
</file>