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03FB111A" w:rsidR="003832E7" w:rsidRPr="003832E7" w:rsidRDefault="00DF750C" w:rsidP="003832E7">
      <w:pPr>
        <w:pStyle w:val="Default"/>
        <w:jc w:val="right"/>
        <w:rPr>
          <w:rFonts w:ascii="Arial" w:hAnsi="Arial" w:cs="Arial"/>
          <w:sz w:val="22"/>
          <w:szCs w:val="22"/>
        </w:rPr>
      </w:pPr>
      <w:r>
        <w:rPr>
          <w:rFonts w:ascii="Arial" w:hAnsi="Arial" w:cs="Arial"/>
          <w:bCs/>
          <w:sz w:val="22"/>
          <w:szCs w:val="22"/>
        </w:rPr>
        <w:t>Oakville Hydro Electricity Distribution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2705475C" w:rsidR="00A07077" w:rsidRPr="00D57E8C" w:rsidRDefault="00623602" w:rsidP="00AB251C">
      <w:pPr>
        <w:pStyle w:val="Default"/>
        <w:spacing w:after="240"/>
        <w:jc w:val="right"/>
        <w:rPr>
          <w:rFonts w:ascii="Arial" w:hAnsi="Arial" w:cs="Arial"/>
          <w:sz w:val="22"/>
          <w:szCs w:val="22"/>
        </w:rPr>
      </w:pPr>
      <w:r>
        <w:rPr>
          <w:rFonts w:ascii="Arial" w:hAnsi="Arial" w:cs="Arial"/>
          <w:sz w:val="22"/>
          <w:szCs w:val="22"/>
        </w:rPr>
        <w:t>EB-202</w:t>
      </w:r>
      <w:r w:rsidR="005E27C0">
        <w:rPr>
          <w:rFonts w:ascii="Arial" w:hAnsi="Arial" w:cs="Arial"/>
          <w:sz w:val="22"/>
          <w:szCs w:val="22"/>
        </w:rPr>
        <w:t>2</w:t>
      </w:r>
      <w:r w:rsidR="009D5F4B" w:rsidRPr="00D57E8C">
        <w:rPr>
          <w:rFonts w:ascii="Arial" w:hAnsi="Arial" w:cs="Arial"/>
          <w:sz w:val="22"/>
          <w:szCs w:val="22"/>
        </w:rPr>
        <w:t>-</w:t>
      </w:r>
      <w:r w:rsidR="00DF750C">
        <w:rPr>
          <w:rFonts w:ascii="Arial" w:hAnsi="Arial" w:cs="Arial"/>
          <w:sz w:val="22"/>
          <w:szCs w:val="22"/>
        </w:rPr>
        <w:t>0055</w:t>
      </w:r>
    </w:p>
    <w:p w14:paraId="31F8E0D6" w14:textId="63500F8F" w:rsidR="00A07077" w:rsidRPr="00D57E8C" w:rsidRDefault="00DF750C" w:rsidP="00A07077">
      <w:pPr>
        <w:pStyle w:val="Default"/>
        <w:jc w:val="center"/>
        <w:rPr>
          <w:rFonts w:ascii="Arial" w:hAnsi="Arial" w:cs="Arial"/>
          <w:sz w:val="28"/>
          <w:szCs w:val="28"/>
        </w:rPr>
      </w:pPr>
      <w:r>
        <w:rPr>
          <w:rFonts w:ascii="Arial" w:hAnsi="Arial" w:cs="Arial"/>
          <w:b/>
          <w:bCs/>
          <w:sz w:val="28"/>
          <w:szCs w:val="28"/>
        </w:rPr>
        <w:t>Oakville Hydro Electricity Distribution Inc.</w:t>
      </w:r>
    </w:p>
    <w:p w14:paraId="33D6510D" w14:textId="0CA82235" w:rsidR="00A07077" w:rsidRDefault="00623602" w:rsidP="00AB251C">
      <w:pPr>
        <w:pStyle w:val="Default"/>
        <w:spacing w:after="360"/>
        <w:jc w:val="center"/>
        <w:rPr>
          <w:rFonts w:ascii="Arial" w:hAnsi="Arial" w:cs="Arial"/>
          <w:b/>
          <w:bCs/>
          <w:sz w:val="28"/>
          <w:szCs w:val="28"/>
        </w:rPr>
      </w:pPr>
      <w:r>
        <w:rPr>
          <w:rFonts w:ascii="Arial" w:hAnsi="Arial" w:cs="Arial"/>
          <w:b/>
          <w:bCs/>
          <w:sz w:val="28"/>
          <w:szCs w:val="28"/>
        </w:rPr>
        <w:t>EB-202</w:t>
      </w:r>
      <w:r w:rsidR="005E27C0">
        <w:rPr>
          <w:rFonts w:ascii="Arial" w:hAnsi="Arial" w:cs="Arial"/>
          <w:b/>
          <w:bCs/>
          <w:sz w:val="28"/>
          <w:szCs w:val="28"/>
        </w:rPr>
        <w:t>2</w:t>
      </w:r>
      <w:r w:rsidR="00B069AA" w:rsidRPr="00D57E8C">
        <w:rPr>
          <w:rFonts w:ascii="Arial" w:hAnsi="Arial" w:cs="Arial"/>
          <w:b/>
          <w:bCs/>
          <w:sz w:val="28"/>
          <w:szCs w:val="28"/>
        </w:rPr>
        <w:t>-</w:t>
      </w:r>
      <w:r w:rsidR="00DF750C">
        <w:rPr>
          <w:rFonts w:ascii="Arial" w:hAnsi="Arial" w:cs="Arial"/>
          <w:b/>
          <w:bCs/>
          <w:sz w:val="28"/>
          <w:szCs w:val="28"/>
        </w:rPr>
        <w:t>0055</w:t>
      </w:r>
    </w:p>
    <w:p w14:paraId="2A0CB1B0" w14:textId="38D5BF6D"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DF750C">
        <w:rPr>
          <w:rFonts w:ascii="Arial" w:eastAsia="Calibri" w:hAnsi="Arial" w:cs="Arial"/>
          <w:sz w:val="24"/>
          <w:szCs w:val="24"/>
        </w:rPr>
        <w:t>Oakville Hydro Electricity Distribution Inc.</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5E363555" w14:textId="13606F60" w:rsidR="00756DA9" w:rsidRPr="00447EA2" w:rsidRDefault="00756DA9" w:rsidP="00756DA9">
      <w:pPr>
        <w:spacing w:after="240"/>
        <w:rPr>
          <w:rFonts w:ascii="Arial" w:hAnsi="Arial" w:cs="Arial"/>
          <w:b/>
          <w:sz w:val="24"/>
          <w:szCs w:val="24"/>
        </w:rPr>
      </w:pPr>
      <w:bookmarkStart w:id="1" w:name="_Hlk111114891"/>
      <w:bookmarkStart w:id="2" w:name="_Hlk111119117"/>
      <w:bookmarkEnd w:id="0"/>
      <w:r w:rsidRPr="00447EA2">
        <w:rPr>
          <w:rFonts w:ascii="Arial" w:hAnsi="Arial" w:cs="Arial"/>
          <w:b/>
          <w:sz w:val="24"/>
          <w:szCs w:val="24"/>
        </w:rPr>
        <w:t>Staff Question-</w:t>
      </w:r>
      <w:r w:rsidR="00FE1FD7" w:rsidRPr="00447EA2">
        <w:rPr>
          <w:rFonts w:ascii="Arial" w:hAnsi="Arial" w:cs="Arial"/>
          <w:b/>
          <w:sz w:val="24"/>
          <w:szCs w:val="24"/>
        </w:rPr>
        <w:t>1</w:t>
      </w:r>
      <w:r w:rsidR="00AB4A52">
        <w:rPr>
          <w:rFonts w:ascii="Arial" w:hAnsi="Arial" w:cs="Arial"/>
          <w:b/>
          <w:sz w:val="24"/>
          <w:szCs w:val="24"/>
        </w:rPr>
        <w:t>8</w:t>
      </w:r>
    </w:p>
    <w:p w14:paraId="1BAACFC6" w14:textId="77777777" w:rsidR="00447EA2" w:rsidRPr="00447EA2" w:rsidRDefault="00756DA9" w:rsidP="00756DA9">
      <w:pPr>
        <w:spacing w:after="240"/>
        <w:rPr>
          <w:rFonts w:ascii="Arial" w:hAnsi="Arial" w:cs="Arial"/>
          <w:b/>
          <w:sz w:val="24"/>
          <w:szCs w:val="24"/>
        </w:rPr>
      </w:pPr>
      <w:bookmarkStart w:id="3" w:name="_Hlk111114923"/>
      <w:bookmarkStart w:id="4" w:name="_Hlk111117062"/>
      <w:bookmarkEnd w:id="1"/>
      <w:r w:rsidRPr="00447EA2">
        <w:rPr>
          <w:rFonts w:ascii="Arial" w:hAnsi="Arial" w:cs="Arial"/>
          <w:b/>
          <w:sz w:val="24"/>
          <w:szCs w:val="24"/>
        </w:rPr>
        <w:t>Ref:</w:t>
      </w:r>
    </w:p>
    <w:p w14:paraId="43B76834" w14:textId="28CB804D" w:rsidR="00AB4A52" w:rsidRDefault="00AB4A52" w:rsidP="00AB4A52">
      <w:pPr>
        <w:pStyle w:val="ListParagraph"/>
        <w:numPr>
          <w:ilvl w:val="0"/>
          <w:numId w:val="12"/>
        </w:numPr>
        <w:spacing w:after="240"/>
        <w:rPr>
          <w:rFonts w:ascii="Arial" w:hAnsi="Arial" w:cs="Arial"/>
          <w:bCs/>
          <w:sz w:val="24"/>
          <w:szCs w:val="24"/>
        </w:rPr>
      </w:pPr>
      <w:r>
        <w:rPr>
          <w:rFonts w:ascii="Arial" w:hAnsi="Arial" w:cs="Arial"/>
          <w:bCs/>
          <w:sz w:val="24"/>
          <w:szCs w:val="24"/>
        </w:rPr>
        <w:t>Response to Staff Question 11</w:t>
      </w:r>
    </w:p>
    <w:p w14:paraId="373A61A9" w14:textId="77777777" w:rsidR="000B56ED" w:rsidRPr="00AD108D" w:rsidRDefault="009E6CF9" w:rsidP="000B56ED">
      <w:pPr>
        <w:rPr>
          <w:rFonts w:ascii="Arial" w:eastAsia="Calibri" w:hAnsi="Arial" w:cs="Arial"/>
          <w:sz w:val="24"/>
          <w:szCs w:val="24"/>
          <w:lang w:val="en-US"/>
        </w:rPr>
      </w:pPr>
      <w:r w:rsidRPr="00447EA2">
        <w:rPr>
          <w:rFonts w:ascii="Arial" w:hAnsi="Arial" w:cs="Arial"/>
          <w:b/>
          <w:sz w:val="24"/>
          <w:szCs w:val="24"/>
        </w:rPr>
        <w:t>Question:</w:t>
      </w:r>
      <w:r w:rsidRPr="00447EA2">
        <w:rPr>
          <w:rFonts w:ascii="Arial" w:hAnsi="Arial" w:cs="Arial"/>
          <w:bCs/>
          <w:sz w:val="24"/>
          <w:szCs w:val="24"/>
        </w:rPr>
        <w:t xml:space="preserve"> </w:t>
      </w:r>
      <w:r w:rsidR="000B56ED" w:rsidRPr="00AD108D">
        <w:rPr>
          <w:rFonts w:ascii="Arial" w:eastAsia="Calibri" w:hAnsi="Arial" w:cs="Arial"/>
          <w:sz w:val="24"/>
          <w:szCs w:val="24"/>
          <w:lang w:val="en-US"/>
        </w:rPr>
        <w:t xml:space="preserve">The expectation is that distributors with prospective LRAMVA balances, beginning with 2023 amounts, will seek disposition at the time of the corresponding rate year. That means that for distributors with 2023 prospective LRAMVA balances, the expectation is that these amounts will be included in the 2023 rate generator model and addressed as part of this year’s rate applications. </w:t>
      </w:r>
    </w:p>
    <w:p w14:paraId="76AE01A2" w14:textId="77777777" w:rsidR="000B56ED" w:rsidRPr="000B56ED" w:rsidRDefault="000B56ED" w:rsidP="000B56ED">
      <w:pPr>
        <w:spacing w:after="0" w:line="240" w:lineRule="auto"/>
        <w:rPr>
          <w:rFonts w:ascii="Arial" w:eastAsia="Calibri" w:hAnsi="Arial" w:cs="Arial"/>
          <w:sz w:val="24"/>
          <w:szCs w:val="24"/>
          <w:lang w:val="en-US"/>
        </w:rPr>
      </w:pPr>
      <w:r w:rsidRPr="000B56ED">
        <w:rPr>
          <w:rFonts w:ascii="Arial" w:eastAsia="Calibri" w:hAnsi="Arial" w:cs="Arial"/>
          <w:sz w:val="24"/>
          <w:szCs w:val="24"/>
          <w:lang w:val="en-US"/>
        </w:rPr>
        <w:t xml:space="preserve">The OEB issued some updated guidance on this in June: </w:t>
      </w:r>
      <w:hyperlink r:id="rId6" w:history="1">
        <w:r w:rsidRPr="000B56ED">
          <w:rPr>
            <w:rFonts w:ascii="Arial" w:eastAsia="Calibri" w:hAnsi="Arial" w:cs="Arial"/>
            <w:color w:val="0563C1"/>
            <w:sz w:val="24"/>
            <w:szCs w:val="24"/>
            <w:u w:val="single"/>
            <w:lang w:val="en-US"/>
          </w:rPr>
          <w:t>Guidance on Prospective Lost Revenue Adjustment Mechanism (LRAM) Amounts – 2023 Rates</w:t>
        </w:r>
      </w:hyperlink>
      <w:r w:rsidRPr="000B56ED">
        <w:rPr>
          <w:rFonts w:ascii="Arial" w:eastAsia="Calibri" w:hAnsi="Arial" w:cs="Arial"/>
          <w:sz w:val="24"/>
          <w:szCs w:val="24"/>
          <w:lang w:val="en-US"/>
        </w:rPr>
        <w:t xml:space="preserve">. </w:t>
      </w:r>
    </w:p>
    <w:p w14:paraId="0C818DA7" w14:textId="77777777" w:rsidR="000B56ED" w:rsidRPr="000B56ED" w:rsidRDefault="000B56ED" w:rsidP="000B56ED">
      <w:pPr>
        <w:spacing w:after="0" w:line="240" w:lineRule="auto"/>
        <w:rPr>
          <w:rFonts w:ascii="Arial" w:eastAsia="Calibri" w:hAnsi="Arial" w:cs="Arial"/>
          <w:sz w:val="24"/>
          <w:szCs w:val="24"/>
          <w:lang w:val="en-US"/>
        </w:rPr>
      </w:pPr>
    </w:p>
    <w:p w14:paraId="6124056D" w14:textId="3A08A04F" w:rsidR="000B56ED" w:rsidRPr="000B56ED" w:rsidRDefault="000B56ED" w:rsidP="000B56ED">
      <w:pPr>
        <w:spacing w:after="0" w:line="240" w:lineRule="auto"/>
        <w:rPr>
          <w:rFonts w:ascii="Arial" w:eastAsia="Calibri" w:hAnsi="Arial" w:cs="Arial"/>
          <w:sz w:val="24"/>
          <w:szCs w:val="24"/>
          <w:lang w:val="en-US"/>
        </w:rPr>
      </w:pPr>
      <w:r w:rsidRPr="000B56ED">
        <w:rPr>
          <w:rFonts w:ascii="Arial" w:eastAsia="Calibri" w:hAnsi="Arial" w:cs="Arial"/>
          <w:sz w:val="24"/>
          <w:szCs w:val="24"/>
          <w:lang w:val="en-US"/>
        </w:rPr>
        <w:t xml:space="preserve">Oakville’s rate generator model </w:t>
      </w:r>
      <w:r w:rsidR="00AD108D" w:rsidRPr="00AD108D">
        <w:rPr>
          <w:rFonts w:ascii="Arial" w:eastAsia="Calibri" w:hAnsi="Arial" w:cs="Arial"/>
          <w:sz w:val="24"/>
          <w:szCs w:val="24"/>
          <w:lang w:val="en-US"/>
        </w:rPr>
        <w:t>will</w:t>
      </w:r>
      <w:r w:rsidRPr="000B56ED">
        <w:rPr>
          <w:rFonts w:ascii="Arial" w:eastAsia="Calibri" w:hAnsi="Arial" w:cs="Arial"/>
          <w:sz w:val="24"/>
          <w:szCs w:val="24"/>
          <w:lang w:val="en-US"/>
        </w:rPr>
        <w:t xml:space="preserve"> be updated to include the rate riders from the prospective 2023 LRAMVA balances in Tab 18. The rate riders </w:t>
      </w:r>
      <w:r w:rsidR="00AD108D" w:rsidRPr="00AD108D">
        <w:rPr>
          <w:rFonts w:ascii="Arial" w:eastAsia="Calibri" w:hAnsi="Arial" w:cs="Arial"/>
          <w:sz w:val="24"/>
          <w:szCs w:val="24"/>
          <w:lang w:val="en-US"/>
        </w:rPr>
        <w:t>will then</w:t>
      </w:r>
      <w:r w:rsidRPr="000B56ED">
        <w:rPr>
          <w:rFonts w:ascii="Arial" w:eastAsia="Calibri" w:hAnsi="Arial" w:cs="Arial"/>
          <w:sz w:val="24"/>
          <w:szCs w:val="24"/>
          <w:lang w:val="en-US"/>
        </w:rPr>
        <w:t xml:space="preserve"> then be carried over into the Final Tariff Schedule, Tab 19. The prospective 2023 LRAMVA balances will then only need to be updated by the annual inflation update</w:t>
      </w:r>
      <w:r w:rsidR="00AD108D" w:rsidRPr="00AD108D">
        <w:rPr>
          <w:rFonts w:ascii="Arial" w:eastAsia="Calibri" w:hAnsi="Arial" w:cs="Arial"/>
          <w:sz w:val="24"/>
          <w:szCs w:val="24"/>
          <w:lang w:val="en-US"/>
        </w:rPr>
        <w:t xml:space="preserve">. </w:t>
      </w:r>
    </w:p>
    <w:p w14:paraId="3DF1048F" w14:textId="77777777" w:rsidR="000B56ED" w:rsidRPr="000B56ED" w:rsidRDefault="000B56ED" w:rsidP="000B56ED">
      <w:pPr>
        <w:spacing w:after="0" w:line="240" w:lineRule="auto"/>
        <w:rPr>
          <w:rFonts w:ascii="Arial" w:eastAsia="Calibri" w:hAnsi="Arial" w:cs="Arial"/>
          <w:sz w:val="24"/>
          <w:szCs w:val="24"/>
          <w:lang w:val="en-US"/>
        </w:rPr>
      </w:pPr>
    </w:p>
    <w:p w14:paraId="6248B33F" w14:textId="77777777" w:rsidR="000B56ED" w:rsidRPr="000B56ED" w:rsidRDefault="000B56ED" w:rsidP="000B56ED">
      <w:pPr>
        <w:spacing w:after="0" w:line="240" w:lineRule="auto"/>
        <w:rPr>
          <w:rFonts w:ascii="Arial" w:eastAsia="Calibri" w:hAnsi="Arial" w:cs="Arial"/>
          <w:sz w:val="24"/>
          <w:szCs w:val="24"/>
          <w:lang w:val="en-US"/>
        </w:rPr>
      </w:pPr>
      <w:r w:rsidRPr="000B56ED">
        <w:rPr>
          <w:rFonts w:ascii="Arial" w:eastAsia="Calibri" w:hAnsi="Arial" w:cs="Arial"/>
          <w:sz w:val="24"/>
          <w:szCs w:val="24"/>
          <w:lang w:val="en-US"/>
        </w:rPr>
        <w:t>The following distributors have incorporated the prospective 2023 LRAMVA balances consistent with the OEB’s expectations and can be used as examples:</w:t>
      </w:r>
    </w:p>
    <w:p w14:paraId="1A1154CD" w14:textId="77777777" w:rsidR="000B56ED" w:rsidRPr="000B56ED" w:rsidRDefault="000B56ED" w:rsidP="00AD108D">
      <w:pPr>
        <w:numPr>
          <w:ilvl w:val="0"/>
          <w:numId w:val="15"/>
        </w:numPr>
        <w:spacing w:after="0" w:line="240" w:lineRule="auto"/>
        <w:rPr>
          <w:rFonts w:ascii="Arial" w:eastAsia="Times New Roman" w:hAnsi="Arial" w:cs="Arial"/>
          <w:sz w:val="24"/>
          <w:szCs w:val="24"/>
          <w:lang w:val="en-US"/>
        </w:rPr>
      </w:pPr>
      <w:hyperlink r:id="rId7" w:history="1">
        <w:r w:rsidRPr="000B56ED">
          <w:rPr>
            <w:rFonts w:ascii="Arial" w:eastAsia="Times New Roman" w:hAnsi="Arial" w:cs="Arial"/>
            <w:color w:val="0563C1"/>
            <w:sz w:val="24"/>
            <w:szCs w:val="24"/>
            <w:u w:val="single"/>
            <w:lang w:val="en-US"/>
          </w:rPr>
          <w:t>EnWin</w:t>
        </w:r>
      </w:hyperlink>
      <w:r w:rsidRPr="000B56ED">
        <w:rPr>
          <w:rFonts w:ascii="Arial" w:eastAsia="Times New Roman" w:hAnsi="Arial" w:cs="Arial"/>
          <w:sz w:val="24"/>
          <w:szCs w:val="24"/>
          <w:lang w:val="en-US"/>
        </w:rPr>
        <w:t xml:space="preserve"> – included in rate generator as part of its pre-filed evidence</w:t>
      </w:r>
    </w:p>
    <w:p w14:paraId="25EEF8F1" w14:textId="77777777" w:rsidR="000B56ED" w:rsidRPr="000B56ED" w:rsidRDefault="000B56ED" w:rsidP="00AD108D">
      <w:pPr>
        <w:numPr>
          <w:ilvl w:val="0"/>
          <w:numId w:val="15"/>
        </w:numPr>
        <w:spacing w:after="0" w:line="240" w:lineRule="auto"/>
        <w:rPr>
          <w:rFonts w:ascii="Arial" w:eastAsia="Times New Roman" w:hAnsi="Arial" w:cs="Arial"/>
          <w:sz w:val="24"/>
          <w:szCs w:val="24"/>
          <w:lang w:val="en-US"/>
        </w:rPr>
      </w:pPr>
      <w:hyperlink r:id="rId8" w:history="1">
        <w:r w:rsidRPr="000B56ED">
          <w:rPr>
            <w:rFonts w:ascii="Arial" w:eastAsia="Times New Roman" w:hAnsi="Arial" w:cs="Arial"/>
            <w:color w:val="0563C1"/>
            <w:sz w:val="24"/>
            <w:szCs w:val="24"/>
            <w:u w:val="single"/>
            <w:lang w:val="en-US"/>
          </w:rPr>
          <w:t>Hydro One – Orillia &amp; Peterborough</w:t>
        </w:r>
      </w:hyperlink>
      <w:r w:rsidRPr="000B56ED">
        <w:rPr>
          <w:rFonts w:ascii="Arial" w:eastAsia="Times New Roman" w:hAnsi="Arial" w:cs="Arial"/>
          <w:sz w:val="24"/>
          <w:szCs w:val="24"/>
          <w:lang w:val="en-US"/>
        </w:rPr>
        <w:t xml:space="preserve"> – included in rate generator as part of its pre-filed evidence (Appendix E-1)</w:t>
      </w:r>
    </w:p>
    <w:p w14:paraId="5BD0FF6E" w14:textId="5255767B" w:rsidR="000B56ED" w:rsidRDefault="000B56ED" w:rsidP="00AD108D">
      <w:pPr>
        <w:numPr>
          <w:ilvl w:val="0"/>
          <w:numId w:val="15"/>
        </w:numPr>
        <w:spacing w:after="0" w:line="240" w:lineRule="auto"/>
        <w:rPr>
          <w:rFonts w:ascii="Arial" w:eastAsia="Times New Roman" w:hAnsi="Arial" w:cs="Arial"/>
          <w:sz w:val="24"/>
          <w:szCs w:val="24"/>
          <w:lang w:val="en-US"/>
        </w:rPr>
      </w:pPr>
      <w:hyperlink r:id="rId9" w:history="1">
        <w:r w:rsidRPr="000B56ED">
          <w:rPr>
            <w:rFonts w:ascii="Arial" w:eastAsia="Times New Roman" w:hAnsi="Arial" w:cs="Arial"/>
            <w:color w:val="0563C1"/>
            <w:sz w:val="24"/>
            <w:szCs w:val="24"/>
            <w:u w:val="single"/>
            <w:lang w:val="en-US"/>
          </w:rPr>
          <w:t>Niagara-on-the-Lake</w:t>
        </w:r>
      </w:hyperlink>
      <w:r w:rsidRPr="000B56ED">
        <w:rPr>
          <w:rFonts w:ascii="Arial" w:eastAsia="Times New Roman" w:hAnsi="Arial" w:cs="Arial"/>
          <w:sz w:val="24"/>
          <w:szCs w:val="24"/>
          <w:lang w:val="en-US"/>
        </w:rPr>
        <w:t xml:space="preserve"> – included in updated rate generator model as part of interrogatory responses, Sept 19, 2022</w:t>
      </w:r>
    </w:p>
    <w:p w14:paraId="33AF3C2E" w14:textId="77777777" w:rsidR="00AD108D" w:rsidRPr="000B56ED" w:rsidRDefault="00AD108D" w:rsidP="00AD108D">
      <w:pPr>
        <w:spacing w:after="0" w:line="240" w:lineRule="auto"/>
        <w:ind w:left="720"/>
        <w:rPr>
          <w:rFonts w:ascii="Arial" w:eastAsia="Times New Roman" w:hAnsi="Arial" w:cs="Arial"/>
          <w:sz w:val="24"/>
          <w:szCs w:val="24"/>
          <w:lang w:val="en-US"/>
        </w:rPr>
      </w:pPr>
    </w:p>
    <w:p w14:paraId="21BDB5B9" w14:textId="2B857715" w:rsidR="009E6CF9" w:rsidRPr="007E5EBB" w:rsidRDefault="00AD108D" w:rsidP="00054F7C">
      <w:pPr>
        <w:pStyle w:val="ListParagraph"/>
        <w:numPr>
          <w:ilvl w:val="0"/>
          <w:numId w:val="16"/>
        </w:numPr>
        <w:spacing w:after="240"/>
        <w:rPr>
          <w:rFonts w:ascii="Arial" w:hAnsi="Arial" w:cs="Arial"/>
          <w:bCs/>
          <w:sz w:val="24"/>
          <w:szCs w:val="24"/>
        </w:rPr>
      </w:pPr>
      <w:r w:rsidRPr="007E5EBB">
        <w:rPr>
          <w:rFonts w:ascii="Arial" w:hAnsi="Arial" w:cs="Arial"/>
          <w:bCs/>
          <w:sz w:val="24"/>
          <w:szCs w:val="24"/>
        </w:rPr>
        <w:t>Please share a</w:t>
      </w:r>
      <w:r w:rsidR="007E5EBB">
        <w:rPr>
          <w:rFonts w:ascii="Arial" w:hAnsi="Arial" w:cs="Arial"/>
          <w:bCs/>
          <w:sz w:val="24"/>
          <w:szCs w:val="24"/>
        </w:rPr>
        <w:t>n updated</w:t>
      </w:r>
      <w:r w:rsidRPr="007E5EBB">
        <w:rPr>
          <w:rFonts w:ascii="Arial" w:hAnsi="Arial" w:cs="Arial"/>
          <w:bCs/>
          <w:sz w:val="24"/>
          <w:szCs w:val="24"/>
        </w:rPr>
        <w:t xml:space="preserve"> table with all applicable rate riders</w:t>
      </w:r>
      <w:r w:rsidR="007E5EBB">
        <w:rPr>
          <w:rFonts w:ascii="Arial" w:hAnsi="Arial" w:cs="Arial"/>
          <w:bCs/>
          <w:sz w:val="24"/>
          <w:szCs w:val="24"/>
        </w:rPr>
        <w:t>.</w:t>
      </w:r>
    </w:p>
    <w:bookmarkEnd w:id="3"/>
    <w:bookmarkEnd w:id="4"/>
    <w:bookmarkEnd w:id="2"/>
    <w:sectPr w:rsidR="009E6CF9" w:rsidRPr="007E5EBB"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DAE"/>
    <w:multiLevelType w:val="hybridMultilevel"/>
    <w:tmpl w:val="F072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F6E04"/>
    <w:multiLevelType w:val="hybridMultilevel"/>
    <w:tmpl w:val="F87C5BC4"/>
    <w:lvl w:ilvl="0" w:tplc="1C44E0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640805"/>
    <w:multiLevelType w:val="hybridMultilevel"/>
    <w:tmpl w:val="F5B0F4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892798"/>
    <w:multiLevelType w:val="hybridMultilevel"/>
    <w:tmpl w:val="5E485D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056E4C"/>
    <w:multiLevelType w:val="hybridMultilevel"/>
    <w:tmpl w:val="FED01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A7D34"/>
    <w:multiLevelType w:val="hybridMultilevel"/>
    <w:tmpl w:val="5E485D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474833"/>
    <w:multiLevelType w:val="hybridMultilevel"/>
    <w:tmpl w:val="E6F6E7C4"/>
    <w:lvl w:ilvl="0" w:tplc="8F2C21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86D46F5"/>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1E37AEA"/>
    <w:multiLevelType w:val="hybridMultilevel"/>
    <w:tmpl w:val="C8760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B609C"/>
    <w:multiLevelType w:val="hybridMultilevel"/>
    <w:tmpl w:val="23865514"/>
    <w:lvl w:ilvl="0" w:tplc="8B188E0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AB15C48"/>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D663732"/>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F375A4A"/>
    <w:multiLevelType w:val="hybridMultilevel"/>
    <w:tmpl w:val="E9D8C6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67C51A2"/>
    <w:multiLevelType w:val="hybridMultilevel"/>
    <w:tmpl w:val="1818AC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F96A9F"/>
    <w:multiLevelType w:val="hybridMultilevel"/>
    <w:tmpl w:val="6830883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1"/>
  </w:num>
  <w:num w:numId="2">
    <w:abstractNumId w:val="0"/>
  </w:num>
  <w:num w:numId="3">
    <w:abstractNumId w:val="10"/>
  </w:num>
  <w:num w:numId="4">
    <w:abstractNumId w:val="8"/>
  </w:num>
  <w:num w:numId="5">
    <w:abstractNumId w:val="7"/>
  </w:num>
  <w:num w:numId="6">
    <w:abstractNumId w:val="5"/>
  </w:num>
  <w:num w:numId="7">
    <w:abstractNumId w:val="3"/>
  </w:num>
  <w:num w:numId="8">
    <w:abstractNumId w:val="12"/>
  </w:num>
  <w:num w:numId="9">
    <w:abstractNumId w:val="1"/>
  </w:num>
  <w:num w:numId="10">
    <w:abstractNumId w:val="9"/>
  </w:num>
  <w:num w:numId="11">
    <w:abstractNumId w:val="6"/>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4"/>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A7A8D"/>
    <w:rsid w:val="000B0A57"/>
    <w:rsid w:val="000B3E7E"/>
    <w:rsid w:val="000B56ED"/>
    <w:rsid w:val="000D223C"/>
    <w:rsid w:val="000E4006"/>
    <w:rsid w:val="000E6465"/>
    <w:rsid w:val="000F0E95"/>
    <w:rsid w:val="000F1E3A"/>
    <w:rsid w:val="0010293C"/>
    <w:rsid w:val="00133BE1"/>
    <w:rsid w:val="00164E99"/>
    <w:rsid w:val="00183CC8"/>
    <w:rsid w:val="00187E9B"/>
    <w:rsid w:val="001927C2"/>
    <w:rsid w:val="0019526D"/>
    <w:rsid w:val="001A4DCD"/>
    <w:rsid w:val="00203092"/>
    <w:rsid w:val="0020412A"/>
    <w:rsid w:val="002208C0"/>
    <w:rsid w:val="00224C06"/>
    <w:rsid w:val="002405D4"/>
    <w:rsid w:val="0025687C"/>
    <w:rsid w:val="00274A48"/>
    <w:rsid w:val="00291CCC"/>
    <w:rsid w:val="002A1948"/>
    <w:rsid w:val="002A6415"/>
    <w:rsid w:val="002B7B7C"/>
    <w:rsid w:val="002C2BF2"/>
    <w:rsid w:val="002C7EF6"/>
    <w:rsid w:val="002D4924"/>
    <w:rsid w:val="002F4756"/>
    <w:rsid w:val="00302509"/>
    <w:rsid w:val="003049C5"/>
    <w:rsid w:val="00312EB8"/>
    <w:rsid w:val="003303BF"/>
    <w:rsid w:val="00340C00"/>
    <w:rsid w:val="003702D1"/>
    <w:rsid w:val="00373FAD"/>
    <w:rsid w:val="003777B5"/>
    <w:rsid w:val="003832E7"/>
    <w:rsid w:val="00390F2B"/>
    <w:rsid w:val="003A20A0"/>
    <w:rsid w:val="003A5152"/>
    <w:rsid w:val="003A58B0"/>
    <w:rsid w:val="003F5BCB"/>
    <w:rsid w:val="00400DFC"/>
    <w:rsid w:val="00412DC6"/>
    <w:rsid w:val="00425009"/>
    <w:rsid w:val="004377B0"/>
    <w:rsid w:val="00445BB6"/>
    <w:rsid w:val="00447EA2"/>
    <w:rsid w:val="00472C81"/>
    <w:rsid w:val="00475032"/>
    <w:rsid w:val="004859EF"/>
    <w:rsid w:val="00511EC2"/>
    <w:rsid w:val="00514AAF"/>
    <w:rsid w:val="005164F5"/>
    <w:rsid w:val="0052560F"/>
    <w:rsid w:val="00526BDF"/>
    <w:rsid w:val="005666F2"/>
    <w:rsid w:val="00572064"/>
    <w:rsid w:val="00584369"/>
    <w:rsid w:val="00587A35"/>
    <w:rsid w:val="005E27C0"/>
    <w:rsid w:val="005F4693"/>
    <w:rsid w:val="00623602"/>
    <w:rsid w:val="0064279A"/>
    <w:rsid w:val="00651C98"/>
    <w:rsid w:val="006A5D23"/>
    <w:rsid w:val="006C2D07"/>
    <w:rsid w:val="006E3D58"/>
    <w:rsid w:val="00703AA4"/>
    <w:rsid w:val="00704EE5"/>
    <w:rsid w:val="007066E2"/>
    <w:rsid w:val="00721318"/>
    <w:rsid w:val="0072241F"/>
    <w:rsid w:val="00722640"/>
    <w:rsid w:val="0073197E"/>
    <w:rsid w:val="00746080"/>
    <w:rsid w:val="007508EC"/>
    <w:rsid w:val="00756DA9"/>
    <w:rsid w:val="00772B57"/>
    <w:rsid w:val="00772F96"/>
    <w:rsid w:val="00781D04"/>
    <w:rsid w:val="007A60D9"/>
    <w:rsid w:val="007C2D45"/>
    <w:rsid w:val="007E5EBB"/>
    <w:rsid w:val="007F49EB"/>
    <w:rsid w:val="00805FDA"/>
    <w:rsid w:val="00810DEE"/>
    <w:rsid w:val="00812C1B"/>
    <w:rsid w:val="0081496E"/>
    <w:rsid w:val="008173B1"/>
    <w:rsid w:val="00835AD0"/>
    <w:rsid w:val="00841787"/>
    <w:rsid w:val="00846716"/>
    <w:rsid w:val="008747B3"/>
    <w:rsid w:val="008813C3"/>
    <w:rsid w:val="00884852"/>
    <w:rsid w:val="008926F0"/>
    <w:rsid w:val="008964E8"/>
    <w:rsid w:val="008A48F6"/>
    <w:rsid w:val="008E6045"/>
    <w:rsid w:val="0090113B"/>
    <w:rsid w:val="00902F53"/>
    <w:rsid w:val="0093258A"/>
    <w:rsid w:val="0094373C"/>
    <w:rsid w:val="00946DEE"/>
    <w:rsid w:val="00951E2B"/>
    <w:rsid w:val="00952939"/>
    <w:rsid w:val="00961EA0"/>
    <w:rsid w:val="009A5C44"/>
    <w:rsid w:val="009B03AF"/>
    <w:rsid w:val="009C4216"/>
    <w:rsid w:val="009D5F4B"/>
    <w:rsid w:val="009E626E"/>
    <w:rsid w:val="009E6CF9"/>
    <w:rsid w:val="009E7CBF"/>
    <w:rsid w:val="00A07077"/>
    <w:rsid w:val="00A50DD0"/>
    <w:rsid w:val="00A516B0"/>
    <w:rsid w:val="00A556D4"/>
    <w:rsid w:val="00A5620A"/>
    <w:rsid w:val="00AA06D9"/>
    <w:rsid w:val="00AB251C"/>
    <w:rsid w:val="00AB4A52"/>
    <w:rsid w:val="00AC2406"/>
    <w:rsid w:val="00AD108D"/>
    <w:rsid w:val="00AD3FCF"/>
    <w:rsid w:val="00AE5155"/>
    <w:rsid w:val="00B03802"/>
    <w:rsid w:val="00B069AA"/>
    <w:rsid w:val="00B23A36"/>
    <w:rsid w:val="00B25576"/>
    <w:rsid w:val="00B25EF5"/>
    <w:rsid w:val="00B50EB2"/>
    <w:rsid w:val="00B6722A"/>
    <w:rsid w:val="00B82D78"/>
    <w:rsid w:val="00BA434C"/>
    <w:rsid w:val="00BD4F65"/>
    <w:rsid w:val="00BD7607"/>
    <w:rsid w:val="00C06F9E"/>
    <w:rsid w:val="00C13E6B"/>
    <w:rsid w:val="00C2370B"/>
    <w:rsid w:val="00C27193"/>
    <w:rsid w:val="00C624D5"/>
    <w:rsid w:val="00C663BD"/>
    <w:rsid w:val="00C848A0"/>
    <w:rsid w:val="00C859E5"/>
    <w:rsid w:val="00C878C5"/>
    <w:rsid w:val="00C955F0"/>
    <w:rsid w:val="00C96AEA"/>
    <w:rsid w:val="00CC0B6D"/>
    <w:rsid w:val="00CD01B4"/>
    <w:rsid w:val="00CE1CD3"/>
    <w:rsid w:val="00CE4F01"/>
    <w:rsid w:val="00CF10B1"/>
    <w:rsid w:val="00D30F16"/>
    <w:rsid w:val="00D55546"/>
    <w:rsid w:val="00D57E8C"/>
    <w:rsid w:val="00D6213C"/>
    <w:rsid w:val="00D647C0"/>
    <w:rsid w:val="00D77694"/>
    <w:rsid w:val="00D77B0F"/>
    <w:rsid w:val="00DB6B52"/>
    <w:rsid w:val="00DE5488"/>
    <w:rsid w:val="00DE75AC"/>
    <w:rsid w:val="00DF5A52"/>
    <w:rsid w:val="00DF750C"/>
    <w:rsid w:val="00E17C58"/>
    <w:rsid w:val="00E231C2"/>
    <w:rsid w:val="00E429DA"/>
    <w:rsid w:val="00E616AB"/>
    <w:rsid w:val="00E62C2A"/>
    <w:rsid w:val="00E76794"/>
    <w:rsid w:val="00E8586E"/>
    <w:rsid w:val="00E86F26"/>
    <w:rsid w:val="00E96A06"/>
    <w:rsid w:val="00EA0919"/>
    <w:rsid w:val="00EB5240"/>
    <w:rsid w:val="00EC0B55"/>
    <w:rsid w:val="00ED07F4"/>
    <w:rsid w:val="00EE3753"/>
    <w:rsid w:val="00F034BF"/>
    <w:rsid w:val="00F233A3"/>
    <w:rsid w:val="00F23D7A"/>
    <w:rsid w:val="00F26D30"/>
    <w:rsid w:val="00F57152"/>
    <w:rsid w:val="00F7362C"/>
    <w:rsid w:val="00F92F61"/>
    <w:rsid w:val="00FB6F10"/>
    <w:rsid w:val="00FC4CF8"/>
    <w:rsid w:val="00FC5DA7"/>
    <w:rsid w:val="00FE1F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34778315">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ds.oeb.ca/CMWebDrawer/Record?q=CaseNumber=EB-2022-0040&amp;sortBy=recRegisteredOn-&amp;pageSize=400" TargetMode="External"/><Relationship Id="rId3" Type="http://schemas.openxmlformats.org/officeDocument/2006/relationships/styles" Target="styles.xml"/><Relationship Id="rId7" Type="http://schemas.openxmlformats.org/officeDocument/2006/relationships/hyperlink" Target="https://www.rds.oeb.ca/CMWebDrawer/Record?q=CaseNumber=EB-2022-0027&amp;sortBy=recRegisteredOn-&amp;pageSize=4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eb.ca/sites/default/files/LRAMVA-Workform-Instructions%20-%20Prospective%20Lost%20Revenues.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ds.oeb.ca/CMWebDrawer/Record?q=CaseNumber=EB-2022-0052&amp;sortBy=recRegisteredOn-&amp;pageSize=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Amber Goher</cp:lastModifiedBy>
  <cp:revision>4</cp:revision>
  <cp:lastPrinted>2014-09-29T14:43:00Z</cp:lastPrinted>
  <dcterms:created xsi:type="dcterms:W3CDTF">2022-10-21T15:19:00Z</dcterms:created>
  <dcterms:modified xsi:type="dcterms:W3CDTF">2022-10-21T18:36:00Z</dcterms:modified>
</cp:coreProperties>
</file>