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CC943" w14:textId="77777777" w:rsidR="00B17476" w:rsidRPr="00B17476" w:rsidRDefault="00B17476" w:rsidP="00B17476">
      <w:pPr>
        <w:autoSpaceDE w:val="0"/>
        <w:autoSpaceDN w:val="0"/>
        <w:adjustRightInd w:val="0"/>
        <w:spacing w:after="240" w:line="240" w:lineRule="auto"/>
        <w:jc w:val="center"/>
        <w:rPr>
          <w:rFonts w:cstheme="minorHAnsi"/>
          <w:b/>
          <w:bCs/>
          <w:color w:val="000000"/>
          <w:sz w:val="28"/>
          <w:szCs w:val="28"/>
        </w:rPr>
      </w:pPr>
      <w:bookmarkStart w:id="0" w:name="_Hlk55806661"/>
      <w:bookmarkStart w:id="1" w:name="_Hlk115274466"/>
      <w:bookmarkEnd w:id="1"/>
      <w:r w:rsidRPr="00B17476">
        <w:rPr>
          <w:rFonts w:cstheme="minorHAnsi"/>
          <w:b/>
          <w:bCs/>
          <w:color w:val="000000"/>
          <w:sz w:val="28"/>
          <w:szCs w:val="28"/>
        </w:rPr>
        <w:t>Oakville Hydro Electricity Distribution Inc.</w:t>
      </w:r>
    </w:p>
    <w:p w14:paraId="3ED1BB06" w14:textId="49E2FAC8" w:rsidR="00B17476" w:rsidRPr="00B17476" w:rsidRDefault="00B17476" w:rsidP="00B17476">
      <w:pPr>
        <w:autoSpaceDE w:val="0"/>
        <w:autoSpaceDN w:val="0"/>
        <w:adjustRightInd w:val="0"/>
        <w:spacing w:after="240" w:line="240" w:lineRule="auto"/>
        <w:jc w:val="center"/>
        <w:rPr>
          <w:rFonts w:cstheme="minorHAnsi"/>
          <w:b/>
          <w:bCs/>
          <w:color w:val="000000"/>
          <w:sz w:val="28"/>
          <w:szCs w:val="28"/>
        </w:rPr>
      </w:pPr>
      <w:r w:rsidRPr="00B17476">
        <w:rPr>
          <w:rFonts w:cstheme="minorHAnsi"/>
          <w:b/>
          <w:bCs/>
          <w:color w:val="000000"/>
          <w:sz w:val="28"/>
          <w:szCs w:val="28"/>
        </w:rPr>
        <w:t>202</w:t>
      </w:r>
      <w:r w:rsidR="00C9157F">
        <w:rPr>
          <w:rFonts w:cstheme="minorHAnsi"/>
          <w:b/>
          <w:bCs/>
          <w:color w:val="000000"/>
          <w:sz w:val="28"/>
          <w:szCs w:val="28"/>
        </w:rPr>
        <w:t>3</w:t>
      </w:r>
      <w:r w:rsidRPr="00B17476">
        <w:rPr>
          <w:rFonts w:cstheme="minorHAnsi"/>
          <w:b/>
          <w:bCs/>
          <w:color w:val="000000"/>
          <w:sz w:val="28"/>
          <w:szCs w:val="28"/>
        </w:rPr>
        <w:t xml:space="preserve"> </w:t>
      </w:r>
      <w:r w:rsidR="007B2397">
        <w:rPr>
          <w:rFonts w:cstheme="minorHAnsi"/>
          <w:b/>
          <w:bCs/>
          <w:color w:val="000000"/>
          <w:sz w:val="28"/>
          <w:szCs w:val="28"/>
        </w:rPr>
        <w:t>Annual</w:t>
      </w:r>
      <w:r w:rsidRPr="00B17476">
        <w:rPr>
          <w:rFonts w:cstheme="minorHAnsi"/>
          <w:b/>
          <w:bCs/>
          <w:color w:val="000000"/>
          <w:sz w:val="28"/>
          <w:szCs w:val="28"/>
        </w:rPr>
        <w:t xml:space="preserve"> IR Application (EB-202</w:t>
      </w:r>
      <w:r w:rsidR="00C9157F">
        <w:rPr>
          <w:rFonts w:cstheme="minorHAnsi"/>
          <w:b/>
          <w:bCs/>
          <w:color w:val="000000"/>
          <w:sz w:val="28"/>
          <w:szCs w:val="28"/>
        </w:rPr>
        <w:t>2</w:t>
      </w:r>
      <w:r w:rsidRPr="00B17476">
        <w:rPr>
          <w:rFonts w:cstheme="minorHAnsi"/>
          <w:b/>
          <w:bCs/>
          <w:color w:val="000000"/>
          <w:sz w:val="28"/>
          <w:szCs w:val="28"/>
        </w:rPr>
        <w:t>-00</w:t>
      </w:r>
      <w:r w:rsidR="00C9157F">
        <w:rPr>
          <w:rFonts w:cstheme="minorHAnsi"/>
          <w:b/>
          <w:bCs/>
          <w:color w:val="000000"/>
          <w:sz w:val="28"/>
          <w:szCs w:val="28"/>
        </w:rPr>
        <w:t>55</w:t>
      </w:r>
      <w:r w:rsidRPr="00B17476">
        <w:rPr>
          <w:rFonts w:cstheme="minorHAnsi"/>
          <w:b/>
          <w:bCs/>
          <w:color w:val="000000"/>
          <w:sz w:val="28"/>
          <w:szCs w:val="28"/>
        </w:rPr>
        <w:t>)</w:t>
      </w:r>
    </w:p>
    <w:p w14:paraId="77BBBC97" w14:textId="77777777" w:rsidR="00B17476" w:rsidRPr="00B17476" w:rsidRDefault="00B17476" w:rsidP="00B17476">
      <w:pPr>
        <w:autoSpaceDE w:val="0"/>
        <w:autoSpaceDN w:val="0"/>
        <w:adjustRightInd w:val="0"/>
        <w:spacing w:after="240" w:line="240" w:lineRule="auto"/>
        <w:jc w:val="center"/>
        <w:rPr>
          <w:rFonts w:cstheme="minorHAnsi"/>
          <w:b/>
          <w:bCs/>
          <w:color w:val="000000"/>
          <w:sz w:val="28"/>
          <w:szCs w:val="28"/>
        </w:rPr>
      </w:pPr>
      <w:r w:rsidRPr="00B17476">
        <w:rPr>
          <w:rFonts w:cstheme="minorHAnsi"/>
          <w:b/>
          <w:bCs/>
          <w:color w:val="000000"/>
          <w:sz w:val="28"/>
          <w:szCs w:val="28"/>
        </w:rPr>
        <w:t>Response to OEB Staff Interrogatories</w:t>
      </w:r>
    </w:p>
    <w:p w14:paraId="5E363555" w14:textId="6785DFAB" w:rsidR="00756DA9" w:rsidRPr="00B17476" w:rsidRDefault="00756DA9" w:rsidP="00756DA9">
      <w:pPr>
        <w:spacing w:after="240"/>
        <w:rPr>
          <w:rFonts w:cstheme="minorHAnsi"/>
          <w:b/>
          <w:sz w:val="28"/>
          <w:szCs w:val="28"/>
        </w:rPr>
      </w:pPr>
      <w:bookmarkStart w:id="2" w:name="_Hlk111114891"/>
      <w:bookmarkStart w:id="3" w:name="_Hlk111119117"/>
      <w:bookmarkEnd w:id="0"/>
      <w:r w:rsidRPr="00B17476">
        <w:rPr>
          <w:rFonts w:cstheme="minorHAnsi"/>
          <w:b/>
          <w:sz w:val="28"/>
          <w:szCs w:val="28"/>
        </w:rPr>
        <w:t>Staff Question-</w:t>
      </w:r>
      <w:r w:rsidR="00FE1FD7" w:rsidRPr="00B17476">
        <w:rPr>
          <w:rFonts w:cstheme="minorHAnsi"/>
          <w:b/>
          <w:sz w:val="28"/>
          <w:szCs w:val="28"/>
        </w:rPr>
        <w:t>1</w:t>
      </w:r>
    </w:p>
    <w:p w14:paraId="5C39D5EB" w14:textId="3E697F9E" w:rsidR="00756DA9" w:rsidRPr="00B17476" w:rsidRDefault="00756DA9" w:rsidP="00756DA9">
      <w:pPr>
        <w:spacing w:after="240"/>
        <w:rPr>
          <w:rFonts w:cstheme="minorHAnsi"/>
          <w:b/>
          <w:sz w:val="24"/>
          <w:szCs w:val="24"/>
        </w:rPr>
      </w:pPr>
      <w:bookmarkStart w:id="4" w:name="_Hlk111114923"/>
      <w:bookmarkStart w:id="5" w:name="_Hlk111117062"/>
      <w:bookmarkEnd w:id="2"/>
      <w:r w:rsidRPr="00B17476">
        <w:rPr>
          <w:rFonts w:cstheme="minorHAnsi"/>
          <w:b/>
          <w:sz w:val="24"/>
          <w:szCs w:val="24"/>
        </w:rPr>
        <w:t>Ref:</w:t>
      </w:r>
    </w:p>
    <w:p w14:paraId="3847DF84" w14:textId="77777777" w:rsidR="00703AA4" w:rsidRPr="00B17476" w:rsidRDefault="00703AA4" w:rsidP="007222FC">
      <w:pPr>
        <w:pStyle w:val="ListParagraph"/>
        <w:numPr>
          <w:ilvl w:val="0"/>
          <w:numId w:val="4"/>
        </w:numPr>
        <w:spacing w:after="240"/>
        <w:rPr>
          <w:rFonts w:cstheme="minorHAnsi"/>
          <w:bCs/>
          <w:sz w:val="24"/>
          <w:szCs w:val="24"/>
        </w:rPr>
      </w:pPr>
      <w:bookmarkStart w:id="6" w:name="_Hlk112666317"/>
      <w:bookmarkEnd w:id="4"/>
      <w:bookmarkEnd w:id="5"/>
      <w:r w:rsidRPr="00B17476">
        <w:rPr>
          <w:rFonts w:cstheme="minorHAnsi"/>
          <w:bCs/>
          <w:sz w:val="24"/>
          <w:szCs w:val="24"/>
        </w:rPr>
        <w:t>Rate Generator Model</w:t>
      </w:r>
    </w:p>
    <w:bookmarkEnd w:id="6"/>
    <w:p w14:paraId="38569A3A" w14:textId="77777777" w:rsidR="00703AA4" w:rsidRPr="00B17476" w:rsidRDefault="00703AA4" w:rsidP="007222FC">
      <w:pPr>
        <w:pStyle w:val="ListParagraph"/>
        <w:numPr>
          <w:ilvl w:val="0"/>
          <w:numId w:val="4"/>
        </w:numPr>
        <w:spacing w:after="240"/>
        <w:rPr>
          <w:rFonts w:cstheme="minorHAnsi"/>
          <w:bCs/>
          <w:sz w:val="24"/>
          <w:szCs w:val="24"/>
        </w:rPr>
      </w:pPr>
      <w:r w:rsidRPr="00B17476">
        <w:rPr>
          <w:rFonts w:cstheme="minorHAnsi"/>
          <w:bCs/>
          <w:sz w:val="24"/>
          <w:szCs w:val="24"/>
        </w:rPr>
        <w:t>2023 GA Analysis Workform</w:t>
      </w:r>
    </w:p>
    <w:p w14:paraId="7051B04E" w14:textId="66075473" w:rsidR="00756DA9" w:rsidRPr="00B17476" w:rsidRDefault="00756DA9" w:rsidP="00CF10B1">
      <w:pPr>
        <w:pStyle w:val="ListParagraph"/>
        <w:spacing w:after="240"/>
        <w:ind w:left="360"/>
        <w:rPr>
          <w:rFonts w:cstheme="minorHAnsi"/>
          <w:b/>
          <w:sz w:val="24"/>
          <w:szCs w:val="24"/>
        </w:rPr>
      </w:pPr>
    </w:p>
    <w:p w14:paraId="030A24A2" w14:textId="77777777" w:rsidR="007A60D9" w:rsidRPr="00B17476" w:rsidRDefault="00CF10B1" w:rsidP="00CF10B1">
      <w:pPr>
        <w:pStyle w:val="ListParagraph"/>
        <w:spacing w:after="240"/>
        <w:ind w:left="0"/>
        <w:rPr>
          <w:rFonts w:cstheme="minorHAnsi"/>
          <w:b/>
          <w:sz w:val="24"/>
          <w:szCs w:val="24"/>
        </w:rPr>
      </w:pPr>
      <w:r w:rsidRPr="00B17476">
        <w:rPr>
          <w:rFonts w:cstheme="minorHAnsi"/>
          <w:b/>
          <w:sz w:val="24"/>
          <w:szCs w:val="24"/>
        </w:rPr>
        <w:t>Question:</w:t>
      </w:r>
    </w:p>
    <w:tbl>
      <w:tblPr>
        <w:tblStyle w:val="TableGrid"/>
        <w:tblW w:w="9710" w:type="dxa"/>
        <w:tblInd w:w="5" w:type="dxa"/>
        <w:tblBorders>
          <w:insideH w:val="none" w:sz="0" w:space="0" w:color="auto"/>
          <w:insideV w:val="none" w:sz="0" w:space="0" w:color="auto"/>
        </w:tblBorders>
        <w:tblLook w:val="04A0" w:firstRow="1" w:lastRow="0" w:firstColumn="1" w:lastColumn="0" w:noHBand="0" w:noVBand="1"/>
      </w:tblPr>
      <w:tblGrid>
        <w:gridCol w:w="3466"/>
        <w:gridCol w:w="3884"/>
        <w:gridCol w:w="2360"/>
      </w:tblGrid>
      <w:tr w:rsidR="007A60D9" w:rsidRPr="00B17476" w14:paraId="0AC042BC" w14:textId="77777777" w:rsidTr="007A60D9">
        <w:tc>
          <w:tcPr>
            <w:tcW w:w="3466" w:type="dxa"/>
            <w:tcBorders>
              <w:top w:val="single" w:sz="4" w:space="0" w:color="auto"/>
              <w:bottom w:val="nil"/>
            </w:tcBorders>
            <w:vAlign w:val="center"/>
          </w:tcPr>
          <w:p w14:paraId="3998C5CF" w14:textId="77777777" w:rsidR="007A60D9" w:rsidRPr="00B17476" w:rsidRDefault="007A60D9" w:rsidP="007A60D9">
            <w:pPr>
              <w:pStyle w:val="ListParagraph"/>
              <w:spacing w:after="240"/>
              <w:rPr>
                <w:rFonts w:cstheme="minorHAnsi"/>
                <w:bCs/>
                <w:sz w:val="24"/>
                <w:szCs w:val="24"/>
                <w:lang w:val="en-US"/>
              </w:rPr>
            </w:pPr>
            <w:r w:rsidRPr="00B17476">
              <w:rPr>
                <w:rFonts w:cstheme="minorHAnsi"/>
                <w:bCs/>
                <w:sz w:val="24"/>
                <w:szCs w:val="24"/>
                <w:lang w:val="en-US"/>
              </w:rPr>
              <w:t>GA Analysis Workform (GA 2021 tab)</w:t>
            </w:r>
          </w:p>
        </w:tc>
        <w:tc>
          <w:tcPr>
            <w:tcW w:w="3884" w:type="dxa"/>
            <w:tcBorders>
              <w:top w:val="single" w:sz="4" w:space="0" w:color="auto"/>
              <w:bottom w:val="nil"/>
            </w:tcBorders>
            <w:vAlign w:val="center"/>
          </w:tcPr>
          <w:p w14:paraId="34E958BD" w14:textId="77777777" w:rsidR="007A60D9" w:rsidRPr="00B17476" w:rsidRDefault="007A60D9" w:rsidP="007A60D9">
            <w:pPr>
              <w:pStyle w:val="ListParagraph"/>
              <w:spacing w:after="240"/>
              <w:rPr>
                <w:rFonts w:cstheme="minorHAnsi"/>
                <w:bCs/>
                <w:sz w:val="24"/>
                <w:szCs w:val="24"/>
                <w:lang w:val="en-US"/>
              </w:rPr>
            </w:pPr>
            <w:r w:rsidRPr="00B17476">
              <w:rPr>
                <w:rFonts w:cstheme="minorHAnsi"/>
                <w:bCs/>
                <w:sz w:val="24"/>
                <w:szCs w:val="24"/>
                <w:lang w:val="en-US"/>
              </w:rPr>
              <w:t>Net Change in Principal Balance in the GL (i.e. Transactions in the Year)</w:t>
            </w:r>
          </w:p>
        </w:tc>
        <w:tc>
          <w:tcPr>
            <w:tcW w:w="2360" w:type="dxa"/>
            <w:tcBorders>
              <w:top w:val="single" w:sz="4" w:space="0" w:color="auto"/>
              <w:bottom w:val="nil"/>
            </w:tcBorders>
            <w:vAlign w:val="center"/>
          </w:tcPr>
          <w:p w14:paraId="76FE0986" w14:textId="77777777" w:rsidR="007A60D9" w:rsidRPr="00B17476" w:rsidRDefault="007A60D9" w:rsidP="007A60D9">
            <w:pPr>
              <w:pStyle w:val="ListParagraph"/>
              <w:spacing w:after="240"/>
              <w:rPr>
                <w:rFonts w:cstheme="minorHAnsi"/>
                <w:bCs/>
                <w:sz w:val="24"/>
                <w:szCs w:val="24"/>
                <w:lang w:val="en-US"/>
              </w:rPr>
            </w:pPr>
            <w:r w:rsidRPr="00B17476">
              <w:rPr>
                <w:rFonts w:cstheme="minorHAnsi"/>
                <w:bCs/>
                <w:sz w:val="24"/>
                <w:szCs w:val="24"/>
              </w:rPr>
              <w:t>- $5,286,312</w:t>
            </w:r>
          </w:p>
        </w:tc>
      </w:tr>
      <w:tr w:rsidR="007A60D9" w:rsidRPr="00B17476" w14:paraId="2F3C4998" w14:textId="77777777" w:rsidTr="007A60D9">
        <w:tc>
          <w:tcPr>
            <w:tcW w:w="3466" w:type="dxa"/>
            <w:tcBorders>
              <w:top w:val="nil"/>
              <w:bottom w:val="single" w:sz="4" w:space="0" w:color="auto"/>
            </w:tcBorders>
            <w:vAlign w:val="center"/>
          </w:tcPr>
          <w:p w14:paraId="0CCCCCE3" w14:textId="77777777" w:rsidR="007A60D9" w:rsidRPr="00B17476" w:rsidRDefault="007A60D9" w:rsidP="007A60D9">
            <w:pPr>
              <w:pStyle w:val="ListParagraph"/>
              <w:spacing w:after="240"/>
              <w:rPr>
                <w:rFonts w:cstheme="minorHAnsi"/>
                <w:bCs/>
                <w:sz w:val="24"/>
                <w:szCs w:val="24"/>
                <w:lang w:val="en-US"/>
              </w:rPr>
            </w:pPr>
            <w:r w:rsidRPr="00B17476">
              <w:rPr>
                <w:rFonts w:cstheme="minorHAnsi"/>
                <w:bCs/>
                <w:sz w:val="24"/>
                <w:szCs w:val="24"/>
                <w:lang w:val="en-US"/>
              </w:rPr>
              <w:t>DVA Continuity Schedule</w:t>
            </w:r>
          </w:p>
        </w:tc>
        <w:tc>
          <w:tcPr>
            <w:tcW w:w="3884" w:type="dxa"/>
            <w:tcBorders>
              <w:top w:val="nil"/>
              <w:bottom w:val="single" w:sz="4" w:space="0" w:color="auto"/>
            </w:tcBorders>
            <w:vAlign w:val="center"/>
          </w:tcPr>
          <w:p w14:paraId="27DCE8D9" w14:textId="77777777" w:rsidR="007A60D9" w:rsidRPr="00B17476" w:rsidRDefault="007A60D9" w:rsidP="007A60D9">
            <w:pPr>
              <w:pStyle w:val="ListParagraph"/>
              <w:spacing w:after="240"/>
              <w:rPr>
                <w:rFonts w:cstheme="minorHAnsi"/>
                <w:bCs/>
                <w:sz w:val="24"/>
                <w:szCs w:val="24"/>
                <w:lang w:val="en-US"/>
              </w:rPr>
            </w:pPr>
            <w:r w:rsidRPr="00B17476">
              <w:rPr>
                <w:rFonts w:cstheme="minorHAnsi"/>
                <w:bCs/>
                <w:sz w:val="24"/>
                <w:szCs w:val="24"/>
                <w:lang w:val="en-US"/>
              </w:rPr>
              <w:t>Transactions Debit/Credit during 2021</w:t>
            </w:r>
          </w:p>
        </w:tc>
        <w:tc>
          <w:tcPr>
            <w:tcW w:w="2360" w:type="dxa"/>
            <w:tcBorders>
              <w:top w:val="nil"/>
              <w:bottom w:val="single" w:sz="4" w:space="0" w:color="auto"/>
              <w:right w:val="single" w:sz="4" w:space="0" w:color="auto"/>
            </w:tcBorders>
            <w:vAlign w:val="center"/>
          </w:tcPr>
          <w:p w14:paraId="60DD9224" w14:textId="77777777" w:rsidR="007A60D9" w:rsidRPr="00B17476" w:rsidRDefault="007A60D9" w:rsidP="007A60D9">
            <w:pPr>
              <w:pStyle w:val="ListParagraph"/>
              <w:spacing w:after="240"/>
              <w:rPr>
                <w:rFonts w:cstheme="minorHAnsi"/>
                <w:bCs/>
                <w:sz w:val="24"/>
                <w:szCs w:val="24"/>
                <w:lang w:val="en-US"/>
              </w:rPr>
            </w:pPr>
            <w:r w:rsidRPr="00B17476">
              <w:rPr>
                <w:rFonts w:cstheme="minorHAnsi"/>
                <w:bCs/>
                <w:sz w:val="24"/>
                <w:szCs w:val="24"/>
                <w:lang w:val="en-US"/>
              </w:rPr>
              <w:t>-$5,189,526</w:t>
            </w:r>
          </w:p>
        </w:tc>
      </w:tr>
      <w:tr w:rsidR="007A60D9" w:rsidRPr="00B17476" w14:paraId="4869F5E0" w14:textId="77777777" w:rsidTr="007A60D9">
        <w:tc>
          <w:tcPr>
            <w:tcW w:w="3466" w:type="dxa"/>
            <w:tcBorders>
              <w:top w:val="single" w:sz="4" w:space="0" w:color="auto"/>
              <w:bottom w:val="single" w:sz="4" w:space="0" w:color="auto"/>
            </w:tcBorders>
            <w:vAlign w:val="center"/>
          </w:tcPr>
          <w:p w14:paraId="36E00FE1" w14:textId="77777777" w:rsidR="007A60D9" w:rsidRPr="00B17476" w:rsidRDefault="007A60D9" w:rsidP="007A60D9">
            <w:pPr>
              <w:pStyle w:val="ListParagraph"/>
              <w:spacing w:after="240"/>
              <w:rPr>
                <w:rFonts w:cstheme="minorHAnsi"/>
                <w:bCs/>
                <w:sz w:val="24"/>
                <w:szCs w:val="24"/>
                <w:lang w:val="en-US"/>
              </w:rPr>
            </w:pPr>
          </w:p>
        </w:tc>
        <w:tc>
          <w:tcPr>
            <w:tcW w:w="3884" w:type="dxa"/>
            <w:tcBorders>
              <w:top w:val="single" w:sz="4" w:space="0" w:color="auto"/>
              <w:bottom w:val="single" w:sz="4" w:space="0" w:color="auto"/>
            </w:tcBorders>
            <w:vAlign w:val="center"/>
          </w:tcPr>
          <w:p w14:paraId="4CCE0567" w14:textId="77777777" w:rsidR="007A60D9" w:rsidRPr="00B17476" w:rsidRDefault="007A60D9" w:rsidP="007A60D9">
            <w:pPr>
              <w:pStyle w:val="ListParagraph"/>
              <w:spacing w:after="240"/>
              <w:rPr>
                <w:rFonts w:cstheme="minorHAnsi"/>
                <w:bCs/>
                <w:sz w:val="24"/>
                <w:szCs w:val="24"/>
                <w:lang w:val="en-US"/>
              </w:rPr>
            </w:pPr>
            <w:r w:rsidRPr="00B17476">
              <w:rPr>
                <w:rFonts w:cstheme="minorHAnsi"/>
                <w:bCs/>
                <w:sz w:val="24"/>
                <w:szCs w:val="24"/>
                <w:lang w:val="en-US"/>
              </w:rPr>
              <w:t>Difference</w:t>
            </w:r>
          </w:p>
        </w:tc>
        <w:tc>
          <w:tcPr>
            <w:tcW w:w="2360" w:type="dxa"/>
            <w:tcBorders>
              <w:top w:val="single" w:sz="4" w:space="0" w:color="auto"/>
              <w:bottom w:val="single" w:sz="4" w:space="0" w:color="auto"/>
            </w:tcBorders>
            <w:vAlign w:val="center"/>
          </w:tcPr>
          <w:p w14:paraId="16B21205" w14:textId="77777777" w:rsidR="007A60D9" w:rsidRPr="00B17476" w:rsidRDefault="007A60D9" w:rsidP="007A60D9">
            <w:pPr>
              <w:pStyle w:val="ListParagraph"/>
              <w:spacing w:after="240"/>
              <w:rPr>
                <w:rFonts w:cstheme="minorHAnsi"/>
                <w:bCs/>
                <w:sz w:val="24"/>
                <w:szCs w:val="24"/>
                <w:lang w:val="en-US"/>
              </w:rPr>
            </w:pPr>
            <w:r w:rsidRPr="00B17476">
              <w:rPr>
                <w:rFonts w:cstheme="minorHAnsi"/>
                <w:bCs/>
                <w:sz w:val="24"/>
                <w:szCs w:val="24"/>
              </w:rPr>
              <w:t>- $ 96,486</w:t>
            </w:r>
          </w:p>
        </w:tc>
      </w:tr>
    </w:tbl>
    <w:p w14:paraId="32C68051" w14:textId="11C5FA61" w:rsidR="007A60D9" w:rsidRPr="00B17476" w:rsidRDefault="007A60D9" w:rsidP="00CF10B1">
      <w:pPr>
        <w:pStyle w:val="ListParagraph"/>
        <w:spacing w:after="240"/>
        <w:ind w:left="0"/>
        <w:rPr>
          <w:rFonts w:cstheme="minorHAnsi"/>
          <w:b/>
          <w:sz w:val="24"/>
          <w:szCs w:val="24"/>
        </w:rPr>
      </w:pPr>
    </w:p>
    <w:p w14:paraId="423FBB09" w14:textId="4F617CD5" w:rsidR="00CF10B1" w:rsidRPr="00B17476" w:rsidRDefault="00CF10B1" w:rsidP="00CF10B1">
      <w:pPr>
        <w:pStyle w:val="ListParagraph"/>
        <w:spacing w:after="240"/>
        <w:ind w:left="0"/>
        <w:rPr>
          <w:rFonts w:cstheme="minorHAnsi"/>
          <w:bCs/>
          <w:sz w:val="24"/>
          <w:szCs w:val="24"/>
        </w:rPr>
      </w:pPr>
      <w:r w:rsidRPr="00B17476">
        <w:rPr>
          <w:rFonts w:cstheme="minorHAnsi"/>
          <w:bCs/>
          <w:sz w:val="24"/>
          <w:szCs w:val="24"/>
        </w:rPr>
        <w:t xml:space="preserve">Please reconcile </w:t>
      </w:r>
      <w:r w:rsidR="007A60D9" w:rsidRPr="00B17476">
        <w:rPr>
          <w:rFonts w:cstheme="minorHAnsi"/>
          <w:bCs/>
          <w:sz w:val="24"/>
          <w:szCs w:val="24"/>
        </w:rPr>
        <w:t xml:space="preserve">and explain the above noted difference in </w:t>
      </w:r>
      <w:r w:rsidRPr="00B17476">
        <w:rPr>
          <w:rFonts w:cstheme="minorHAnsi"/>
          <w:bCs/>
          <w:sz w:val="24"/>
          <w:szCs w:val="24"/>
        </w:rPr>
        <w:t>Transaction in c</w:t>
      </w:r>
      <w:r w:rsidR="00772F96" w:rsidRPr="00B17476">
        <w:rPr>
          <w:rFonts w:cstheme="minorHAnsi"/>
          <w:bCs/>
          <w:sz w:val="24"/>
          <w:szCs w:val="24"/>
        </w:rPr>
        <w:t>ell</w:t>
      </w:r>
      <w:r w:rsidRPr="00B17476">
        <w:rPr>
          <w:rFonts w:cstheme="minorHAnsi"/>
          <w:bCs/>
          <w:sz w:val="24"/>
          <w:szCs w:val="24"/>
        </w:rPr>
        <w:t xml:space="preserve"> BD</w:t>
      </w:r>
      <w:r w:rsidR="00772F96" w:rsidRPr="00B17476">
        <w:rPr>
          <w:rFonts w:cstheme="minorHAnsi"/>
          <w:bCs/>
          <w:sz w:val="24"/>
          <w:szCs w:val="24"/>
        </w:rPr>
        <w:t>29</w:t>
      </w:r>
      <w:r w:rsidRPr="00B17476">
        <w:rPr>
          <w:rFonts w:cstheme="minorHAnsi"/>
          <w:bCs/>
          <w:sz w:val="24"/>
          <w:szCs w:val="24"/>
        </w:rPr>
        <w:t xml:space="preserve"> at reference 1) </w:t>
      </w:r>
      <w:r w:rsidR="007A60D9" w:rsidRPr="00B17476">
        <w:rPr>
          <w:rFonts w:cstheme="minorHAnsi"/>
          <w:bCs/>
          <w:sz w:val="24"/>
          <w:szCs w:val="24"/>
        </w:rPr>
        <w:t xml:space="preserve">Tab ‘3. DVA Continuity Schedule’ </w:t>
      </w:r>
      <w:r w:rsidRPr="00B17476">
        <w:rPr>
          <w:rFonts w:cstheme="minorHAnsi"/>
          <w:bCs/>
          <w:sz w:val="24"/>
          <w:szCs w:val="24"/>
        </w:rPr>
        <w:t xml:space="preserve">to </w:t>
      </w:r>
      <w:r w:rsidR="0020412A" w:rsidRPr="00B17476">
        <w:rPr>
          <w:rFonts w:cstheme="minorHAnsi"/>
          <w:bCs/>
          <w:sz w:val="24"/>
          <w:szCs w:val="24"/>
        </w:rPr>
        <w:t>the value at reference 2) Tab ‘GA 2021’</w:t>
      </w:r>
      <w:r w:rsidR="00526BDF" w:rsidRPr="00B17476">
        <w:rPr>
          <w:rFonts w:cstheme="minorHAnsi"/>
          <w:bCs/>
          <w:sz w:val="24"/>
          <w:szCs w:val="24"/>
        </w:rPr>
        <w:t>, cell C75</w:t>
      </w:r>
      <w:r w:rsidR="0020412A" w:rsidRPr="00B17476">
        <w:rPr>
          <w:rFonts w:cstheme="minorHAnsi"/>
          <w:bCs/>
          <w:sz w:val="24"/>
          <w:szCs w:val="24"/>
        </w:rPr>
        <w:t xml:space="preserve">. </w:t>
      </w:r>
    </w:p>
    <w:bookmarkEnd w:id="3"/>
    <w:p w14:paraId="378A8DB7" w14:textId="77777777" w:rsidR="00B17476" w:rsidRPr="007E55F3" w:rsidRDefault="00B17476" w:rsidP="00B17476">
      <w:pPr>
        <w:pStyle w:val="BodyText"/>
        <w:spacing w:after="160" w:line="252" w:lineRule="auto"/>
        <w:contextualSpacing/>
        <w:jc w:val="both"/>
        <w:rPr>
          <w:rFonts w:asciiTheme="minorHAnsi" w:hAnsiTheme="minorHAnsi" w:cstheme="minorHAnsi"/>
          <w:b/>
          <w:color w:val="BD2025"/>
          <w:sz w:val="24"/>
          <w:szCs w:val="24"/>
        </w:rPr>
      </w:pPr>
      <w:r w:rsidRPr="007E55F3">
        <w:rPr>
          <w:rFonts w:asciiTheme="minorHAnsi" w:hAnsiTheme="minorHAnsi" w:cstheme="minorHAnsi"/>
          <w:b/>
          <w:color w:val="BD2025"/>
          <w:sz w:val="24"/>
          <w:szCs w:val="24"/>
        </w:rPr>
        <w:t xml:space="preserve">Response: </w:t>
      </w:r>
    </w:p>
    <w:p w14:paraId="2482FF65" w14:textId="322026B6" w:rsidR="008E14F0" w:rsidRPr="008A05C9" w:rsidRDefault="008A05C9" w:rsidP="00CF10B1">
      <w:pPr>
        <w:pStyle w:val="ListParagraph"/>
        <w:spacing w:after="240"/>
        <w:ind w:left="0"/>
        <w:rPr>
          <w:rFonts w:cstheme="minorHAnsi"/>
          <w:bCs/>
          <w:sz w:val="24"/>
          <w:szCs w:val="24"/>
        </w:rPr>
      </w:pPr>
      <w:r w:rsidRPr="008A05C9">
        <w:rPr>
          <w:rFonts w:cstheme="minorHAnsi"/>
          <w:bCs/>
          <w:sz w:val="24"/>
          <w:szCs w:val="24"/>
        </w:rPr>
        <w:t xml:space="preserve">Oakville Hydro inadvertently populated </w:t>
      </w:r>
      <w:r>
        <w:rPr>
          <w:rFonts w:cstheme="minorHAnsi"/>
          <w:bCs/>
          <w:sz w:val="24"/>
          <w:szCs w:val="24"/>
        </w:rPr>
        <w:t>-</w:t>
      </w:r>
      <w:r w:rsidRPr="008A05C9">
        <w:rPr>
          <w:rFonts w:cstheme="minorHAnsi"/>
          <w:bCs/>
          <w:sz w:val="24"/>
          <w:szCs w:val="24"/>
        </w:rPr>
        <w:t>$</w:t>
      </w:r>
      <w:r>
        <w:rPr>
          <w:rFonts w:cstheme="minorHAnsi"/>
          <w:bCs/>
          <w:sz w:val="24"/>
          <w:szCs w:val="24"/>
        </w:rPr>
        <w:t>5,286,312</w:t>
      </w:r>
      <w:r w:rsidRPr="008A05C9">
        <w:rPr>
          <w:rFonts w:cstheme="minorHAnsi"/>
          <w:bCs/>
          <w:sz w:val="24"/>
          <w:szCs w:val="24"/>
        </w:rPr>
        <w:t xml:space="preserve"> in </w:t>
      </w:r>
      <w:r>
        <w:rPr>
          <w:rFonts w:cstheme="minorHAnsi"/>
          <w:bCs/>
          <w:sz w:val="24"/>
          <w:szCs w:val="24"/>
        </w:rPr>
        <w:t>cell C75 in Tab “GA 2021” of</w:t>
      </w:r>
      <w:r w:rsidRPr="008A05C9">
        <w:rPr>
          <w:rFonts w:cstheme="minorHAnsi"/>
          <w:bCs/>
          <w:sz w:val="24"/>
          <w:szCs w:val="24"/>
        </w:rPr>
        <w:t xml:space="preserve"> </w:t>
      </w:r>
      <w:r>
        <w:rPr>
          <w:rFonts w:cstheme="minorHAnsi"/>
          <w:bCs/>
          <w:sz w:val="24"/>
          <w:szCs w:val="24"/>
        </w:rPr>
        <w:t xml:space="preserve">the </w:t>
      </w:r>
      <w:r w:rsidRPr="008A05C9">
        <w:rPr>
          <w:rFonts w:cstheme="minorHAnsi"/>
          <w:bCs/>
          <w:sz w:val="24"/>
          <w:szCs w:val="24"/>
        </w:rPr>
        <w:t>GA Analysis Workform</w:t>
      </w:r>
      <w:r w:rsidR="00C02F5E">
        <w:rPr>
          <w:rFonts w:cstheme="minorHAnsi"/>
          <w:bCs/>
          <w:sz w:val="24"/>
          <w:szCs w:val="24"/>
        </w:rPr>
        <w:t xml:space="preserve">, </w:t>
      </w:r>
      <w:r w:rsidR="00C02F5E" w:rsidRPr="008A05C9">
        <w:rPr>
          <w:rFonts w:cstheme="minorHAnsi"/>
          <w:bCs/>
          <w:sz w:val="24"/>
          <w:szCs w:val="24"/>
        </w:rPr>
        <w:t>instead of -$</w:t>
      </w:r>
      <w:r w:rsidR="00C02F5E">
        <w:rPr>
          <w:rFonts w:cstheme="minorHAnsi"/>
          <w:bCs/>
          <w:sz w:val="24"/>
          <w:szCs w:val="24"/>
        </w:rPr>
        <w:t>5,189,526</w:t>
      </w:r>
      <w:r w:rsidRPr="008A05C9">
        <w:rPr>
          <w:rFonts w:cstheme="minorHAnsi"/>
          <w:bCs/>
          <w:sz w:val="24"/>
          <w:szCs w:val="24"/>
        </w:rPr>
        <w:t xml:space="preserve">. Oakville Hydro has updated the GA Analysis Workform, </w:t>
      </w:r>
      <w:r w:rsidR="00C02F5E">
        <w:rPr>
          <w:rFonts w:cstheme="minorHAnsi"/>
          <w:bCs/>
          <w:sz w:val="24"/>
          <w:szCs w:val="24"/>
        </w:rPr>
        <w:t>filed as an attachment to this response.</w:t>
      </w:r>
    </w:p>
    <w:p w14:paraId="2C596CA9" w14:textId="77777777" w:rsidR="00720CD1" w:rsidRDefault="00720CD1">
      <w:pPr>
        <w:rPr>
          <w:rFonts w:cstheme="minorHAnsi"/>
          <w:b/>
          <w:sz w:val="28"/>
          <w:szCs w:val="28"/>
        </w:rPr>
      </w:pPr>
      <w:bookmarkStart w:id="7" w:name="_Hlk111116304"/>
      <w:r>
        <w:rPr>
          <w:rFonts w:cstheme="minorHAnsi"/>
          <w:b/>
          <w:sz w:val="28"/>
          <w:szCs w:val="28"/>
        </w:rPr>
        <w:br w:type="page"/>
      </w:r>
    </w:p>
    <w:p w14:paraId="71E0716F" w14:textId="24E62656" w:rsidR="0020412A" w:rsidRPr="00B17476" w:rsidRDefault="0020412A" w:rsidP="0020412A">
      <w:pPr>
        <w:spacing w:after="240"/>
        <w:rPr>
          <w:rFonts w:cstheme="minorHAnsi"/>
          <w:b/>
          <w:sz w:val="28"/>
          <w:szCs w:val="28"/>
        </w:rPr>
      </w:pPr>
      <w:r w:rsidRPr="00B17476">
        <w:rPr>
          <w:rFonts w:cstheme="minorHAnsi"/>
          <w:b/>
          <w:sz w:val="28"/>
          <w:szCs w:val="28"/>
        </w:rPr>
        <w:lastRenderedPageBreak/>
        <w:t>Staff Question-</w:t>
      </w:r>
      <w:r w:rsidR="00FE1FD7" w:rsidRPr="00B17476">
        <w:rPr>
          <w:rFonts w:cstheme="minorHAnsi"/>
          <w:b/>
          <w:sz w:val="28"/>
          <w:szCs w:val="28"/>
        </w:rPr>
        <w:t>2</w:t>
      </w:r>
    </w:p>
    <w:bookmarkEnd w:id="7"/>
    <w:p w14:paraId="5BA7E666" w14:textId="58482262" w:rsidR="00703AA4" w:rsidRPr="00B17476" w:rsidRDefault="0020412A" w:rsidP="00703AA4">
      <w:pPr>
        <w:spacing w:after="240"/>
        <w:rPr>
          <w:rFonts w:cstheme="minorHAnsi"/>
          <w:b/>
          <w:sz w:val="24"/>
          <w:szCs w:val="24"/>
        </w:rPr>
      </w:pPr>
      <w:r w:rsidRPr="00B17476">
        <w:rPr>
          <w:rFonts w:cstheme="minorHAnsi"/>
          <w:b/>
          <w:sz w:val="24"/>
          <w:szCs w:val="24"/>
        </w:rPr>
        <w:t>Ref:</w:t>
      </w:r>
    </w:p>
    <w:p w14:paraId="006DA175" w14:textId="77777777" w:rsidR="00703AA4" w:rsidRPr="00B17476" w:rsidRDefault="00703AA4" w:rsidP="007222FC">
      <w:pPr>
        <w:pStyle w:val="ListParagraph"/>
        <w:numPr>
          <w:ilvl w:val="0"/>
          <w:numId w:val="5"/>
        </w:numPr>
        <w:spacing w:after="240"/>
        <w:rPr>
          <w:rFonts w:cstheme="minorHAnsi"/>
          <w:bCs/>
          <w:sz w:val="24"/>
          <w:szCs w:val="24"/>
        </w:rPr>
      </w:pPr>
      <w:r w:rsidRPr="00B17476">
        <w:rPr>
          <w:rFonts w:cstheme="minorHAnsi"/>
          <w:bCs/>
          <w:sz w:val="24"/>
          <w:szCs w:val="24"/>
        </w:rPr>
        <w:t>Rate Generator Model</w:t>
      </w:r>
    </w:p>
    <w:p w14:paraId="625BFE1D" w14:textId="3C9AF96D" w:rsidR="00703AA4" w:rsidRPr="00B17476" w:rsidRDefault="00703AA4" w:rsidP="00703AA4">
      <w:pPr>
        <w:spacing w:after="240"/>
        <w:rPr>
          <w:rFonts w:cstheme="minorHAnsi"/>
          <w:bCs/>
          <w:sz w:val="24"/>
          <w:szCs w:val="24"/>
        </w:rPr>
      </w:pPr>
      <w:r w:rsidRPr="00B17476">
        <w:rPr>
          <w:rFonts w:cstheme="minorHAnsi"/>
          <w:bCs/>
          <w:sz w:val="24"/>
          <w:szCs w:val="24"/>
        </w:rPr>
        <w:t>Rate Generator Model</w:t>
      </w:r>
    </w:p>
    <w:p w14:paraId="12476AB0" w14:textId="0A5DA65F" w:rsidR="0020412A" w:rsidRDefault="0020412A" w:rsidP="0020412A">
      <w:pPr>
        <w:spacing w:after="240"/>
        <w:rPr>
          <w:rFonts w:cstheme="minorHAnsi"/>
          <w:bCs/>
          <w:sz w:val="24"/>
          <w:szCs w:val="24"/>
        </w:rPr>
      </w:pPr>
      <w:r w:rsidRPr="00B17476">
        <w:rPr>
          <w:rFonts w:cstheme="minorHAnsi"/>
          <w:b/>
          <w:sz w:val="24"/>
          <w:szCs w:val="24"/>
        </w:rPr>
        <w:t xml:space="preserve">Question: </w:t>
      </w:r>
      <w:r w:rsidRPr="00B17476">
        <w:rPr>
          <w:rFonts w:cstheme="minorHAnsi"/>
          <w:bCs/>
          <w:sz w:val="24"/>
          <w:szCs w:val="24"/>
        </w:rPr>
        <w:t xml:space="preserve">Please indicate how the </w:t>
      </w:r>
      <w:r w:rsidR="00C663BD" w:rsidRPr="00B17476">
        <w:rPr>
          <w:rFonts w:cstheme="minorHAnsi"/>
          <w:bCs/>
          <w:sz w:val="24"/>
          <w:szCs w:val="24"/>
        </w:rPr>
        <w:t xml:space="preserve">proportions in Tab ‘4. Billing Det. For Def-Var’ are derived in column O. </w:t>
      </w:r>
    </w:p>
    <w:p w14:paraId="7AF2FB06" w14:textId="56951528" w:rsidR="00D15FFF" w:rsidRDefault="00D15FFF" w:rsidP="00D15FFF">
      <w:pPr>
        <w:pStyle w:val="BodyText"/>
        <w:spacing w:after="160" w:line="252" w:lineRule="auto"/>
        <w:contextualSpacing/>
        <w:jc w:val="both"/>
        <w:rPr>
          <w:rFonts w:asciiTheme="minorHAnsi" w:hAnsiTheme="minorHAnsi" w:cstheme="minorHAnsi"/>
          <w:b/>
          <w:color w:val="BD2025"/>
          <w:sz w:val="24"/>
          <w:szCs w:val="24"/>
        </w:rPr>
      </w:pPr>
      <w:r w:rsidRPr="007E55F3">
        <w:rPr>
          <w:rFonts w:asciiTheme="minorHAnsi" w:hAnsiTheme="minorHAnsi" w:cstheme="minorHAnsi"/>
          <w:b/>
          <w:color w:val="BD2025"/>
          <w:sz w:val="24"/>
          <w:szCs w:val="24"/>
        </w:rPr>
        <w:t xml:space="preserve">Response: </w:t>
      </w:r>
    </w:p>
    <w:p w14:paraId="3D400A95" w14:textId="1679D682" w:rsidR="00AC0412" w:rsidRDefault="00533823" w:rsidP="00472E47">
      <w:pPr>
        <w:spacing w:after="240"/>
        <w:jc w:val="both"/>
        <w:rPr>
          <w:rFonts w:cstheme="minorHAnsi"/>
          <w:bCs/>
          <w:sz w:val="24"/>
          <w:szCs w:val="24"/>
        </w:rPr>
      </w:pPr>
      <w:r>
        <w:rPr>
          <w:rFonts w:cstheme="minorHAnsi"/>
          <w:bCs/>
          <w:sz w:val="24"/>
          <w:szCs w:val="24"/>
        </w:rPr>
        <w:t>T</w:t>
      </w:r>
      <w:r w:rsidR="00AC6E51" w:rsidRPr="00AC0412">
        <w:rPr>
          <w:rFonts w:cstheme="minorHAnsi"/>
          <w:bCs/>
          <w:sz w:val="24"/>
          <w:szCs w:val="24"/>
        </w:rPr>
        <w:t>he proportions in column O of the Tab ‘4. Billing Det. For Def-Var’ are derived by the total metred kWh</w:t>
      </w:r>
      <w:r w:rsidR="00223FF6">
        <w:rPr>
          <w:rFonts w:cstheme="minorHAnsi"/>
          <w:bCs/>
          <w:sz w:val="24"/>
          <w:szCs w:val="24"/>
        </w:rPr>
        <w:t xml:space="preserve"> </w:t>
      </w:r>
      <w:r w:rsidR="008E79FD">
        <w:rPr>
          <w:rFonts w:cstheme="minorHAnsi"/>
          <w:bCs/>
          <w:sz w:val="24"/>
          <w:szCs w:val="24"/>
        </w:rPr>
        <w:t>(2017 RRR Filling</w:t>
      </w:r>
      <w:r w:rsidR="00110BDB">
        <w:rPr>
          <w:rFonts w:cstheme="minorHAnsi"/>
          <w:bCs/>
          <w:sz w:val="24"/>
          <w:szCs w:val="24"/>
        </w:rPr>
        <w:t xml:space="preserve"> Data</w:t>
      </w:r>
      <w:r w:rsidR="008E79FD">
        <w:rPr>
          <w:rFonts w:cstheme="minorHAnsi"/>
          <w:bCs/>
          <w:sz w:val="24"/>
          <w:szCs w:val="24"/>
        </w:rPr>
        <w:t xml:space="preserve">) </w:t>
      </w:r>
      <w:r w:rsidR="00223FF6">
        <w:rPr>
          <w:rFonts w:cstheme="minorHAnsi"/>
          <w:bCs/>
          <w:sz w:val="24"/>
          <w:szCs w:val="24"/>
        </w:rPr>
        <w:t>in</w:t>
      </w:r>
      <w:r w:rsidR="00AC6E51" w:rsidRPr="00AC0412">
        <w:rPr>
          <w:rFonts w:cstheme="minorHAnsi"/>
          <w:bCs/>
          <w:sz w:val="24"/>
          <w:szCs w:val="24"/>
        </w:rPr>
        <w:t xml:space="preserve"> column C of the Tab ‘4. Billing Det. For Def-Var’ in 2019 IRM Rate Generator (EB-2018-0059).</w:t>
      </w:r>
      <w:r w:rsidR="00223FF6" w:rsidRPr="00223FF6">
        <w:rPr>
          <w:rFonts w:cstheme="minorHAnsi"/>
          <w:bCs/>
          <w:sz w:val="24"/>
          <w:szCs w:val="24"/>
        </w:rPr>
        <w:t xml:space="preserve"> </w:t>
      </w:r>
      <w:r w:rsidR="00AC7F90">
        <w:rPr>
          <w:rFonts w:cstheme="minorHAnsi"/>
          <w:bCs/>
          <w:sz w:val="24"/>
          <w:szCs w:val="24"/>
        </w:rPr>
        <w:t xml:space="preserve">The </w:t>
      </w:r>
      <w:r w:rsidR="00122D3D">
        <w:rPr>
          <w:rFonts w:cstheme="minorHAnsi"/>
          <w:bCs/>
          <w:sz w:val="24"/>
          <w:szCs w:val="24"/>
        </w:rPr>
        <w:t>residual account balance of the</w:t>
      </w:r>
      <w:r w:rsidR="00C02F5E">
        <w:rPr>
          <w:rFonts w:cstheme="minorHAnsi"/>
          <w:bCs/>
          <w:sz w:val="24"/>
          <w:szCs w:val="24"/>
        </w:rPr>
        <w:t xml:space="preserve"> </w:t>
      </w:r>
      <w:r w:rsidR="00AC7F90">
        <w:rPr>
          <w:rFonts w:cstheme="minorHAnsi"/>
          <w:bCs/>
          <w:sz w:val="24"/>
          <w:szCs w:val="24"/>
        </w:rPr>
        <w:t>1595</w:t>
      </w:r>
      <w:r w:rsidR="00122D3D">
        <w:rPr>
          <w:rFonts w:cstheme="minorHAnsi"/>
          <w:bCs/>
          <w:sz w:val="24"/>
          <w:szCs w:val="24"/>
        </w:rPr>
        <w:t xml:space="preserve"> Recovery (2019) is allocated to rate classes in proportion to the recovery share as established when rate rider</w:t>
      </w:r>
      <w:r w:rsidR="00472E47">
        <w:rPr>
          <w:rFonts w:cstheme="minorHAnsi"/>
          <w:bCs/>
          <w:sz w:val="24"/>
          <w:szCs w:val="24"/>
        </w:rPr>
        <w:t>s</w:t>
      </w:r>
      <w:r w:rsidR="00122D3D">
        <w:rPr>
          <w:rFonts w:cstheme="minorHAnsi"/>
          <w:bCs/>
          <w:sz w:val="24"/>
          <w:szCs w:val="24"/>
        </w:rPr>
        <w:t xml:space="preserve"> were implemented, which is in line with</w:t>
      </w:r>
      <w:r w:rsidR="00472E47">
        <w:rPr>
          <w:rFonts w:cstheme="minorHAnsi"/>
          <w:bCs/>
          <w:sz w:val="24"/>
          <w:szCs w:val="24"/>
        </w:rPr>
        <w:t xml:space="preserve"> the foot note 1 in </w:t>
      </w:r>
      <w:r w:rsidR="00472E47" w:rsidRPr="00AC0412">
        <w:rPr>
          <w:rFonts w:cstheme="minorHAnsi"/>
          <w:bCs/>
          <w:sz w:val="24"/>
          <w:szCs w:val="24"/>
        </w:rPr>
        <w:t>the Tab ‘4. Billing Det. For Def-Var’</w:t>
      </w:r>
      <w:r w:rsidR="00472E47">
        <w:rPr>
          <w:rFonts w:cstheme="minorHAnsi"/>
          <w:bCs/>
          <w:sz w:val="24"/>
          <w:szCs w:val="24"/>
        </w:rPr>
        <w:t xml:space="preserve"> of the Rate Generator model.</w:t>
      </w:r>
    </w:p>
    <w:p w14:paraId="4873133B" w14:textId="0738EC28" w:rsidR="00472E47" w:rsidRDefault="00472E47" w:rsidP="00472E47">
      <w:pPr>
        <w:spacing w:after="240"/>
        <w:jc w:val="both"/>
        <w:rPr>
          <w:rFonts w:cstheme="minorHAnsi"/>
          <w:bCs/>
          <w:sz w:val="24"/>
          <w:szCs w:val="24"/>
        </w:rPr>
      </w:pPr>
      <w:r w:rsidRPr="00AC0412">
        <w:rPr>
          <w:rFonts w:cstheme="minorHAnsi"/>
          <w:bCs/>
          <w:sz w:val="24"/>
          <w:szCs w:val="24"/>
        </w:rPr>
        <w:t>The table below lists the total metered kWh for each rate class</w:t>
      </w:r>
      <w:r>
        <w:rPr>
          <w:rFonts w:cstheme="minorHAnsi"/>
          <w:bCs/>
          <w:sz w:val="24"/>
          <w:szCs w:val="24"/>
        </w:rPr>
        <w:t>.</w:t>
      </w:r>
    </w:p>
    <w:p w14:paraId="2DC87401" w14:textId="1CFA9A41" w:rsidR="00B1097B" w:rsidRDefault="00B1097B" w:rsidP="00472E47">
      <w:pPr>
        <w:spacing w:after="240"/>
        <w:jc w:val="both"/>
        <w:rPr>
          <w:rFonts w:cstheme="minorHAnsi"/>
          <w:bCs/>
          <w:sz w:val="24"/>
          <w:szCs w:val="24"/>
        </w:rPr>
      </w:pPr>
      <w:r w:rsidRPr="00B1097B">
        <w:rPr>
          <w:noProof/>
        </w:rPr>
        <w:drawing>
          <wp:inline distT="0" distB="0" distL="0" distR="0" wp14:anchorId="67A7E1D6" wp14:editId="72C8810A">
            <wp:extent cx="5943600" cy="236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62200"/>
                    </a:xfrm>
                    <a:prstGeom prst="rect">
                      <a:avLst/>
                    </a:prstGeom>
                    <a:noFill/>
                    <a:ln>
                      <a:noFill/>
                    </a:ln>
                  </pic:spPr>
                </pic:pic>
              </a:graphicData>
            </a:graphic>
          </wp:inline>
        </w:drawing>
      </w:r>
    </w:p>
    <w:p w14:paraId="64C7E146" w14:textId="110B5BF0" w:rsidR="00D15FFF" w:rsidRDefault="00D15FFF" w:rsidP="0020412A">
      <w:pPr>
        <w:spacing w:after="240"/>
        <w:rPr>
          <w:rFonts w:cstheme="minorHAnsi"/>
          <w:bCs/>
          <w:sz w:val="24"/>
          <w:szCs w:val="24"/>
        </w:rPr>
      </w:pPr>
    </w:p>
    <w:p w14:paraId="1AE00FD2" w14:textId="77777777" w:rsidR="000E2A42" w:rsidRDefault="000E2A42">
      <w:pPr>
        <w:rPr>
          <w:rFonts w:cstheme="minorHAnsi"/>
          <w:b/>
          <w:sz w:val="28"/>
          <w:szCs w:val="28"/>
        </w:rPr>
      </w:pPr>
      <w:bookmarkStart w:id="8" w:name="_Hlk111196159"/>
      <w:r>
        <w:rPr>
          <w:rFonts w:cstheme="minorHAnsi"/>
          <w:b/>
          <w:sz w:val="28"/>
          <w:szCs w:val="28"/>
        </w:rPr>
        <w:br w:type="page"/>
      </w:r>
    </w:p>
    <w:p w14:paraId="78F42E2C" w14:textId="251E6A48" w:rsidR="000F0E95" w:rsidRPr="00B17476" w:rsidRDefault="000F0E95" w:rsidP="000F0E95">
      <w:pPr>
        <w:spacing w:after="240"/>
        <w:rPr>
          <w:rFonts w:cstheme="minorHAnsi"/>
          <w:b/>
          <w:sz w:val="28"/>
          <w:szCs w:val="28"/>
        </w:rPr>
      </w:pPr>
      <w:r w:rsidRPr="00B17476">
        <w:rPr>
          <w:rFonts w:cstheme="minorHAnsi"/>
          <w:b/>
          <w:sz w:val="28"/>
          <w:szCs w:val="28"/>
        </w:rPr>
        <w:lastRenderedPageBreak/>
        <w:t>Staff Question-</w:t>
      </w:r>
      <w:r w:rsidR="00FE1FD7" w:rsidRPr="00B17476">
        <w:rPr>
          <w:rFonts w:cstheme="minorHAnsi"/>
          <w:b/>
          <w:sz w:val="28"/>
          <w:szCs w:val="28"/>
        </w:rPr>
        <w:t>3</w:t>
      </w:r>
    </w:p>
    <w:p w14:paraId="4A9C4366" w14:textId="77777777" w:rsidR="000F0E95" w:rsidRPr="00B17476" w:rsidRDefault="000F0E95" w:rsidP="000F0E95">
      <w:pPr>
        <w:spacing w:after="240"/>
        <w:rPr>
          <w:rFonts w:cstheme="minorHAnsi"/>
          <w:b/>
          <w:sz w:val="24"/>
          <w:szCs w:val="24"/>
        </w:rPr>
      </w:pPr>
      <w:r w:rsidRPr="00B17476">
        <w:rPr>
          <w:rFonts w:cstheme="minorHAnsi"/>
          <w:b/>
          <w:sz w:val="24"/>
          <w:szCs w:val="24"/>
        </w:rPr>
        <w:t>Ref:</w:t>
      </w:r>
    </w:p>
    <w:p w14:paraId="67D26BCE" w14:textId="6FC1D9CC" w:rsidR="000F0E95" w:rsidRPr="00B17476" w:rsidRDefault="00703AA4" w:rsidP="007222FC">
      <w:pPr>
        <w:pStyle w:val="ListParagraph"/>
        <w:numPr>
          <w:ilvl w:val="0"/>
          <w:numId w:val="1"/>
        </w:numPr>
        <w:spacing w:after="240"/>
        <w:rPr>
          <w:rFonts w:cstheme="minorHAnsi"/>
          <w:bCs/>
          <w:sz w:val="24"/>
          <w:szCs w:val="24"/>
        </w:rPr>
      </w:pPr>
      <w:bookmarkStart w:id="9" w:name="_Hlk112666470"/>
      <w:r w:rsidRPr="00B17476">
        <w:rPr>
          <w:rFonts w:cstheme="minorHAnsi"/>
          <w:bCs/>
          <w:sz w:val="24"/>
          <w:szCs w:val="24"/>
        </w:rPr>
        <w:t>Rate Generator Model</w:t>
      </w:r>
    </w:p>
    <w:p w14:paraId="0E7EB02E" w14:textId="6E3F42B9" w:rsidR="000F0E95" w:rsidRPr="00B17476" w:rsidRDefault="00703AA4" w:rsidP="007222FC">
      <w:pPr>
        <w:pStyle w:val="ListParagraph"/>
        <w:numPr>
          <w:ilvl w:val="0"/>
          <w:numId w:val="1"/>
        </w:numPr>
        <w:spacing w:after="240"/>
        <w:rPr>
          <w:rFonts w:cstheme="minorHAnsi"/>
          <w:bCs/>
          <w:sz w:val="24"/>
          <w:szCs w:val="24"/>
        </w:rPr>
      </w:pPr>
      <w:r w:rsidRPr="00B17476">
        <w:rPr>
          <w:rFonts w:cstheme="minorHAnsi"/>
          <w:bCs/>
          <w:sz w:val="24"/>
          <w:szCs w:val="24"/>
        </w:rPr>
        <w:t>2023 GA Analysis Workform</w:t>
      </w:r>
    </w:p>
    <w:bookmarkEnd w:id="9"/>
    <w:p w14:paraId="2D398F3B" w14:textId="77777777" w:rsidR="000F0E95" w:rsidRPr="00B17476" w:rsidRDefault="000F0E95" w:rsidP="000F0E95">
      <w:pPr>
        <w:pStyle w:val="ListParagraph"/>
        <w:spacing w:after="240"/>
        <w:ind w:left="360"/>
        <w:rPr>
          <w:rFonts w:cstheme="minorHAnsi"/>
          <w:b/>
          <w:sz w:val="24"/>
          <w:szCs w:val="24"/>
        </w:rPr>
      </w:pPr>
    </w:p>
    <w:p w14:paraId="08E4E2AC" w14:textId="21B59FA3" w:rsidR="002405D4" w:rsidRPr="00B17476" w:rsidRDefault="000F0E95" w:rsidP="000F0E95">
      <w:pPr>
        <w:pStyle w:val="ListParagraph"/>
        <w:spacing w:after="240"/>
        <w:ind w:left="0"/>
        <w:rPr>
          <w:rFonts w:cstheme="minorHAnsi"/>
          <w:b/>
          <w:sz w:val="24"/>
          <w:szCs w:val="24"/>
        </w:rPr>
      </w:pPr>
      <w:r w:rsidRPr="00B17476">
        <w:rPr>
          <w:rFonts w:cstheme="minorHAnsi"/>
          <w:b/>
          <w:sz w:val="24"/>
          <w:szCs w:val="24"/>
        </w:rPr>
        <w:t xml:space="preserve">Question: </w:t>
      </w:r>
    </w:p>
    <w:tbl>
      <w:tblPr>
        <w:tblW w:w="9768" w:type="dxa"/>
        <w:tblLook w:val="04A0" w:firstRow="1" w:lastRow="0" w:firstColumn="1" w:lastColumn="0" w:noHBand="0" w:noVBand="1"/>
      </w:tblPr>
      <w:tblGrid>
        <w:gridCol w:w="2400"/>
        <w:gridCol w:w="2136"/>
        <w:gridCol w:w="2552"/>
        <w:gridCol w:w="2680"/>
      </w:tblGrid>
      <w:tr w:rsidR="002405D4" w:rsidRPr="00B17476" w14:paraId="42FBB7B9" w14:textId="77777777" w:rsidTr="00646719">
        <w:trPr>
          <w:trHeight w:val="288"/>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0BE1D" w14:textId="77777777" w:rsidR="002405D4" w:rsidRPr="00B17476" w:rsidRDefault="002405D4" w:rsidP="002405D4">
            <w:pPr>
              <w:spacing w:after="0" w:line="240" w:lineRule="auto"/>
              <w:rPr>
                <w:rFonts w:eastAsia="Times New Roman" w:cstheme="minorHAnsi"/>
                <w:sz w:val="24"/>
                <w:szCs w:val="24"/>
                <w:lang w:eastAsia="en-CA"/>
              </w:rPr>
            </w:pPr>
          </w:p>
        </w:tc>
        <w:tc>
          <w:tcPr>
            <w:tcW w:w="2136" w:type="dxa"/>
            <w:tcBorders>
              <w:top w:val="single" w:sz="4" w:space="0" w:color="auto"/>
              <w:left w:val="single" w:sz="4" w:space="0" w:color="auto"/>
              <w:bottom w:val="single" w:sz="4" w:space="0" w:color="auto"/>
              <w:right w:val="nil"/>
            </w:tcBorders>
            <w:shd w:val="clear" w:color="auto" w:fill="auto"/>
            <w:noWrap/>
            <w:vAlign w:val="bottom"/>
            <w:hideMark/>
          </w:tcPr>
          <w:p w14:paraId="798A2783" w14:textId="77777777" w:rsidR="002405D4" w:rsidRPr="00B17476" w:rsidRDefault="002405D4" w:rsidP="002405D4">
            <w:pPr>
              <w:spacing w:after="0" w:line="240" w:lineRule="auto"/>
              <w:jc w:val="center"/>
              <w:rPr>
                <w:rFonts w:eastAsia="Times New Roman" w:cstheme="minorHAnsi"/>
                <w:b/>
                <w:bCs/>
                <w:color w:val="000000"/>
                <w:sz w:val="24"/>
                <w:szCs w:val="24"/>
                <w:lang w:eastAsia="en-CA"/>
              </w:rPr>
            </w:pPr>
            <w:r w:rsidRPr="00B17476">
              <w:rPr>
                <w:rFonts w:eastAsia="Times New Roman" w:cstheme="minorHAnsi"/>
                <w:b/>
                <w:bCs/>
                <w:color w:val="000000"/>
                <w:sz w:val="24"/>
                <w:szCs w:val="24"/>
                <w:lang w:eastAsia="en-CA"/>
              </w:rPr>
              <w:t xml:space="preserve">DVA Continuity Schedule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441AC9A5" w14:textId="77777777" w:rsidR="002405D4" w:rsidRPr="00B17476" w:rsidRDefault="002405D4" w:rsidP="002405D4">
            <w:pPr>
              <w:spacing w:after="0" w:line="240" w:lineRule="auto"/>
              <w:jc w:val="center"/>
              <w:rPr>
                <w:rFonts w:eastAsia="Times New Roman" w:cstheme="minorHAnsi"/>
                <w:b/>
                <w:bCs/>
                <w:color w:val="000000"/>
                <w:sz w:val="24"/>
                <w:szCs w:val="24"/>
                <w:lang w:eastAsia="en-CA"/>
              </w:rPr>
            </w:pPr>
            <w:r w:rsidRPr="00B17476">
              <w:rPr>
                <w:rFonts w:eastAsia="Times New Roman" w:cstheme="minorHAnsi"/>
                <w:b/>
                <w:bCs/>
                <w:color w:val="000000"/>
                <w:sz w:val="24"/>
                <w:szCs w:val="24"/>
                <w:lang w:eastAsia="en-CA"/>
              </w:rPr>
              <w:t>GA Analysis Workform (Account 1588 tab)</w:t>
            </w:r>
          </w:p>
        </w:tc>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69EEC" w14:textId="77777777" w:rsidR="002405D4" w:rsidRPr="00B17476" w:rsidRDefault="002405D4" w:rsidP="002405D4">
            <w:pPr>
              <w:spacing w:after="0" w:line="240" w:lineRule="auto"/>
              <w:jc w:val="center"/>
              <w:rPr>
                <w:rFonts w:eastAsia="Times New Roman" w:cstheme="minorHAnsi"/>
                <w:b/>
                <w:bCs/>
                <w:color w:val="000000"/>
                <w:sz w:val="24"/>
                <w:szCs w:val="24"/>
                <w:lang w:eastAsia="en-CA"/>
              </w:rPr>
            </w:pPr>
            <w:r w:rsidRPr="00B17476">
              <w:rPr>
                <w:rFonts w:eastAsia="Times New Roman" w:cstheme="minorHAnsi"/>
                <w:b/>
                <w:bCs/>
                <w:color w:val="000000"/>
                <w:sz w:val="24"/>
                <w:szCs w:val="24"/>
                <w:lang w:eastAsia="en-CA"/>
              </w:rPr>
              <w:t>Difference</w:t>
            </w:r>
          </w:p>
        </w:tc>
      </w:tr>
      <w:tr w:rsidR="002405D4" w:rsidRPr="00B17476" w14:paraId="485AE063" w14:textId="77777777" w:rsidTr="00646719">
        <w:trPr>
          <w:trHeight w:val="288"/>
        </w:trPr>
        <w:tc>
          <w:tcPr>
            <w:tcW w:w="2400" w:type="dxa"/>
            <w:tcBorders>
              <w:top w:val="single" w:sz="4" w:space="0" w:color="auto"/>
              <w:left w:val="single" w:sz="4" w:space="0" w:color="auto"/>
              <w:bottom w:val="nil"/>
              <w:right w:val="single" w:sz="4" w:space="0" w:color="auto"/>
            </w:tcBorders>
            <w:shd w:val="clear" w:color="auto" w:fill="auto"/>
            <w:noWrap/>
            <w:vAlign w:val="bottom"/>
            <w:hideMark/>
          </w:tcPr>
          <w:p w14:paraId="4DC414F0" w14:textId="77777777" w:rsidR="002405D4" w:rsidRPr="00B17476" w:rsidRDefault="002405D4" w:rsidP="002405D4">
            <w:pPr>
              <w:spacing w:after="0" w:line="240" w:lineRule="auto"/>
              <w:rPr>
                <w:rFonts w:eastAsia="Times New Roman" w:cstheme="minorHAnsi"/>
                <w:color w:val="000000"/>
                <w:sz w:val="24"/>
                <w:szCs w:val="24"/>
                <w:lang w:eastAsia="en-CA"/>
              </w:rPr>
            </w:pPr>
            <w:r w:rsidRPr="00B17476">
              <w:rPr>
                <w:rFonts w:eastAsia="Times New Roman" w:cstheme="minorHAnsi"/>
                <w:color w:val="000000"/>
                <w:sz w:val="24"/>
                <w:szCs w:val="24"/>
                <w:lang w:eastAsia="en-CA"/>
              </w:rPr>
              <w:t xml:space="preserve"> Transactions </w:t>
            </w:r>
          </w:p>
        </w:tc>
        <w:tc>
          <w:tcPr>
            <w:tcW w:w="2136" w:type="dxa"/>
            <w:tcBorders>
              <w:top w:val="single" w:sz="4" w:space="0" w:color="auto"/>
              <w:left w:val="single" w:sz="4" w:space="0" w:color="auto"/>
              <w:bottom w:val="nil"/>
              <w:right w:val="nil"/>
            </w:tcBorders>
            <w:shd w:val="clear" w:color="auto" w:fill="auto"/>
            <w:noWrap/>
            <w:vAlign w:val="bottom"/>
            <w:hideMark/>
          </w:tcPr>
          <w:p w14:paraId="76642821" w14:textId="77777777" w:rsidR="002405D4" w:rsidRPr="00B17476" w:rsidRDefault="002405D4" w:rsidP="002405D4">
            <w:pPr>
              <w:spacing w:after="0" w:line="240" w:lineRule="auto"/>
              <w:jc w:val="center"/>
              <w:rPr>
                <w:rFonts w:eastAsia="Times New Roman" w:cstheme="minorHAnsi"/>
                <w:color w:val="000000"/>
                <w:sz w:val="24"/>
                <w:szCs w:val="24"/>
                <w:lang w:eastAsia="en-CA"/>
              </w:rPr>
            </w:pPr>
            <w:r w:rsidRPr="00B17476">
              <w:rPr>
                <w:rFonts w:eastAsia="Times New Roman" w:cstheme="minorHAnsi"/>
                <w:color w:val="000000"/>
                <w:sz w:val="24"/>
                <w:szCs w:val="24"/>
                <w:lang w:eastAsia="en-CA"/>
              </w:rPr>
              <w:t>-$216,048</w:t>
            </w:r>
          </w:p>
        </w:tc>
        <w:tc>
          <w:tcPr>
            <w:tcW w:w="2552" w:type="dxa"/>
            <w:tcBorders>
              <w:top w:val="single" w:sz="4" w:space="0" w:color="auto"/>
              <w:left w:val="nil"/>
              <w:bottom w:val="nil"/>
              <w:right w:val="single" w:sz="4" w:space="0" w:color="auto"/>
            </w:tcBorders>
            <w:shd w:val="clear" w:color="auto" w:fill="auto"/>
            <w:noWrap/>
            <w:vAlign w:val="bottom"/>
            <w:hideMark/>
          </w:tcPr>
          <w:p w14:paraId="7B647E3C" w14:textId="77777777" w:rsidR="002405D4" w:rsidRPr="00B17476" w:rsidRDefault="002405D4" w:rsidP="002405D4">
            <w:pPr>
              <w:spacing w:after="0" w:line="240" w:lineRule="auto"/>
              <w:jc w:val="center"/>
              <w:rPr>
                <w:rFonts w:eastAsia="Times New Roman" w:cstheme="minorHAnsi"/>
                <w:color w:val="000000"/>
                <w:sz w:val="24"/>
                <w:szCs w:val="24"/>
                <w:lang w:eastAsia="en-CA"/>
              </w:rPr>
            </w:pPr>
            <w:r w:rsidRPr="00B17476">
              <w:rPr>
                <w:rFonts w:eastAsia="Times New Roman" w:cstheme="minorHAnsi"/>
                <w:color w:val="000000"/>
                <w:sz w:val="24"/>
                <w:szCs w:val="24"/>
                <w:lang w:eastAsia="en-CA"/>
              </w:rPr>
              <w:t>$106,405</w:t>
            </w:r>
          </w:p>
        </w:tc>
        <w:tc>
          <w:tcPr>
            <w:tcW w:w="2680" w:type="dxa"/>
            <w:tcBorders>
              <w:top w:val="single" w:sz="4" w:space="0" w:color="auto"/>
              <w:left w:val="single" w:sz="4" w:space="0" w:color="auto"/>
              <w:bottom w:val="nil"/>
              <w:right w:val="single" w:sz="4" w:space="0" w:color="auto"/>
            </w:tcBorders>
            <w:shd w:val="clear" w:color="auto" w:fill="auto"/>
            <w:noWrap/>
            <w:vAlign w:val="bottom"/>
            <w:hideMark/>
          </w:tcPr>
          <w:p w14:paraId="594BB490" w14:textId="77777777" w:rsidR="002405D4" w:rsidRPr="00B17476" w:rsidRDefault="002405D4" w:rsidP="002405D4">
            <w:pPr>
              <w:spacing w:after="0" w:line="240" w:lineRule="auto"/>
              <w:jc w:val="center"/>
              <w:rPr>
                <w:rFonts w:eastAsia="Times New Roman" w:cstheme="minorHAnsi"/>
                <w:color w:val="000000"/>
                <w:sz w:val="24"/>
                <w:szCs w:val="24"/>
                <w:lang w:eastAsia="en-CA"/>
              </w:rPr>
            </w:pPr>
            <w:r w:rsidRPr="00B17476">
              <w:rPr>
                <w:rFonts w:eastAsia="Times New Roman" w:cstheme="minorHAnsi"/>
                <w:color w:val="000000"/>
                <w:sz w:val="24"/>
                <w:szCs w:val="24"/>
                <w:lang w:eastAsia="en-CA"/>
              </w:rPr>
              <w:t>-$322,453</w:t>
            </w:r>
          </w:p>
        </w:tc>
      </w:tr>
      <w:tr w:rsidR="002405D4" w:rsidRPr="00B17476" w14:paraId="052CCF56" w14:textId="77777777" w:rsidTr="00646719">
        <w:trPr>
          <w:trHeight w:val="288"/>
        </w:trPr>
        <w:tc>
          <w:tcPr>
            <w:tcW w:w="2400" w:type="dxa"/>
            <w:tcBorders>
              <w:top w:val="nil"/>
              <w:left w:val="single" w:sz="4" w:space="0" w:color="auto"/>
              <w:bottom w:val="nil"/>
              <w:right w:val="single" w:sz="4" w:space="0" w:color="auto"/>
            </w:tcBorders>
            <w:shd w:val="clear" w:color="auto" w:fill="auto"/>
            <w:noWrap/>
            <w:vAlign w:val="bottom"/>
            <w:hideMark/>
          </w:tcPr>
          <w:p w14:paraId="615F1B44" w14:textId="77777777" w:rsidR="002405D4" w:rsidRPr="00B17476" w:rsidRDefault="002405D4" w:rsidP="002405D4">
            <w:pPr>
              <w:spacing w:after="0" w:line="240" w:lineRule="auto"/>
              <w:rPr>
                <w:rFonts w:eastAsia="Times New Roman" w:cstheme="minorHAnsi"/>
                <w:color w:val="000000"/>
                <w:sz w:val="24"/>
                <w:szCs w:val="24"/>
                <w:lang w:eastAsia="en-CA"/>
              </w:rPr>
            </w:pPr>
            <w:r w:rsidRPr="00B17476">
              <w:rPr>
                <w:rFonts w:eastAsia="Times New Roman" w:cstheme="minorHAnsi"/>
                <w:color w:val="000000"/>
                <w:sz w:val="24"/>
                <w:szCs w:val="24"/>
                <w:lang w:eastAsia="en-CA"/>
              </w:rPr>
              <w:t xml:space="preserve"> Principal Adjustments </w:t>
            </w:r>
          </w:p>
        </w:tc>
        <w:tc>
          <w:tcPr>
            <w:tcW w:w="2136" w:type="dxa"/>
            <w:tcBorders>
              <w:top w:val="nil"/>
              <w:left w:val="single" w:sz="4" w:space="0" w:color="auto"/>
              <w:bottom w:val="single" w:sz="4" w:space="0" w:color="auto"/>
              <w:right w:val="nil"/>
            </w:tcBorders>
            <w:shd w:val="clear" w:color="auto" w:fill="auto"/>
            <w:noWrap/>
            <w:vAlign w:val="bottom"/>
            <w:hideMark/>
          </w:tcPr>
          <w:p w14:paraId="18A5EFB9" w14:textId="57681479" w:rsidR="002405D4" w:rsidRPr="00B17476" w:rsidRDefault="002405D4" w:rsidP="002405D4">
            <w:pPr>
              <w:spacing w:after="0" w:line="240" w:lineRule="auto"/>
              <w:jc w:val="center"/>
              <w:rPr>
                <w:rFonts w:eastAsia="Times New Roman" w:cstheme="minorHAnsi"/>
                <w:color w:val="000000"/>
                <w:sz w:val="24"/>
                <w:szCs w:val="24"/>
                <w:lang w:eastAsia="en-CA"/>
              </w:rPr>
            </w:pPr>
            <w:r w:rsidRPr="00B17476">
              <w:rPr>
                <w:rFonts w:eastAsia="Times New Roman" w:cstheme="minorHAnsi"/>
                <w:color w:val="000000"/>
                <w:sz w:val="24"/>
                <w:szCs w:val="24"/>
                <w:lang w:eastAsia="en-CA"/>
              </w:rPr>
              <w:t xml:space="preserve">-$ </w:t>
            </w:r>
            <w:r w:rsidR="00FE1FD7" w:rsidRPr="00B17476">
              <w:rPr>
                <w:rFonts w:eastAsia="Times New Roman" w:cstheme="minorHAnsi"/>
                <w:color w:val="000000"/>
                <w:sz w:val="24"/>
                <w:szCs w:val="24"/>
                <w:lang w:eastAsia="en-CA"/>
              </w:rPr>
              <w:t>477,584</w:t>
            </w:r>
          </w:p>
        </w:tc>
        <w:tc>
          <w:tcPr>
            <w:tcW w:w="2552" w:type="dxa"/>
            <w:tcBorders>
              <w:top w:val="nil"/>
              <w:left w:val="nil"/>
              <w:bottom w:val="single" w:sz="4" w:space="0" w:color="auto"/>
              <w:right w:val="single" w:sz="4" w:space="0" w:color="auto"/>
            </w:tcBorders>
            <w:shd w:val="clear" w:color="auto" w:fill="auto"/>
            <w:noWrap/>
            <w:vAlign w:val="bottom"/>
            <w:hideMark/>
          </w:tcPr>
          <w:p w14:paraId="30EA54E4" w14:textId="4C66C452" w:rsidR="002405D4" w:rsidRPr="00B17476" w:rsidRDefault="00390F2B" w:rsidP="002405D4">
            <w:pPr>
              <w:spacing w:after="0" w:line="240" w:lineRule="auto"/>
              <w:jc w:val="center"/>
              <w:rPr>
                <w:rFonts w:eastAsia="Times New Roman" w:cstheme="minorHAnsi"/>
                <w:color w:val="000000"/>
                <w:sz w:val="24"/>
                <w:szCs w:val="24"/>
                <w:lang w:eastAsia="en-CA"/>
              </w:rPr>
            </w:pPr>
            <w:r w:rsidRPr="00B17476">
              <w:rPr>
                <w:rFonts w:eastAsia="Times New Roman" w:cstheme="minorHAnsi"/>
                <w:color w:val="000000"/>
                <w:sz w:val="24"/>
                <w:szCs w:val="24"/>
                <w:lang w:eastAsia="en-CA"/>
              </w:rPr>
              <w:t>-$ 477,584</w:t>
            </w:r>
          </w:p>
        </w:tc>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28C769A6" w14:textId="54415B65" w:rsidR="002405D4" w:rsidRPr="00B17476" w:rsidRDefault="00390F2B" w:rsidP="002405D4">
            <w:pPr>
              <w:spacing w:after="0" w:line="240" w:lineRule="auto"/>
              <w:jc w:val="center"/>
              <w:rPr>
                <w:rFonts w:eastAsia="Times New Roman" w:cstheme="minorHAnsi"/>
                <w:color w:val="000000"/>
                <w:sz w:val="24"/>
                <w:szCs w:val="24"/>
                <w:lang w:eastAsia="en-CA"/>
              </w:rPr>
            </w:pPr>
            <w:r w:rsidRPr="00B17476">
              <w:rPr>
                <w:rFonts w:eastAsia="Times New Roman" w:cstheme="minorHAnsi"/>
                <w:color w:val="000000"/>
                <w:sz w:val="24"/>
                <w:szCs w:val="24"/>
                <w:lang w:eastAsia="en-CA"/>
              </w:rPr>
              <w:t>$0</w:t>
            </w:r>
          </w:p>
        </w:tc>
      </w:tr>
      <w:tr w:rsidR="002405D4" w:rsidRPr="00B17476" w14:paraId="7FA290FF" w14:textId="77777777" w:rsidTr="00646719">
        <w:trPr>
          <w:trHeight w:val="288"/>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31ADB67" w14:textId="77777777" w:rsidR="002405D4" w:rsidRPr="00B17476" w:rsidRDefault="002405D4" w:rsidP="002405D4">
            <w:pPr>
              <w:spacing w:after="0" w:line="240" w:lineRule="auto"/>
              <w:rPr>
                <w:rFonts w:eastAsia="Times New Roman" w:cstheme="minorHAnsi"/>
                <w:color w:val="000000"/>
                <w:sz w:val="24"/>
                <w:szCs w:val="24"/>
                <w:lang w:eastAsia="en-CA"/>
              </w:rPr>
            </w:pPr>
            <w:r w:rsidRPr="00B17476">
              <w:rPr>
                <w:rFonts w:eastAsia="Times New Roman" w:cstheme="minorHAnsi"/>
                <w:color w:val="000000"/>
                <w:sz w:val="24"/>
                <w:szCs w:val="24"/>
                <w:lang w:eastAsia="en-CA"/>
              </w:rPr>
              <w:t xml:space="preserve"> Total Activity </w:t>
            </w:r>
          </w:p>
        </w:tc>
        <w:tc>
          <w:tcPr>
            <w:tcW w:w="2136" w:type="dxa"/>
            <w:tcBorders>
              <w:top w:val="nil"/>
              <w:left w:val="single" w:sz="4" w:space="0" w:color="auto"/>
              <w:bottom w:val="single" w:sz="4" w:space="0" w:color="auto"/>
              <w:right w:val="nil"/>
            </w:tcBorders>
            <w:shd w:val="clear" w:color="auto" w:fill="auto"/>
            <w:noWrap/>
            <w:vAlign w:val="bottom"/>
            <w:hideMark/>
          </w:tcPr>
          <w:p w14:paraId="585FCAFE" w14:textId="27446151" w:rsidR="002405D4" w:rsidRPr="00B17476" w:rsidRDefault="002405D4" w:rsidP="002405D4">
            <w:pPr>
              <w:spacing w:after="0" w:line="240" w:lineRule="auto"/>
              <w:jc w:val="center"/>
              <w:rPr>
                <w:rFonts w:eastAsia="Times New Roman" w:cstheme="minorHAnsi"/>
                <w:color w:val="000000"/>
                <w:sz w:val="24"/>
                <w:szCs w:val="24"/>
                <w:lang w:eastAsia="en-CA"/>
              </w:rPr>
            </w:pPr>
            <w:r w:rsidRPr="00B17476">
              <w:rPr>
                <w:rFonts w:eastAsia="Times New Roman" w:cstheme="minorHAnsi"/>
                <w:color w:val="000000"/>
                <w:sz w:val="24"/>
                <w:szCs w:val="24"/>
                <w:lang w:eastAsia="en-CA"/>
              </w:rPr>
              <w:t>-$</w:t>
            </w:r>
            <w:r w:rsidR="000B0A57" w:rsidRPr="00B17476">
              <w:rPr>
                <w:rFonts w:eastAsia="Times New Roman" w:cstheme="minorHAnsi"/>
                <w:color w:val="000000"/>
                <w:sz w:val="24"/>
                <w:szCs w:val="24"/>
                <w:lang w:eastAsia="en-CA"/>
              </w:rPr>
              <w:t>693,632</w:t>
            </w:r>
          </w:p>
        </w:tc>
        <w:tc>
          <w:tcPr>
            <w:tcW w:w="2552" w:type="dxa"/>
            <w:tcBorders>
              <w:top w:val="nil"/>
              <w:left w:val="nil"/>
              <w:bottom w:val="single" w:sz="4" w:space="0" w:color="auto"/>
              <w:right w:val="single" w:sz="4" w:space="0" w:color="auto"/>
            </w:tcBorders>
            <w:shd w:val="clear" w:color="auto" w:fill="auto"/>
            <w:noWrap/>
            <w:vAlign w:val="bottom"/>
            <w:hideMark/>
          </w:tcPr>
          <w:p w14:paraId="6DFB6489" w14:textId="77777777" w:rsidR="002405D4" w:rsidRPr="00B17476" w:rsidRDefault="002405D4" w:rsidP="002405D4">
            <w:pPr>
              <w:spacing w:after="0" w:line="240" w:lineRule="auto"/>
              <w:jc w:val="center"/>
              <w:rPr>
                <w:rFonts w:eastAsia="Times New Roman" w:cstheme="minorHAnsi"/>
                <w:color w:val="000000"/>
                <w:sz w:val="24"/>
                <w:szCs w:val="24"/>
                <w:lang w:eastAsia="en-CA"/>
              </w:rPr>
            </w:pPr>
            <w:r w:rsidRPr="00B17476">
              <w:rPr>
                <w:rFonts w:eastAsia="Times New Roman" w:cstheme="minorHAnsi"/>
                <w:color w:val="000000"/>
                <w:sz w:val="24"/>
                <w:szCs w:val="24"/>
                <w:lang w:eastAsia="en-CA"/>
              </w:rPr>
              <w:t>-$48,726</w:t>
            </w:r>
          </w:p>
        </w:tc>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604CDC0C" w14:textId="77777777" w:rsidR="002405D4" w:rsidRPr="00B17476" w:rsidRDefault="002405D4" w:rsidP="002405D4">
            <w:pPr>
              <w:spacing w:after="0" w:line="240" w:lineRule="auto"/>
              <w:jc w:val="center"/>
              <w:rPr>
                <w:rFonts w:eastAsia="Times New Roman" w:cstheme="minorHAnsi"/>
                <w:color w:val="000000"/>
                <w:sz w:val="24"/>
                <w:szCs w:val="24"/>
                <w:lang w:eastAsia="en-CA"/>
              </w:rPr>
            </w:pPr>
            <w:r w:rsidRPr="00B17476">
              <w:rPr>
                <w:rFonts w:eastAsia="Times New Roman" w:cstheme="minorHAnsi"/>
                <w:color w:val="000000"/>
                <w:sz w:val="24"/>
                <w:szCs w:val="24"/>
                <w:lang w:eastAsia="en-CA"/>
              </w:rPr>
              <w:t>-$400,616</w:t>
            </w:r>
          </w:p>
        </w:tc>
      </w:tr>
    </w:tbl>
    <w:p w14:paraId="43E4A834" w14:textId="77777777" w:rsidR="002405D4" w:rsidRPr="00B17476" w:rsidRDefault="002405D4" w:rsidP="000F0E95">
      <w:pPr>
        <w:pStyle w:val="ListParagraph"/>
        <w:spacing w:after="240"/>
        <w:ind w:left="0"/>
        <w:rPr>
          <w:rFonts w:cstheme="minorHAnsi"/>
          <w:b/>
          <w:sz w:val="24"/>
          <w:szCs w:val="24"/>
        </w:rPr>
      </w:pPr>
    </w:p>
    <w:p w14:paraId="14389EF5" w14:textId="06984A7D" w:rsidR="000F0E95" w:rsidRPr="00B17476" w:rsidRDefault="000F0E95" w:rsidP="000F0E95">
      <w:pPr>
        <w:pStyle w:val="ListParagraph"/>
        <w:spacing w:after="240"/>
        <w:ind w:left="0"/>
        <w:rPr>
          <w:rFonts w:cstheme="minorHAnsi"/>
          <w:bCs/>
          <w:sz w:val="24"/>
          <w:szCs w:val="24"/>
        </w:rPr>
      </w:pPr>
      <w:r w:rsidRPr="00B17476">
        <w:rPr>
          <w:rFonts w:cstheme="minorHAnsi"/>
          <w:bCs/>
          <w:sz w:val="24"/>
          <w:szCs w:val="24"/>
        </w:rPr>
        <w:t>Please reconcile Transactions</w:t>
      </w:r>
      <w:r w:rsidR="00390F2B" w:rsidRPr="00B17476">
        <w:rPr>
          <w:rFonts w:cstheme="minorHAnsi"/>
          <w:bCs/>
          <w:sz w:val="24"/>
          <w:szCs w:val="24"/>
        </w:rPr>
        <w:t xml:space="preserve"> </w:t>
      </w:r>
      <w:r w:rsidRPr="00B17476">
        <w:rPr>
          <w:rFonts w:cstheme="minorHAnsi"/>
          <w:bCs/>
          <w:sz w:val="24"/>
          <w:szCs w:val="24"/>
        </w:rPr>
        <w:t xml:space="preserve">at reference 2) Tab ‘Account 1588’ to the values at reference 1) Tab ‘3. Continuity Schedule’. </w:t>
      </w:r>
      <w:bookmarkEnd w:id="8"/>
    </w:p>
    <w:p w14:paraId="197EA9E7" w14:textId="77777777" w:rsidR="00C63599" w:rsidRDefault="00C63599" w:rsidP="00C63599">
      <w:pPr>
        <w:pStyle w:val="BodyText"/>
        <w:spacing w:after="160" w:line="252" w:lineRule="auto"/>
        <w:contextualSpacing/>
        <w:jc w:val="both"/>
        <w:rPr>
          <w:rFonts w:asciiTheme="minorHAnsi" w:hAnsiTheme="minorHAnsi" w:cstheme="minorHAnsi"/>
          <w:b/>
          <w:color w:val="BD2025"/>
          <w:sz w:val="24"/>
          <w:szCs w:val="24"/>
        </w:rPr>
      </w:pPr>
      <w:r w:rsidRPr="007E55F3">
        <w:rPr>
          <w:rFonts w:asciiTheme="minorHAnsi" w:hAnsiTheme="minorHAnsi" w:cstheme="minorHAnsi"/>
          <w:b/>
          <w:color w:val="BD2025"/>
          <w:sz w:val="24"/>
          <w:szCs w:val="24"/>
        </w:rPr>
        <w:t xml:space="preserve">Response: </w:t>
      </w:r>
    </w:p>
    <w:p w14:paraId="58DD6365" w14:textId="7D386D2F" w:rsidR="00C63599" w:rsidRPr="00B34BE8" w:rsidRDefault="00C63599" w:rsidP="004B1B74">
      <w:pPr>
        <w:spacing w:after="240"/>
        <w:jc w:val="both"/>
        <w:rPr>
          <w:rFonts w:cstheme="minorHAnsi"/>
          <w:sz w:val="24"/>
          <w:szCs w:val="24"/>
        </w:rPr>
      </w:pPr>
      <w:r w:rsidRPr="00B34BE8">
        <w:rPr>
          <w:rFonts w:cstheme="minorHAnsi"/>
          <w:sz w:val="24"/>
          <w:szCs w:val="24"/>
        </w:rPr>
        <w:t xml:space="preserve">Oakville Hydro inadvertently populated </w:t>
      </w:r>
      <w:r w:rsidR="00EC4455" w:rsidRPr="00B34BE8">
        <w:rPr>
          <w:rFonts w:cstheme="minorHAnsi"/>
          <w:sz w:val="24"/>
          <w:szCs w:val="24"/>
        </w:rPr>
        <w:t>$106,405</w:t>
      </w:r>
      <w:r w:rsidR="0001667C">
        <w:rPr>
          <w:rFonts w:cstheme="minorHAnsi"/>
          <w:sz w:val="24"/>
          <w:szCs w:val="24"/>
        </w:rPr>
        <w:t xml:space="preserve"> (</w:t>
      </w:r>
      <w:r w:rsidR="0001667C" w:rsidRPr="00B34BE8">
        <w:rPr>
          <w:rFonts w:cstheme="minorHAnsi"/>
          <w:sz w:val="24"/>
          <w:szCs w:val="24"/>
        </w:rPr>
        <w:t>instead of -$216,048</w:t>
      </w:r>
      <w:r w:rsidR="0001667C">
        <w:rPr>
          <w:rFonts w:cstheme="minorHAnsi"/>
          <w:sz w:val="24"/>
          <w:szCs w:val="24"/>
        </w:rPr>
        <w:t>)</w:t>
      </w:r>
      <w:r w:rsidR="00EC4455" w:rsidRPr="00B34BE8">
        <w:rPr>
          <w:rFonts w:cstheme="minorHAnsi"/>
          <w:sz w:val="24"/>
          <w:szCs w:val="24"/>
        </w:rPr>
        <w:t xml:space="preserve"> in transactions column in Account 1588 tab of GA Analysis Workform</w:t>
      </w:r>
      <w:r w:rsidR="0001667C">
        <w:rPr>
          <w:rFonts w:cstheme="minorHAnsi"/>
          <w:sz w:val="24"/>
          <w:szCs w:val="24"/>
        </w:rPr>
        <w:t>.</w:t>
      </w:r>
      <w:r w:rsidR="00EC4455" w:rsidRPr="00B34BE8">
        <w:rPr>
          <w:rFonts w:cstheme="minorHAnsi"/>
          <w:sz w:val="24"/>
          <w:szCs w:val="24"/>
        </w:rPr>
        <w:t xml:space="preserve"> </w:t>
      </w:r>
      <w:r w:rsidRPr="00B34BE8">
        <w:rPr>
          <w:rFonts w:cstheme="minorHAnsi"/>
          <w:sz w:val="24"/>
          <w:szCs w:val="24"/>
        </w:rPr>
        <w:t xml:space="preserve">Oakville Hydro has updated the </w:t>
      </w:r>
      <w:r w:rsidR="00EC4455" w:rsidRPr="00B34BE8">
        <w:rPr>
          <w:rFonts w:cstheme="minorHAnsi"/>
          <w:sz w:val="24"/>
          <w:szCs w:val="24"/>
        </w:rPr>
        <w:t>GA Analysis Workform,</w:t>
      </w:r>
      <w:r w:rsidRPr="00B34BE8">
        <w:rPr>
          <w:rFonts w:cstheme="minorHAnsi"/>
          <w:sz w:val="24"/>
          <w:szCs w:val="24"/>
        </w:rPr>
        <w:t xml:space="preserve"> which will be filed separately.</w:t>
      </w:r>
    </w:p>
    <w:p w14:paraId="4D34DBB8" w14:textId="26415F7D" w:rsidR="002932A3" w:rsidRDefault="002932A3" w:rsidP="00C63599">
      <w:pPr>
        <w:pStyle w:val="BodyText"/>
        <w:spacing w:before="1" w:line="276" w:lineRule="auto"/>
        <w:ind w:right="149"/>
        <w:jc w:val="both"/>
        <w:rPr>
          <w:rFonts w:asciiTheme="minorHAnsi" w:hAnsiTheme="minorHAnsi" w:cstheme="minorHAnsi"/>
        </w:rPr>
      </w:pPr>
      <w:r w:rsidRPr="002932A3">
        <w:rPr>
          <w:noProof/>
        </w:rPr>
        <w:drawing>
          <wp:inline distT="0" distB="0" distL="0" distR="0" wp14:anchorId="1EA207B1" wp14:editId="79C2E1B6">
            <wp:extent cx="59436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0100"/>
                    </a:xfrm>
                    <a:prstGeom prst="rect">
                      <a:avLst/>
                    </a:prstGeom>
                    <a:noFill/>
                    <a:ln>
                      <a:noFill/>
                    </a:ln>
                  </pic:spPr>
                </pic:pic>
              </a:graphicData>
            </a:graphic>
          </wp:inline>
        </w:drawing>
      </w:r>
    </w:p>
    <w:p w14:paraId="7C8697B7" w14:textId="52773420" w:rsidR="00312EB8" w:rsidRPr="00B17476" w:rsidRDefault="00312EB8" w:rsidP="000F0E95">
      <w:pPr>
        <w:pStyle w:val="ListParagraph"/>
        <w:spacing w:after="240"/>
        <w:ind w:left="0"/>
        <w:rPr>
          <w:rFonts w:cstheme="minorHAnsi"/>
          <w:bCs/>
          <w:sz w:val="24"/>
          <w:szCs w:val="24"/>
        </w:rPr>
      </w:pPr>
    </w:p>
    <w:p w14:paraId="0DD051C2" w14:textId="77777777" w:rsidR="00720CD1" w:rsidRDefault="00720CD1">
      <w:pPr>
        <w:rPr>
          <w:rFonts w:cstheme="minorHAnsi"/>
          <w:b/>
          <w:sz w:val="28"/>
          <w:szCs w:val="28"/>
        </w:rPr>
      </w:pPr>
      <w:r>
        <w:rPr>
          <w:rFonts w:cstheme="minorHAnsi"/>
          <w:b/>
          <w:sz w:val="28"/>
          <w:szCs w:val="28"/>
        </w:rPr>
        <w:br w:type="page"/>
      </w:r>
    </w:p>
    <w:p w14:paraId="10321CB5" w14:textId="7DAA6ACE" w:rsidR="00312EB8" w:rsidRPr="00B17476" w:rsidRDefault="00312EB8" w:rsidP="00312EB8">
      <w:pPr>
        <w:spacing w:after="240"/>
        <w:rPr>
          <w:rFonts w:cstheme="minorHAnsi"/>
          <w:b/>
          <w:sz w:val="28"/>
          <w:szCs w:val="28"/>
        </w:rPr>
      </w:pPr>
      <w:r w:rsidRPr="00B17476">
        <w:rPr>
          <w:rFonts w:cstheme="minorHAnsi"/>
          <w:b/>
          <w:sz w:val="28"/>
          <w:szCs w:val="28"/>
        </w:rPr>
        <w:lastRenderedPageBreak/>
        <w:t>Staff Question-</w:t>
      </w:r>
      <w:r w:rsidR="007222FC" w:rsidRPr="00B17476">
        <w:rPr>
          <w:rFonts w:cstheme="minorHAnsi"/>
          <w:b/>
          <w:sz w:val="28"/>
          <w:szCs w:val="28"/>
        </w:rPr>
        <w:t>4</w:t>
      </w:r>
    </w:p>
    <w:p w14:paraId="6D83F5F0" w14:textId="77777777" w:rsidR="00312EB8" w:rsidRPr="00B17476" w:rsidRDefault="00312EB8" w:rsidP="00312EB8">
      <w:pPr>
        <w:spacing w:after="240"/>
        <w:rPr>
          <w:rFonts w:cstheme="minorHAnsi"/>
          <w:b/>
          <w:sz w:val="24"/>
          <w:szCs w:val="24"/>
        </w:rPr>
      </w:pPr>
      <w:r w:rsidRPr="00B17476">
        <w:rPr>
          <w:rFonts w:cstheme="minorHAnsi"/>
          <w:b/>
          <w:sz w:val="24"/>
          <w:szCs w:val="24"/>
        </w:rPr>
        <w:t>Ref:</w:t>
      </w:r>
    </w:p>
    <w:p w14:paraId="7A7EDC23" w14:textId="462A150B" w:rsidR="00312EB8" w:rsidRPr="00B17476" w:rsidRDefault="00703AA4" w:rsidP="007222FC">
      <w:pPr>
        <w:pStyle w:val="ListParagraph"/>
        <w:numPr>
          <w:ilvl w:val="0"/>
          <w:numId w:val="2"/>
        </w:numPr>
        <w:spacing w:after="240"/>
        <w:rPr>
          <w:rFonts w:cstheme="minorHAnsi"/>
          <w:bCs/>
          <w:sz w:val="24"/>
          <w:szCs w:val="24"/>
        </w:rPr>
      </w:pPr>
      <w:r w:rsidRPr="00B17476">
        <w:rPr>
          <w:rFonts w:cstheme="minorHAnsi"/>
          <w:bCs/>
          <w:sz w:val="24"/>
          <w:szCs w:val="24"/>
        </w:rPr>
        <w:t>Rate Generator Model</w:t>
      </w:r>
    </w:p>
    <w:p w14:paraId="21D7366E" w14:textId="77777777" w:rsidR="00312EB8" w:rsidRPr="00B17476" w:rsidRDefault="00312EB8" w:rsidP="00312EB8">
      <w:pPr>
        <w:pStyle w:val="ListParagraph"/>
        <w:spacing w:after="240"/>
        <w:ind w:left="360"/>
        <w:rPr>
          <w:rFonts w:cstheme="minorHAnsi"/>
          <w:b/>
          <w:sz w:val="24"/>
          <w:szCs w:val="24"/>
        </w:rPr>
      </w:pPr>
    </w:p>
    <w:p w14:paraId="42179826" w14:textId="0D51727F" w:rsidR="00312EB8" w:rsidRPr="00B17476" w:rsidRDefault="00312EB8" w:rsidP="00312EB8">
      <w:pPr>
        <w:pStyle w:val="ListParagraph"/>
        <w:spacing w:after="240"/>
        <w:ind w:left="0"/>
        <w:rPr>
          <w:rFonts w:cstheme="minorHAnsi"/>
          <w:bCs/>
          <w:sz w:val="24"/>
          <w:szCs w:val="24"/>
        </w:rPr>
      </w:pPr>
      <w:r w:rsidRPr="00B17476">
        <w:rPr>
          <w:rFonts w:cstheme="minorHAnsi"/>
          <w:b/>
          <w:sz w:val="24"/>
          <w:szCs w:val="24"/>
        </w:rPr>
        <w:t xml:space="preserve">Question: </w:t>
      </w:r>
      <w:r w:rsidRPr="00B17476">
        <w:rPr>
          <w:rFonts w:cstheme="minorHAnsi"/>
          <w:bCs/>
          <w:sz w:val="24"/>
          <w:szCs w:val="24"/>
        </w:rPr>
        <w:t>Please reconcile the highlighted cells and input data in column H and J (Hydro One Line Connection) in Tab ‘</w:t>
      </w:r>
      <w:proofErr w:type="gramStart"/>
      <w:r w:rsidRPr="00B17476">
        <w:rPr>
          <w:rFonts w:cstheme="minorHAnsi"/>
          <w:bCs/>
          <w:sz w:val="24"/>
          <w:szCs w:val="24"/>
        </w:rPr>
        <w:t>12.RTSR</w:t>
      </w:r>
      <w:proofErr w:type="gramEnd"/>
      <w:r w:rsidRPr="00B17476">
        <w:rPr>
          <w:rFonts w:cstheme="minorHAnsi"/>
          <w:bCs/>
          <w:sz w:val="24"/>
          <w:szCs w:val="24"/>
        </w:rPr>
        <w:t xml:space="preserve"> – Historical Wholesale’ at reference 1). </w:t>
      </w:r>
    </w:p>
    <w:p w14:paraId="07946889" w14:textId="77777777" w:rsidR="0078550D" w:rsidRDefault="0078550D" w:rsidP="0078550D">
      <w:pPr>
        <w:pStyle w:val="BodyText"/>
        <w:spacing w:after="160" w:line="252" w:lineRule="auto"/>
        <w:contextualSpacing/>
        <w:jc w:val="both"/>
        <w:rPr>
          <w:rFonts w:asciiTheme="minorHAnsi" w:hAnsiTheme="minorHAnsi" w:cstheme="minorHAnsi"/>
          <w:b/>
          <w:color w:val="BD2025"/>
          <w:sz w:val="24"/>
          <w:szCs w:val="24"/>
        </w:rPr>
      </w:pPr>
      <w:r w:rsidRPr="007E55F3">
        <w:rPr>
          <w:rFonts w:asciiTheme="minorHAnsi" w:hAnsiTheme="minorHAnsi" w:cstheme="minorHAnsi"/>
          <w:b/>
          <w:color w:val="BD2025"/>
          <w:sz w:val="24"/>
          <w:szCs w:val="24"/>
        </w:rPr>
        <w:t xml:space="preserve">Response: </w:t>
      </w:r>
    </w:p>
    <w:p w14:paraId="637AF6A8" w14:textId="3E32350A" w:rsidR="0078550D" w:rsidRPr="00B34BE8" w:rsidRDefault="008247BF" w:rsidP="00AC4B75">
      <w:pPr>
        <w:pStyle w:val="ListParagraph"/>
        <w:spacing w:after="240"/>
        <w:ind w:left="0"/>
        <w:jc w:val="both"/>
        <w:rPr>
          <w:rFonts w:cstheme="minorHAnsi"/>
          <w:bCs/>
          <w:sz w:val="24"/>
          <w:szCs w:val="24"/>
        </w:rPr>
      </w:pPr>
      <w:r w:rsidRPr="00B34BE8">
        <w:rPr>
          <w:rFonts w:cstheme="minorHAnsi"/>
          <w:bCs/>
          <w:sz w:val="24"/>
          <w:szCs w:val="24"/>
        </w:rPr>
        <w:t>Oakville Hydro confirms that there is no Line Connection charge paid to Hydro One</w:t>
      </w:r>
      <w:r w:rsidR="007D1F03">
        <w:rPr>
          <w:rFonts w:cstheme="minorHAnsi"/>
          <w:bCs/>
          <w:sz w:val="24"/>
          <w:szCs w:val="24"/>
        </w:rPr>
        <w:t>.</w:t>
      </w:r>
      <w:r w:rsidRPr="00B34BE8">
        <w:rPr>
          <w:rFonts w:cstheme="minorHAnsi"/>
          <w:bCs/>
          <w:sz w:val="24"/>
          <w:szCs w:val="24"/>
        </w:rPr>
        <w:t xml:space="preserve"> </w:t>
      </w:r>
      <w:r w:rsidR="007D1F03">
        <w:rPr>
          <w:rFonts w:cstheme="minorHAnsi"/>
          <w:bCs/>
          <w:sz w:val="24"/>
          <w:szCs w:val="24"/>
        </w:rPr>
        <w:t>Oakville Hydro</w:t>
      </w:r>
      <w:r w:rsidRPr="00B34BE8">
        <w:rPr>
          <w:rFonts w:cstheme="minorHAnsi"/>
          <w:bCs/>
          <w:sz w:val="24"/>
          <w:szCs w:val="24"/>
        </w:rPr>
        <w:t xml:space="preserve"> is charged by Hydro One only for the Network and Transformation Connection.</w:t>
      </w:r>
    </w:p>
    <w:p w14:paraId="210BC5FD" w14:textId="3C7685D6" w:rsidR="008247BF" w:rsidRDefault="008247BF" w:rsidP="0078550D">
      <w:pPr>
        <w:spacing w:after="240"/>
        <w:rPr>
          <w:rFonts w:cstheme="minorHAnsi"/>
        </w:rPr>
      </w:pPr>
    </w:p>
    <w:p w14:paraId="2C48CB1B" w14:textId="08EE64A1" w:rsidR="00884852" w:rsidRPr="00B17476" w:rsidRDefault="00884852" w:rsidP="00884852">
      <w:pPr>
        <w:spacing w:after="240"/>
        <w:rPr>
          <w:rFonts w:cstheme="minorHAnsi"/>
          <w:b/>
          <w:sz w:val="28"/>
          <w:szCs w:val="28"/>
        </w:rPr>
      </w:pPr>
      <w:bookmarkStart w:id="10" w:name="_Hlk112666434"/>
      <w:r w:rsidRPr="00B17476">
        <w:rPr>
          <w:rFonts w:cstheme="minorHAnsi"/>
          <w:b/>
          <w:sz w:val="28"/>
          <w:szCs w:val="28"/>
        </w:rPr>
        <w:t>Staff Question-</w:t>
      </w:r>
      <w:r w:rsidR="007222FC" w:rsidRPr="00B17476">
        <w:rPr>
          <w:rFonts w:cstheme="minorHAnsi"/>
          <w:b/>
          <w:sz w:val="28"/>
          <w:szCs w:val="28"/>
        </w:rPr>
        <w:t>5</w:t>
      </w:r>
    </w:p>
    <w:p w14:paraId="7FA49908" w14:textId="77777777" w:rsidR="00884852" w:rsidRPr="00B17476" w:rsidRDefault="00884852" w:rsidP="00884852">
      <w:pPr>
        <w:spacing w:after="240"/>
        <w:rPr>
          <w:rFonts w:cstheme="minorHAnsi"/>
          <w:b/>
          <w:sz w:val="24"/>
          <w:szCs w:val="24"/>
        </w:rPr>
      </w:pPr>
      <w:r w:rsidRPr="00B17476">
        <w:rPr>
          <w:rFonts w:cstheme="minorHAnsi"/>
          <w:b/>
          <w:sz w:val="24"/>
          <w:szCs w:val="24"/>
        </w:rPr>
        <w:t>Ref:</w:t>
      </w:r>
    </w:p>
    <w:bookmarkEnd w:id="10"/>
    <w:p w14:paraId="688FBA05" w14:textId="28474252" w:rsidR="00884852" w:rsidRPr="00B17476" w:rsidRDefault="00703AA4" w:rsidP="007222FC">
      <w:pPr>
        <w:pStyle w:val="ListParagraph"/>
        <w:numPr>
          <w:ilvl w:val="0"/>
          <w:numId w:val="3"/>
        </w:numPr>
        <w:spacing w:after="240"/>
        <w:rPr>
          <w:rFonts w:cstheme="minorHAnsi"/>
          <w:bCs/>
          <w:sz w:val="24"/>
          <w:szCs w:val="24"/>
        </w:rPr>
      </w:pPr>
      <w:r w:rsidRPr="00B17476">
        <w:rPr>
          <w:rFonts w:cstheme="minorHAnsi"/>
          <w:bCs/>
          <w:sz w:val="24"/>
          <w:szCs w:val="24"/>
        </w:rPr>
        <w:t>Rate Generator Model</w:t>
      </w:r>
    </w:p>
    <w:p w14:paraId="6CE0443B" w14:textId="77777777" w:rsidR="00884852" w:rsidRPr="00B17476" w:rsidRDefault="00884852" w:rsidP="00884852">
      <w:pPr>
        <w:pStyle w:val="ListParagraph"/>
        <w:spacing w:after="240"/>
        <w:ind w:left="360"/>
        <w:rPr>
          <w:rFonts w:cstheme="minorHAnsi"/>
          <w:b/>
          <w:sz w:val="24"/>
          <w:szCs w:val="24"/>
        </w:rPr>
      </w:pPr>
    </w:p>
    <w:p w14:paraId="72A67348" w14:textId="77777777" w:rsidR="00884852" w:rsidRPr="00B17476" w:rsidRDefault="00884852" w:rsidP="00884852">
      <w:pPr>
        <w:pStyle w:val="ListParagraph"/>
        <w:spacing w:after="240"/>
        <w:ind w:left="0"/>
        <w:rPr>
          <w:rFonts w:cstheme="minorHAnsi"/>
          <w:b/>
          <w:sz w:val="24"/>
          <w:szCs w:val="24"/>
          <w:lang w:val="en-US"/>
        </w:rPr>
      </w:pPr>
      <w:r w:rsidRPr="00B17476">
        <w:rPr>
          <w:rFonts w:cstheme="minorHAnsi"/>
          <w:b/>
          <w:sz w:val="24"/>
          <w:szCs w:val="24"/>
        </w:rPr>
        <w:t xml:space="preserve">Question: </w:t>
      </w:r>
      <w:r w:rsidRPr="00B17476">
        <w:rPr>
          <w:rFonts w:cstheme="minorHAnsi"/>
          <w:bCs/>
          <w:sz w:val="24"/>
          <w:szCs w:val="24"/>
          <w:lang w:val="en-US"/>
        </w:rPr>
        <w:t>At the above reference Tab ‘</w:t>
      </w:r>
      <w:proofErr w:type="gramStart"/>
      <w:r w:rsidRPr="00B17476">
        <w:rPr>
          <w:rFonts w:cstheme="minorHAnsi"/>
          <w:bCs/>
          <w:sz w:val="24"/>
          <w:szCs w:val="24"/>
          <w:lang w:val="en-US"/>
        </w:rPr>
        <w:t>6.Class</w:t>
      </w:r>
      <w:proofErr w:type="gramEnd"/>
      <w:r w:rsidRPr="00B17476">
        <w:rPr>
          <w:rFonts w:cstheme="minorHAnsi"/>
          <w:bCs/>
          <w:sz w:val="24"/>
          <w:szCs w:val="24"/>
          <w:lang w:val="en-US"/>
        </w:rPr>
        <w:t xml:space="preserve"> A Consumption Data’, Customer 7’s kW and kWh values in 2021 decrease from 1,121,260 kWh and 3168 kW to 358,332 kWh and 911 kW, respectively. Please confirm that the values noted are accurate and, if possible, explain the substantive change in this customer’s consumption and demand. </w:t>
      </w:r>
    </w:p>
    <w:p w14:paraId="74D4969C" w14:textId="77777777" w:rsidR="00C90BA3" w:rsidRDefault="00C90BA3" w:rsidP="00C90BA3">
      <w:pPr>
        <w:pStyle w:val="BodyText"/>
        <w:spacing w:after="160" w:line="252" w:lineRule="auto"/>
        <w:contextualSpacing/>
        <w:jc w:val="both"/>
        <w:rPr>
          <w:rFonts w:asciiTheme="minorHAnsi" w:hAnsiTheme="minorHAnsi" w:cstheme="minorHAnsi"/>
          <w:b/>
          <w:color w:val="BD2025"/>
          <w:sz w:val="24"/>
          <w:szCs w:val="24"/>
        </w:rPr>
      </w:pPr>
      <w:r w:rsidRPr="007E55F3">
        <w:rPr>
          <w:rFonts w:asciiTheme="minorHAnsi" w:hAnsiTheme="minorHAnsi" w:cstheme="minorHAnsi"/>
          <w:b/>
          <w:color w:val="BD2025"/>
          <w:sz w:val="24"/>
          <w:szCs w:val="24"/>
        </w:rPr>
        <w:t xml:space="preserve">Response: </w:t>
      </w:r>
    </w:p>
    <w:p w14:paraId="76A18810" w14:textId="39FCE918" w:rsidR="00884852" w:rsidRPr="00B17476" w:rsidRDefault="00323667" w:rsidP="00AC4B75">
      <w:pPr>
        <w:pStyle w:val="ListParagraph"/>
        <w:spacing w:after="240"/>
        <w:ind w:left="0"/>
        <w:jc w:val="both"/>
        <w:rPr>
          <w:rFonts w:cstheme="minorHAnsi"/>
          <w:bCs/>
          <w:sz w:val="24"/>
          <w:szCs w:val="24"/>
        </w:rPr>
      </w:pPr>
      <w:r w:rsidRPr="00B34BE8">
        <w:rPr>
          <w:rFonts w:cstheme="minorHAnsi"/>
          <w:bCs/>
          <w:sz w:val="24"/>
          <w:szCs w:val="24"/>
        </w:rPr>
        <w:t xml:space="preserve">Oakville Hydro confirms that the Customer 7’s kW and kWh values are accurate. The substantive change in this customer’s consumption and demand is because </w:t>
      </w:r>
      <w:r w:rsidR="00395C93">
        <w:rPr>
          <w:rFonts w:cstheme="minorHAnsi"/>
          <w:bCs/>
          <w:sz w:val="24"/>
          <w:szCs w:val="24"/>
        </w:rPr>
        <w:t xml:space="preserve">the customer was </w:t>
      </w:r>
      <w:r w:rsidR="00395C93" w:rsidRPr="00395C93">
        <w:rPr>
          <w:rFonts w:cstheme="minorHAnsi"/>
          <w:bCs/>
          <w:sz w:val="24"/>
          <w:szCs w:val="24"/>
        </w:rPr>
        <w:t>progressively shut</w:t>
      </w:r>
      <w:r w:rsidR="00395C93">
        <w:rPr>
          <w:rFonts w:cstheme="minorHAnsi"/>
          <w:bCs/>
          <w:sz w:val="24"/>
          <w:szCs w:val="24"/>
        </w:rPr>
        <w:t>ting</w:t>
      </w:r>
      <w:r w:rsidR="00395C93" w:rsidRPr="00395C93">
        <w:rPr>
          <w:rFonts w:cstheme="minorHAnsi"/>
          <w:bCs/>
          <w:sz w:val="24"/>
          <w:szCs w:val="24"/>
        </w:rPr>
        <w:t xml:space="preserve"> down</w:t>
      </w:r>
      <w:r w:rsidR="00395C93">
        <w:rPr>
          <w:rFonts w:cstheme="minorHAnsi"/>
          <w:bCs/>
          <w:sz w:val="24"/>
          <w:szCs w:val="24"/>
        </w:rPr>
        <w:t xml:space="preserve"> and </w:t>
      </w:r>
      <w:r w:rsidR="00395C93">
        <w:t xml:space="preserve">production moved to </w:t>
      </w:r>
      <w:r w:rsidR="00AC4B75">
        <w:t>another country</w:t>
      </w:r>
      <w:r w:rsidR="00395C93">
        <w:t xml:space="preserve"> at the end of December 2021.</w:t>
      </w:r>
    </w:p>
    <w:p w14:paraId="3E719DE7" w14:textId="77777777" w:rsidR="00720CD1" w:rsidRDefault="00720CD1">
      <w:pPr>
        <w:rPr>
          <w:rFonts w:cstheme="minorHAnsi"/>
          <w:b/>
          <w:sz w:val="28"/>
          <w:szCs w:val="28"/>
        </w:rPr>
      </w:pPr>
      <w:r>
        <w:rPr>
          <w:rFonts w:cstheme="minorHAnsi"/>
          <w:b/>
          <w:sz w:val="28"/>
          <w:szCs w:val="28"/>
        </w:rPr>
        <w:br w:type="page"/>
      </w:r>
    </w:p>
    <w:p w14:paraId="3F0E3278" w14:textId="0BDD28C4" w:rsidR="002405D4" w:rsidRPr="00B17476" w:rsidRDefault="002405D4" w:rsidP="002405D4">
      <w:pPr>
        <w:spacing w:after="240"/>
        <w:rPr>
          <w:rFonts w:cstheme="minorHAnsi"/>
          <w:b/>
          <w:sz w:val="28"/>
          <w:szCs w:val="28"/>
        </w:rPr>
      </w:pPr>
      <w:r w:rsidRPr="00B17476">
        <w:rPr>
          <w:rFonts w:cstheme="minorHAnsi"/>
          <w:b/>
          <w:sz w:val="28"/>
          <w:szCs w:val="28"/>
        </w:rPr>
        <w:lastRenderedPageBreak/>
        <w:t>Staff Question-</w:t>
      </w:r>
      <w:r w:rsidR="007222FC" w:rsidRPr="00B17476">
        <w:rPr>
          <w:rFonts w:cstheme="minorHAnsi"/>
          <w:b/>
          <w:sz w:val="28"/>
          <w:szCs w:val="28"/>
        </w:rPr>
        <w:t>6</w:t>
      </w:r>
    </w:p>
    <w:p w14:paraId="1EB2F685" w14:textId="77777777" w:rsidR="002405D4" w:rsidRPr="00B17476" w:rsidRDefault="002405D4" w:rsidP="002405D4">
      <w:pPr>
        <w:spacing w:after="240"/>
        <w:rPr>
          <w:rFonts w:cstheme="minorHAnsi"/>
          <w:b/>
          <w:sz w:val="24"/>
          <w:szCs w:val="24"/>
        </w:rPr>
      </w:pPr>
      <w:r w:rsidRPr="00B17476">
        <w:rPr>
          <w:rFonts w:cstheme="minorHAnsi"/>
          <w:b/>
          <w:sz w:val="24"/>
          <w:szCs w:val="24"/>
        </w:rPr>
        <w:t>Ref:</w:t>
      </w:r>
    </w:p>
    <w:p w14:paraId="52A80663" w14:textId="2F8B3F4B" w:rsidR="002405D4" w:rsidRPr="00B17476" w:rsidRDefault="002405D4" w:rsidP="007222FC">
      <w:pPr>
        <w:pStyle w:val="ListParagraph"/>
        <w:numPr>
          <w:ilvl w:val="0"/>
          <w:numId w:val="6"/>
        </w:numPr>
        <w:spacing w:after="240"/>
        <w:rPr>
          <w:rFonts w:cstheme="minorHAnsi"/>
          <w:bCs/>
          <w:sz w:val="24"/>
          <w:szCs w:val="24"/>
        </w:rPr>
      </w:pPr>
      <w:r w:rsidRPr="00B17476">
        <w:rPr>
          <w:rFonts w:cstheme="minorHAnsi"/>
          <w:bCs/>
          <w:sz w:val="24"/>
          <w:szCs w:val="24"/>
        </w:rPr>
        <w:t>2023 GA Analysis Workform</w:t>
      </w:r>
    </w:p>
    <w:p w14:paraId="0C07E94E" w14:textId="3E1245E7" w:rsidR="002405D4" w:rsidRPr="00B17476" w:rsidRDefault="002405D4" w:rsidP="002405D4">
      <w:pPr>
        <w:spacing w:after="240"/>
        <w:rPr>
          <w:rFonts w:cstheme="minorHAnsi"/>
          <w:b/>
          <w:sz w:val="24"/>
          <w:szCs w:val="24"/>
        </w:rPr>
      </w:pPr>
      <w:r w:rsidRPr="00B17476">
        <w:rPr>
          <w:rFonts w:cstheme="minorHAnsi"/>
          <w:b/>
          <w:sz w:val="24"/>
          <w:szCs w:val="24"/>
        </w:rPr>
        <w:t xml:space="preserve">Question: </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420"/>
        <w:gridCol w:w="2420"/>
        <w:gridCol w:w="2420"/>
      </w:tblGrid>
      <w:tr w:rsidR="003F5BCB" w:rsidRPr="00B17476" w14:paraId="30FB89FE" w14:textId="77777777" w:rsidTr="00646719">
        <w:trPr>
          <w:trHeight w:val="288"/>
        </w:trPr>
        <w:tc>
          <w:tcPr>
            <w:tcW w:w="2120" w:type="dxa"/>
            <w:shd w:val="clear" w:color="auto" w:fill="auto"/>
            <w:noWrap/>
            <w:vAlign w:val="bottom"/>
            <w:hideMark/>
          </w:tcPr>
          <w:p w14:paraId="1F2288BF" w14:textId="77777777" w:rsidR="003F5BCB" w:rsidRPr="00B17476" w:rsidRDefault="003F5BCB" w:rsidP="003F5BCB">
            <w:pPr>
              <w:spacing w:after="0" w:line="240" w:lineRule="auto"/>
              <w:rPr>
                <w:rFonts w:eastAsia="Times New Roman" w:cstheme="minorHAnsi"/>
                <w:sz w:val="24"/>
                <w:szCs w:val="24"/>
                <w:lang w:eastAsia="en-CA"/>
              </w:rPr>
            </w:pPr>
          </w:p>
        </w:tc>
        <w:tc>
          <w:tcPr>
            <w:tcW w:w="2420" w:type="dxa"/>
            <w:shd w:val="clear" w:color="auto" w:fill="auto"/>
            <w:noWrap/>
            <w:vAlign w:val="bottom"/>
            <w:hideMark/>
          </w:tcPr>
          <w:p w14:paraId="0AE4D28B" w14:textId="77777777" w:rsidR="003F5BCB" w:rsidRPr="00B17476" w:rsidRDefault="003F5BCB" w:rsidP="003F5BCB">
            <w:pPr>
              <w:spacing w:after="0" w:line="240" w:lineRule="auto"/>
              <w:jc w:val="center"/>
              <w:rPr>
                <w:rFonts w:eastAsia="Times New Roman" w:cstheme="minorHAnsi"/>
                <w:b/>
                <w:bCs/>
                <w:color w:val="000000"/>
                <w:sz w:val="24"/>
                <w:szCs w:val="24"/>
                <w:lang w:eastAsia="en-CA"/>
              </w:rPr>
            </w:pPr>
            <w:r w:rsidRPr="00B17476">
              <w:rPr>
                <w:rFonts w:eastAsia="Times New Roman" w:cstheme="minorHAnsi"/>
                <w:b/>
                <w:bCs/>
                <w:color w:val="000000"/>
                <w:sz w:val="24"/>
                <w:szCs w:val="24"/>
                <w:lang w:eastAsia="en-CA"/>
              </w:rPr>
              <w:t>RRR</w:t>
            </w:r>
          </w:p>
        </w:tc>
        <w:tc>
          <w:tcPr>
            <w:tcW w:w="2420" w:type="dxa"/>
            <w:shd w:val="clear" w:color="auto" w:fill="auto"/>
            <w:noWrap/>
            <w:vAlign w:val="bottom"/>
            <w:hideMark/>
          </w:tcPr>
          <w:p w14:paraId="076DD918" w14:textId="77777777" w:rsidR="003F5BCB" w:rsidRPr="00B17476" w:rsidRDefault="003F5BCB" w:rsidP="003F5BCB">
            <w:pPr>
              <w:spacing w:after="0" w:line="240" w:lineRule="auto"/>
              <w:jc w:val="center"/>
              <w:rPr>
                <w:rFonts w:eastAsia="Times New Roman" w:cstheme="minorHAnsi"/>
                <w:b/>
                <w:bCs/>
                <w:color w:val="000000"/>
                <w:sz w:val="24"/>
                <w:szCs w:val="24"/>
                <w:lang w:eastAsia="en-CA"/>
              </w:rPr>
            </w:pPr>
            <w:r w:rsidRPr="00B17476">
              <w:rPr>
                <w:rFonts w:eastAsia="Times New Roman" w:cstheme="minorHAnsi"/>
                <w:b/>
                <w:bCs/>
                <w:color w:val="000000"/>
                <w:sz w:val="24"/>
                <w:szCs w:val="24"/>
                <w:lang w:eastAsia="en-CA"/>
              </w:rPr>
              <w:t>GA Analysis Workform (GA 2021 tab)</w:t>
            </w:r>
          </w:p>
        </w:tc>
        <w:tc>
          <w:tcPr>
            <w:tcW w:w="2420" w:type="dxa"/>
            <w:shd w:val="clear" w:color="auto" w:fill="auto"/>
            <w:noWrap/>
            <w:vAlign w:val="bottom"/>
            <w:hideMark/>
          </w:tcPr>
          <w:p w14:paraId="1C2E22D8" w14:textId="77777777" w:rsidR="003F5BCB" w:rsidRPr="00B17476" w:rsidRDefault="003F5BCB" w:rsidP="003F5BCB">
            <w:pPr>
              <w:spacing w:after="0" w:line="240" w:lineRule="auto"/>
              <w:jc w:val="center"/>
              <w:rPr>
                <w:rFonts w:eastAsia="Times New Roman" w:cstheme="minorHAnsi"/>
                <w:b/>
                <w:bCs/>
                <w:color w:val="000000"/>
                <w:sz w:val="24"/>
                <w:szCs w:val="24"/>
                <w:lang w:eastAsia="en-CA"/>
              </w:rPr>
            </w:pPr>
            <w:r w:rsidRPr="00B17476">
              <w:rPr>
                <w:rFonts w:eastAsia="Times New Roman" w:cstheme="minorHAnsi"/>
                <w:b/>
                <w:bCs/>
                <w:color w:val="000000"/>
                <w:sz w:val="24"/>
                <w:szCs w:val="24"/>
                <w:lang w:eastAsia="en-CA"/>
              </w:rPr>
              <w:t>Difference</w:t>
            </w:r>
          </w:p>
        </w:tc>
      </w:tr>
      <w:tr w:rsidR="003F5BCB" w:rsidRPr="00B17476" w14:paraId="120F6988" w14:textId="77777777" w:rsidTr="00646719">
        <w:trPr>
          <w:trHeight w:val="288"/>
        </w:trPr>
        <w:tc>
          <w:tcPr>
            <w:tcW w:w="2120" w:type="dxa"/>
            <w:shd w:val="clear" w:color="auto" w:fill="auto"/>
            <w:noWrap/>
            <w:vAlign w:val="bottom"/>
            <w:hideMark/>
          </w:tcPr>
          <w:p w14:paraId="3CE9A0BA" w14:textId="77777777" w:rsidR="003F5BCB" w:rsidRPr="00B17476" w:rsidRDefault="003F5BCB" w:rsidP="003F5BCB">
            <w:pPr>
              <w:spacing w:after="0" w:line="240" w:lineRule="auto"/>
              <w:rPr>
                <w:rFonts w:eastAsia="Times New Roman" w:cstheme="minorHAnsi"/>
                <w:color w:val="000000"/>
                <w:sz w:val="24"/>
                <w:szCs w:val="24"/>
                <w:lang w:eastAsia="en-CA"/>
              </w:rPr>
            </w:pPr>
            <w:r w:rsidRPr="00B17476">
              <w:rPr>
                <w:rFonts w:eastAsia="Times New Roman" w:cstheme="minorHAnsi"/>
                <w:color w:val="000000"/>
                <w:sz w:val="24"/>
                <w:szCs w:val="24"/>
                <w:lang w:eastAsia="en-CA"/>
              </w:rPr>
              <w:t>Non-RPP Class A</w:t>
            </w:r>
          </w:p>
        </w:tc>
        <w:tc>
          <w:tcPr>
            <w:tcW w:w="2420" w:type="dxa"/>
            <w:shd w:val="clear" w:color="auto" w:fill="auto"/>
            <w:noWrap/>
            <w:vAlign w:val="center"/>
            <w:hideMark/>
          </w:tcPr>
          <w:p w14:paraId="69C7D609" w14:textId="77777777" w:rsidR="003F5BCB" w:rsidRPr="00B17476" w:rsidRDefault="003F5BCB" w:rsidP="003F5BCB">
            <w:pPr>
              <w:spacing w:after="0" w:line="240" w:lineRule="auto"/>
              <w:jc w:val="center"/>
              <w:rPr>
                <w:rFonts w:eastAsia="Times New Roman" w:cstheme="minorHAnsi"/>
                <w:sz w:val="24"/>
                <w:szCs w:val="24"/>
                <w:lang w:eastAsia="en-CA"/>
              </w:rPr>
            </w:pPr>
            <w:r w:rsidRPr="00B17476">
              <w:rPr>
                <w:rFonts w:eastAsia="Calibri" w:cstheme="minorHAnsi"/>
                <w:sz w:val="24"/>
                <w:szCs w:val="24"/>
              </w:rPr>
              <w:t>196,664,453</w:t>
            </w:r>
          </w:p>
        </w:tc>
        <w:tc>
          <w:tcPr>
            <w:tcW w:w="2420" w:type="dxa"/>
            <w:shd w:val="clear" w:color="auto" w:fill="auto"/>
            <w:noWrap/>
            <w:vAlign w:val="bottom"/>
            <w:hideMark/>
          </w:tcPr>
          <w:p w14:paraId="326B08A3" w14:textId="77777777" w:rsidR="003F5BCB" w:rsidRPr="00B17476" w:rsidRDefault="003F5BCB" w:rsidP="003F5BCB">
            <w:pPr>
              <w:spacing w:after="0" w:line="240" w:lineRule="auto"/>
              <w:jc w:val="center"/>
              <w:rPr>
                <w:rFonts w:eastAsia="Times New Roman" w:cstheme="minorHAnsi"/>
                <w:color w:val="000000"/>
                <w:sz w:val="24"/>
                <w:szCs w:val="24"/>
                <w:lang w:eastAsia="en-CA"/>
              </w:rPr>
            </w:pPr>
            <w:r w:rsidRPr="00B17476">
              <w:rPr>
                <w:rFonts w:eastAsia="Calibri" w:cstheme="minorHAnsi"/>
                <w:color w:val="000000"/>
                <w:sz w:val="24"/>
                <w:szCs w:val="24"/>
              </w:rPr>
              <w:t>191,011,654</w:t>
            </w:r>
          </w:p>
        </w:tc>
        <w:tc>
          <w:tcPr>
            <w:tcW w:w="2420" w:type="dxa"/>
            <w:shd w:val="clear" w:color="auto" w:fill="auto"/>
            <w:noWrap/>
            <w:vAlign w:val="bottom"/>
            <w:hideMark/>
          </w:tcPr>
          <w:p w14:paraId="4F37283C" w14:textId="77777777" w:rsidR="003F5BCB" w:rsidRPr="00B17476" w:rsidRDefault="003F5BCB" w:rsidP="003F5BCB">
            <w:pPr>
              <w:spacing w:after="0" w:line="240" w:lineRule="auto"/>
              <w:jc w:val="center"/>
              <w:rPr>
                <w:rFonts w:eastAsia="Times New Roman" w:cstheme="minorHAnsi"/>
                <w:color w:val="000000"/>
                <w:sz w:val="24"/>
                <w:szCs w:val="24"/>
                <w:lang w:eastAsia="en-CA"/>
              </w:rPr>
            </w:pPr>
            <w:r w:rsidRPr="00B17476">
              <w:rPr>
                <w:rFonts w:eastAsia="Calibri" w:cstheme="minorHAnsi"/>
                <w:color w:val="000000"/>
                <w:sz w:val="24"/>
                <w:szCs w:val="24"/>
              </w:rPr>
              <w:t>5,652,799</w:t>
            </w:r>
          </w:p>
        </w:tc>
      </w:tr>
      <w:tr w:rsidR="003F5BCB" w:rsidRPr="00B17476" w14:paraId="069E1C74" w14:textId="77777777" w:rsidTr="00646719">
        <w:trPr>
          <w:trHeight w:val="288"/>
        </w:trPr>
        <w:tc>
          <w:tcPr>
            <w:tcW w:w="2120" w:type="dxa"/>
            <w:shd w:val="clear" w:color="auto" w:fill="auto"/>
            <w:noWrap/>
            <w:vAlign w:val="bottom"/>
            <w:hideMark/>
          </w:tcPr>
          <w:p w14:paraId="745030D0" w14:textId="77777777" w:rsidR="003F5BCB" w:rsidRPr="00B17476" w:rsidRDefault="003F5BCB" w:rsidP="003F5BCB">
            <w:pPr>
              <w:spacing w:after="0" w:line="240" w:lineRule="auto"/>
              <w:rPr>
                <w:rFonts w:eastAsia="Times New Roman" w:cstheme="minorHAnsi"/>
                <w:color w:val="000000"/>
                <w:sz w:val="24"/>
                <w:szCs w:val="24"/>
                <w:lang w:eastAsia="en-CA"/>
              </w:rPr>
            </w:pPr>
            <w:r w:rsidRPr="00B17476">
              <w:rPr>
                <w:rFonts w:eastAsia="Times New Roman" w:cstheme="minorHAnsi"/>
                <w:color w:val="000000"/>
                <w:sz w:val="24"/>
                <w:szCs w:val="24"/>
                <w:lang w:eastAsia="en-CA"/>
              </w:rPr>
              <w:t>Non-RPP Class B*</w:t>
            </w:r>
          </w:p>
        </w:tc>
        <w:tc>
          <w:tcPr>
            <w:tcW w:w="2420" w:type="dxa"/>
            <w:shd w:val="clear" w:color="auto" w:fill="auto"/>
            <w:noWrap/>
            <w:vAlign w:val="bottom"/>
            <w:hideMark/>
          </w:tcPr>
          <w:p w14:paraId="436D946C" w14:textId="77777777" w:rsidR="003F5BCB" w:rsidRPr="00B17476" w:rsidRDefault="003F5BCB" w:rsidP="003F5BCB">
            <w:pPr>
              <w:spacing w:after="0" w:line="240" w:lineRule="auto"/>
              <w:jc w:val="center"/>
              <w:rPr>
                <w:rFonts w:eastAsia="Times New Roman" w:cstheme="minorHAnsi"/>
                <w:color w:val="000000"/>
                <w:sz w:val="24"/>
                <w:szCs w:val="24"/>
                <w:lang w:eastAsia="en-CA"/>
              </w:rPr>
            </w:pPr>
            <w:r w:rsidRPr="00B17476">
              <w:rPr>
                <w:rFonts w:eastAsia="Calibri" w:cstheme="minorHAnsi"/>
                <w:color w:val="000000"/>
                <w:sz w:val="24"/>
                <w:szCs w:val="24"/>
              </w:rPr>
              <w:t>496,009,593</w:t>
            </w:r>
          </w:p>
        </w:tc>
        <w:tc>
          <w:tcPr>
            <w:tcW w:w="2420" w:type="dxa"/>
            <w:shd w:val="clear" w:color="auto" w:fill="auto"/>
            <w:noWrap/>
            <w:vAlign w:val="bottom"/>
            <w:hideMark/>
          </w:tcPr>
          <w:p w14:paraId="5DE3CC9F" w14:textId="77777777" w:rsidR="003F5BCB" w:rsidRPr="00B17476" w:rsidRDefault="003F5BCB" w:rsidP="003F5BCB">
            <w:pPr>
              <w:spacing w:after="0" w:line="240" w:lineRule="auto"/>
              <w:jc w:val="center"/>
              <w:rPr>
                <w:rFonts w:eastAsia="Times New Roman" w:cstheme="minorHAnsi"/>
                <w:color w:val="000000"/>
                <w:sz w:val="24"/>
                <w:szCs w:val="24"/>
                <w:lang w:eastAsia="en-CA"/>
              </w:rPr>
            </w:pPr>
            <w:r w:rsidRPr="00B17476">
              <w:rPr>
                <w:rFonts w:eastAsia="Calibri" w:cstheme="minorHAnsi"/>
                <w:color w:val="000000"/>
                <w:sz w:val="24"/>
                <w:szCs w:val="24"/>
              </w:rPr>
              <w:t>501,662,393</w:t>
            </w:r>
          </w:p>
        </w:tc>
        <w:tc>
          <w:tcPr>
            <w:tcW w:w="2420" w:type="dxa"/>
            <w:shd w:val="clear" w:color="auto" w:fill="auto"/>
            <w:noWrap/>
            <w:vAlign w:val="bottom"/>
            <w:hideMark/>
          </w:tcPr>
          <w:p w14:paraId="072DE45B" w14:textId="77777777" w:rsidR="003F5BCB" w:rsidRPr="00B17476" w:rsidRDefault="003F5BCB" w:rsidP="003F5BCB">
            <w:pPr>
              <w:spacing w:after="0" w:line="240" w:lineRule="auto"/>
              <w:jc w:val="center"/>
              <w:rPr>
                <w:rFonts w:eastAsia="Times New Roman" w:cstheme="minorHAnsi"/>
                <w:color w:val="000000"/>
                <w:sz w:val="24"/>
                <w:szCs w:val="24"/>
                <w:lang w:eastAsia="en-CA"/>
              </w:rPr>
            </w:pPr>
            <w:r w:rsidRPr="00B17476">
              <w:rPr>
                <w:rFonts w:eastAsia="Calibri" w:cstheme="minorHAnsi"/>
                <w:color w:val="000000"/>
                <w:sz w:val="24"/>
                <w:szCs w:val="24"/>
              </w:rPr>
              <w:t>- 5,652,800</w:t>
            </w:r>
          </w:p>
        </w:tc>
      </w:tr>
    </w:tbl>
    <w:p w14:paraId="5E1087B5" w14:textId="77777777" w:rsidR="007A60D9" w:rsidRPr="00B17476" w:rsidRDefault="007A60D9" w:rsidP="002405D4">
      <w:pPr>
        <w:spacing w:after="240"/>
        <w:rPr>
          <w:rFonts w:cstheme="minorHAnsi"/>
          <w:b/>
          <w:sz w:val="24"/>
          <w:szCs w:val="24"/>
        </w:rPr>
      </w:pPr>
    </w:p>
    <w:p w14:paraId="188C2F9D" w14:textId="0EF79641" w:rsidR="00884852" w:rsidRDefault="007A60D9" w:rsidP="00884852">
      <w:pPr>
        <w:spacing w:after="240"/>
        <w:rPr>
          <w:rFonts w:cstheme="minorHAnsi"/>
          <w:bCs/>
          <w:sz w:val="24"/>
          <w:szCs w:val="24"/>
        </w:rPr>
      </w:pPr>
      <w:r w:rsidRPr="00B17476">
        <w:rPr>
          <w:rFonts w:cstheme="minorHAnsi"/>
          <w:bCs/>
          <w:sz w:val="24"/>
          <w:szCs w:val="24"/>
        </w:rPr>
        <w:t xml:space="preserve">Please reconcile and explain the above noted difference in the RRR data and consumption data entered at reference 1) tab ‘GA 2021’ cell D17 and D18. Please update the GA analysis </w:t>
      </w:r>
      <w:proofErr w:type="spellStart"/>
      <w:r w:rsidRPr="00B17476">
        <w:rPr>
          <w:rFonts w:cstheme="minorHAnsi"/>
          <w:bCs/>
          <w:sz w:val="24"/>
          <w:szCs w:val="24"/>
        </w:rPr>
        <w:t>workform</w:t>
      </w:r>
      <w:proofErr w:type="spellEnd"/>
      <w:r w:rsidRPr="00B17476">
        <w:rPr>
          <w:rFonts w:cstheme="minorHAnsi"/>
          <w:bCs/>
          <w:sz w:val="24"/>
          <w:szCs w:val="24"/>
        </w:rPr>
        <w:t xml:space="preserve"> accordingly. </w:t>
      </w:r>
    </w:p>
    <w:p w14:paraId="3C25AB42" w14:textId="77777777" w:rsidR="00C90BA3" w:rsidRDefault="00C90BA3" w:rsidP="00C90BA3">
      <w:pPr>
        <w:pStyle w:val="BodyText"/>
        <w:spacing w:after="160" w:line="252" w:lineRule="auto"/>
        <w:contextualSpacing/>
        <w:jc w:val="both"/>
        <w:rPr>
          <w:rFonts w:asciiTheme="minorHAnsi" w:hAnsiTheme="minorHAnsi" w:cstheme="minorHAnsi"/>
          <w:b/>
          <w:color w:val="BD2025"/>
          <w:sz w:val="24"/>
          <w:szCs w:val="24"/>
        </w:rPr>
      </w:pPr>
      <w:r w:rsidRPr="007E55F3">
        <w:rPr>
          <w:rFonts w:asciiTheme="minorHAnsi" w:hAnsiTheme="minorHAnsi" w:cstheme="minorHAnsi"/>
          <w:b/>
          <w:color w:val="BD2025"/>
          <w:sz w:val="24"/>
          <w:szCs w:val="24"/>
        </w:rPr>
        <w:t xml:space="preserve">Response: </w:t>
      </w:r>
    </w:p>
    <w:p w14:paraId="4845628E" w14:textId="0AF12822" w:rsidR="00A27A16" w:rsidRDefault="00C90BA3" w:rsidP="00884852">
      <w:pPr>
        <w:spacing w:after="240"/>
        <w:rPr>
          <w:rFonts w:cstheme="minorHAnsi"/>
          <w:bCs/>
          <w:sz w:val="24"/>
          <w:szCs w:val="24"/>
        </w:rPr>
      </w:pPr>
      <w:r w:rsidRPr="00C90BA3">
        <w:rPr>
          <w:rFonts w:cstheme="minorHAnsi"/>
          <w:bCs/>
          <w:sz w:val="24"/>
          <w:szCs w:val="24"/>
        </w:rPr>
        <w:t xml:space="preserve">Oakville Hydro inadvertently </w:t>
      </w:r>
      <w:r w:rsidR="00A27A16">
        <w:rPr>
          <w:rFonts w:cstheme="minorHAnsi"/>
          <w:bCs/>
          <w:sz w:val="24"/>
          <w:szCs w:val="24"/>
        </w:rPr>
        <w:t xml:space="preserve">reported </w:t>
      </w:r>
      <w:r w:rsidR="00DA0898">
        <w:rPr>
          <w:rFonts w:cstheme="minorHAnsi"/>
          <w:bCs/>
          <w:sz w:val="24"/>
          <w:szCs w:val="24"/>
        </w:rPr>
        <w:t xml:space="preserve">the Class A customers uplifted </w:t>
      </w:r>
      <w:proofErr w:type="spellStart"/>
      <w:r w:rsidR="00DA0898">
        <w:rPr>
          <w:rFonts w:cstheme="minorHAnsi"/>
          <w:bCs/>
          <w:sz w:val="24"/>
          <w:szCs w:val="24"/>
        </w:rPr>
        <w:t>kWhs</w:t>
      </w:r>
      <w:proofErr w:type="spellEnd"/>
      <w:r w:rsidR="00DA0898">
        <w:rPr>
          <w:rFonts w:cstheme="minorHAnsi"/>
          <w:bCs/>
          <w:sz w:val="24"/>
          <w:szCs w:val="24"/>
        </w:rPr>
        <w:t xml:space="preserve"> (196,664,453 </w:t>
      </w:r>
      <w:proofErr w:type="spellStart"/>
      <w:r w:rsidR="00DA0898">
        <w:rPr>
          <w:rFonts w:cstheme="minorHAnsi"/>
          <w:bCs/>
          <w:sz w:val="24"/>
          <w:szCs w:val="24"/>
        </w:rPr>
        <w:t>kWhs</w:t>
      </w:r>
      <w:proofErr w:type="spellEnd"/>
      <w:r w:rsidR="00DA0898">
        <w:rPr>
          <w:rFonts w:cstheme="minorHAnsi"/>
          <w:bCs/>
          <w:sz w:val="24"/>
          <w:szCs w:val="24"/>
        </w:rPr>
        <w:t xml:space="preserve">) as </w:t>
      </w:r>
      <w:r w:rsidR="00DA0898" w:rsidRPr="00DA0898">
        <w:rPr>
          <w:rFonts w:cstheme="minorHAnsi"/>
          <w:bCs/>
          <w:sz w:val="24"/>
          <w:szCs w:val="24"/>
        </w:rPr>
        <w:t xml:space="preserve">Class A customers Metered </w:t>
      </w:r>
      <w:proofErr w:type="spellStart"/>
      <w:r w:rsidR="00DA0898" w:rsidRPr="00DA0898">
        <w:rPr>
          <w:rFonts w:cstheme="minorHAnsi"/>
          <w:bCs/>
          <w:sz w:val="24"/>
          <w:szCs w:val="24"/>
        </w:rPr>
        <w:t>kWhs</w:t>
      </w:r>
      <w:proofErr w:type="spellEnd"/>
      <w:r w:rsidR="00DA0898" w:rsidRPr="00DA0898">
        <w:rPr>
          <w:rFonts w:cstheme="minorHAnsi"/>
          <w:bCs/>
          <w:sz w:val="24"/>
          <w:szCs w:val="24"/>
        </w:rPr>
        <w:t xml:space="preserve"> </w:t>
      </w:r>
      <w:r w:rsidR="00DA0898">
        <w:rPr>
          <w:rFonts w:cstheme="minorHAnsi"/>
          <w:bCs/>
          <w:sz w:val="24"/>
          <w:szCs w:val="24"/>
        </w:rPr>
        <w:t xml:space="preserve">in Table 5 </w:t>
      </w:r>
      <w:r w:rsidR="00A27A16">
        <w:rPr>
          <w:rFonts w:cstheme="minorHAnsi"/>
          <w:bCs/>
          <w:sz w:val="24"/>
          <w:szCs w:val="24"/>
        </w:rPr>
        <w:t xml:space="preserve">(Class A consumption) </w:t>
      </w:r>
      <w:r w:rsidR="00DA0898">
        <w:rPr>
          <w:rFonts w:cstheme="minorHAnsi"/>
          <w:bCs/>
          <w:sz w:val="24"/>
          <w:szCs w:val="24"/>
        </w:rPr>
        <w:t xml:space="preserve">of </w:t>
      </w:r>
      <w:r w:rsidR="00A27A16">
        <w:rPr>
          <w:rFonts w:cstheme="minorHAnsi"/>
          <w:bCs/>
          <w:sz w:val="24"/>
          <w:szCs w:val="24"/>
        </w:rPr>
        <w:t xml:space="preserve">RRR </w:t>
      </w:r>
      <w:r w:rsidR="00DA0898">
        <w:rPr>
          <w:rFonts w:cstheme="minorHAnsi"/>
          <w:bCs/>
          <w:sz w:val="24"/>
          <w:szCs w:val="24"/>
        </w:rPr>
        <w:t xml:space="preserve">2.1.5 </w:t>
      </w:r>
      <w:r w:rsidR="00982387">
        <w:rPr>
          <w:rFonts w:cstheme="minorHAnsi"/>
          <w:bCs/>
          <w:sz w:val="24"/>
          <w:szCs w:val="24"/>
        </w:rPr>
        <w:t>P</w:t>
      </w:r>
      <w:r w:rsidR="00A27A16">
        <w:rPr>
          <w:rFonts w:cstheme="minorHAnsi"/>
          <w:bCs/>
          <w:sz w:val="24"/>
          <w:szCs w:val="24"/>
        </w:rPr>
        <w:t xml:space="preserve">erformance </w:t>
      </w:r>
      <w:r w:rsidR="00982387">
        <w:rPr>
          <w:rFonts w:cstheme="minorHAnsi"/>
          <w:bCs/>
          <w:sz w:val="24"/>
          <w:szCs w:val="24"/>
        </w:rPr>
        <w:t>B</w:t>
      </w:r>
      <w:r w:rsidR="00A27A16">
        <w:rPr>
          <w:rFonts w:cstheme="minorHAnsi"/>
          <w:bCs/>
          <w:sz w:val="24"/>
          <w:szCs w:val="24"/>
        </w:rPr>
        <w:t xml:space="preserve">ased </w:t>
      </w:r>
      <w:r w:rsidR="00982387">
        <w:rPr>
          <w:rFonts w:cstheme="minorHAnsi"/>
          <w:bCs/>
          <w:sz w:val="24"/>
          <w:szCs w:val="24"/>
        </w:rPr>
        <w:t>R</w:t>
      </w:r>
      <w:r w:rsidR="00A27A16">
        <w:rPr>
          <w:rFonts w:cstheme="minorHAnsi"/>
          <w:bCs/>
          <w:sz w:val="24"/>
          <w:szCs w:val="24"/>
        </w:rPr>
        <w:t>egulation</w:t>
      </w:r>
      <w:r w:rsidR="00982387">
        <w:rPr>
          <w:rFonts w:cstheme="minorHAnsi"/>
          <w:bCs/>
          <w:sz w:val="24"/>
          <w:szCs w:val="24"/>
        </w:rPr>
        <w:t xml:space="preserve"> for 2021 reporting period</w:t>
      </w:r>
      <w:r w:rsidR="00DA0898">
        <w:rPr>
          <w:rFonts w:cstheme="minorHAnsi"/>
          <w:bCs/>
          <w:sz w:val="24"/>
          <w:szCs w:val="24"/>
        </w:rPr>
        <w:t xml:space="preserve">. Oakville Hydro will submit a change request </w:t>
      </w:r>
      <w:r w:rsidR="00982387">
        <w:rPr>
          <w:rFonts w:cstheme="minorHAnsi"/>
          <w:bCs/>
          <w:sz w:val="24"/>
          <w:szCs w:val="24"/>
        </w:rPr>
        <w:t>to</w:t>
      </w:r>
      <w:r w:rsidR="00DA0898">
        <w:rPr>
          <w:rFonts w:cstheme="minorHAnsi"/>
          <w:bCs/>
          <w:sz w:val="24"/>
          <w:szCs w:val="24"/>
        </w:rPr>
        <w:t xml:space="preserve"> mak</w:t>
      </w:r>
      <w:r w:rsidR="00982387">
        <w:rPr>
          <w:rFonts w:cstheme="minorHAnsi"/>
          <w:bCs/>
          <w:sz w:val="24"/>
          <w:szCs w:val="24"/>
        </w:rPr>
        <w:t>e</w:t>
      </w:r>
      <w:r w:rsidR="00DA0898">
        <w:rPr>
          <w:rFonts w:cstheme="minorHAnsi"/>
          <w:bCs/>
          <w:sz w:val="24"/>
          <w:szCs w:val="24"/>
        </w:rPr>
        <w:t xml:space="preserve"> the </w:t>
      </w:r>
      <w:r w:rsidR="00A27A16">
        <w:rPr>
          <w:rFonts w:cstheme="minorHAnsi"/>
          <w:bCs/>
          <w:sz w:val="24"/>
          <w:szCs w:val="24"/>
        </w:rPr>
        <w:t>correction</w:t>
      </w:r>
      <w:r w:rsidR="00982387">
        <w:rPr>
          <w:rFonts w:cstheme="minorHAnsi"/>
          <w:bCs/>
          <w:sz w:val="24"/>
          <w:szCs w:val="24"/>
        </w:rPr>
        <w:t xml:space="preserve"> of Table 5 in 2021 RRR 2.1.5</w:t>
      </w:r>
      <w:r w:rsidR="00A27A16">
        <w:rPr>
          <w:rFonts w:cstheme="minorHAnsi"/>
          <w:bCs/>
          <w:sz w:val="24"/>
          <w:szCs w:val="24"/>
        </w:rPr>
        <w:t xml:space="preserve">. The </w:t>
      </w:r>
      <w:r w:rsidR="00982387">
        <w:rPr>
          <w:rFonts w:cstheme="minorHAnsi"/>
          <w:bCs/>
          <w:sz w:val="24"/>
          <w:szCs w:val="24"/>
        </w:rPr>
        <w:t>Non-RPP C</w:t>
      </w:r>
      <w:r w:rsidR="00A27A16">
        <w:rPr>
          <w:rFonts w:cstheme="minorHAnsi"/>
          <w:bCs/>
          <w:sz w:val="24"/>
          <w:szCs w:val="24"/>
        </w:rPr>
        <w:t xml:space="preserve">lass A </w:t>
      </w:r>
      <w:r w:rsidR="00982387">
        <w:rPr>
          <w:rFonts w:cstheme="minorHAnsi"/>
          <w:bCs/>
          <w:sz w:val="24"/>
          <w:szCs w:val="24"/>
        </w:rPr>
        <w:t xml:space="preserve">and Non-RPP Class B </w:t>
      </w:r>
      <w:r w:rsidR="00A27A16">
        <w:rPr>
          <w:rFonts w:cstheme="minorHAnsi"/>
          <w:bCs/>
          <w:sz w:val="24"/>
          <w:szCs w:val="24"/>
        </w:rPr>
        <w:t>consumption</w:t>
      </w:r>
      <w:r w:rsidR="00982387">
        <w:rPr>
          <w:rFonts w:cstheme="minorHAnsi"/>
          <w:bCs/>
          <w:sz w:val="24"/>
          <w:szCs w:val="24"/>
        </w:rPr>
        <w:t>s</w:t>
      </w:r>
      <w:r w:rsidR="00A27A16">
        <w:rPr>
          <w:rFonts w:cstheme="minorHAnsi"/>
          <w:bCs/>
          <w:sz w:val="24"/>
          <w:szCs w:val="24"/>
        </w:rPr>
        <w:t xml:space="preserve"> in GA </w:t>
      </w:r>
      <w:r w:rsidR="00B34BE8">
        <w:rPr>
          <w:rFonts w:cstheme="minorHAnsi"/>
          <w:bCs/>
          <w:sz w:val="24"/>
          <w:szCs w:val="24"/>
        </w:rPr>
        <w:t>W</w:t>
      </w:r>
      <w:r w:rsidR="00A27A16">
        <w:rPr>
          <w:rFonts w:cstheme="minorHAnsi"/>
          <w:bCs/>
          <w:sz w:val="24"/>
          <w:szCs w:val="24"/>
        </w:rPr>
        <w:t xml:space="preserve">orkform </w:t>
      </w:r>
      <w:r w:rsidR="00982387">
        <w:rPr>
          <w:rFonts w:cstheme="minorHAnsi"/>
          <w:bCs/>
          <w:sz w:val="24"/>
          <w:szCs w:val="24"/>
        </w:rPr>
        <w:t>are</w:t>
      </w:r>
      <w:r w:rsidR="00A27A16">
        <w:rPr>
          <w:rFonts w:cstheme="minorHAnsi"/>
          <w:bCs/>
          <w:sz w:val="24"/>
          <w:szCs w:val="24"/>
        </w:rPr>
        <w:t xml:space="preserve"> correct.</w:t>
      </w:r>
    </w:p>
    <w:p w14:paraId="1CBA9793" w14:textId="77777777" w:rsidR="001012C2" w:rsidRDefault="001012C2">
      <w:pPr>
        <w:rPr>
          <w:rFonts w:cstheme="minorHAnsi"/>
          <w:b/>
          <w:bCs/>
          <w:sz w:val="28"/>
          <w:szCs w:val="28"/>
          <w:lang w:val="en-US"/>
        </w:rPr>
      </w:pPr>
      <w:r>
        <w:rPr>
          <w:rFonts w:cstheme="minorHAnsi"/>
          <w:b/>
          <w:bCs/>
          <w:sz w:val="28"/>
          <w:szCs w:val="28"/>
          <w:lang w:val="en-US"/>
        </w:rPr>
        <w:br w:type="page"/>
      </w:r>
    </w:p>
    <w:p w14:paraId="0215AF28" w14:textId="32771057" w:rsidR="00663215" w:rsidRPr="00B17476" w:rsidRDefault="00663215" w:rsidP="00663215">
      <w:pPr>
        <w:spacing w:after="240"/>
        <w:rPr>
          <w:rFonts w:cstheme="minorHAnsi"/>
          <w:b/>
          <w:bCs/>
          <w:sz w:val="28"/>
          <w:szCs w:val="28"/>
          <w:lang w:val="en-US"/>
        </w:rPr>
      </w:pPr>
      <w:r w:rsidRPr="00B17476">
        <w:rPr>
          <w:rFonts w:cstheme="minorHAnsi"/>
          <w:b/>
          <w:bCs/>
          <w:sz w:val="28"/>
          <w:szCs w:val="28"/>
          <w:lang w:val="en-US"/>
        </w:rPr>
        <w:t>Staff Question -</w:t>
      </w:r>
      <w:r w:rsidR="007222FC" w:rsidRPr="00B17476">
        <w:rPr>
          <w:rFonts w:cstheme="minorHAnsi"/>
          <w:b/>
          <w:bCs/>
          <w:sz w:val="28"/>
          <w:szCs w:val="28"/>
          <w:lang w:val="en-US"/>
        </w:rPr>
        <w:t>7</w:t>
      </w:r>
    </w:p>
    <w:p w14:paraId="2EBFDE12" w14:textId="77777777" w:rsidR="00663215" w:rsidRPr="00B17476" w:rsidRDefault="00663215" w:rsidP="00663215">
      <w:pPr>
        <w:spacing w:after="240"/>
        <w:rPr>
          <w:rFonts w:cstheme="minorHAnsi"/>
          <w:b/>
          <w:bCs/>
          <w:sz w:val="24"/>
          <w:szCs w:val="24"/>
          <w:lang w:val="en-US"/>
        </w:rPr>
      </w:pPr>
      <w:r w:rsidRPr="00B17476">
        <w:rPr>
          <w:rFonts w:cstheme="minorHAnsi"/>
          <w:b/>
          <w:bCs/>
          <w:sz w:val="24"/>
          <w:szCs w:val="24"/>
          <w:lang w:val="en-US"/>
        </w:rPr>
        <w:t xml:space="preserve">Ref:    </w:t>
      </w:r>
    </w:p>
    <w:p w14:paraId="0257A387" w14:textId="77777777" w:rsidR="00663215" w:rsidRPr="00B17476" w:rsidRDefault="00663215" w:rsidP="007222FC">
      <w:pPr>
        <w:pStyle w:val="ListParagraph"/>
        <w:numPr>
          <w:ilvl w:val="0"/>
          <w:numId w:val="7"/>
        </w:numPr>
        <w:spacing w:after="240"/>
        <w:rPr>
          <w:rFonts w:cstheme="minorHAnsi"/>
          <w:sz w:val="24"/>
          <w:szCs w:val="24"/>
          <w:lang w:val="en-US"/>
        </w:rPr>
      </w:pPr>
      <w:r w:rsidRPr="00B17476">
        <w:rPr>
          <w:rFonts w:cstheme="minorHAnsi"/>
          <w:sz w:val="24"/>
          <w:szCs w:val="24"/>
          <w:lang w:val="en-US"/>
        </w:rPr>
        <w:t>2023 GA Analysis Workform</w:t>
      </w:r>
    </w:p>
    <w:p w14:paraId="3F7CA60E" w14:textId="511C4A33" w:rsidR="00663215" w:rsidRPr="00B17476" w:rsidRDefault="00663215" w:rsidP="007222FC">
      <w:pPr>
        <w:pStyle w:val="ListParagraph"/>
        <w:numPr>
          <w:ilvl w:val="0"/>
          <w:numId w:val="7"/>
        </w:numPr>
        <w:spacing w:after="240"/>
        <w:rPr>
          <w:rFonts w:cstheme="minorHAnsi"/>
          <w:sz w:val="24"/>
          <w:szCs w:val="24"/>
          <w:lang w:val="en-US"/>
        </w:rPr>
      </w:pPr>
      <w:r w:rsidRPr="00B17476">
        <w:rPr>
          <w:rFonts w:cstheme="minorHAnsi"/>
          <w:sz w:val="24"/>
          <w:szCs w:val="24"/>
          <w:lang w:val="en-US"/>
        </w:rPr>
        <w:t>Rate Generator Model, Tab 3 – DVA Continuity Schedule</w:t>
      </w:r>
    </w:p>
    <w:p w14:paraId="61C58C75" w14:textId="30530C1B" w:rsidR="00663215" w:rsidRPr="00B17476" w:rsidRDefault="00663215" w:rsidP="00663215">
      <w:pPr>
        <w:spacing w:after="240"/>
        <w:rPr>
          <w:rFonts w:cstheme="minorHAnsi"/>
          <w:bCs/>
          <w:sz w:val="24"/>
          <w:szCs w:val="24"/>
          <w:lang w:val="en-US"/>
        </w:rPr>
      </w:pPr>
      <w:r w:rsidRPr="00B17476">
        <w:rPr>
          <w:rFonts w:cstheme="minorHAnsi"/>
          <w:bCs/>
          <w:sz w:val="24"/>
          <w:szCs w:val="24"/>
          <w:lang w:val="en-US"/>
        </w:rPr>
        <w:t xml:space="preserve">For Accounts 1589 and 1588, the variance between RRR vs. 2021 Balance (column BW) in the DVA Continuity Schedule typically equals the reversed sign of “Total Current Year Principal Adjustments” in the principal adjustment tab of the GA Analysis Workform as principal adjustments are typically timing differences that will reverse. The table below shows the difference between the two items noted above. Please reconcile and explain the difference </w:t>
      </w:r>
      <w:r w:rsidRPr="00B17476">
        <w:rPr>
          <w:rFonts w:cstheme="minorHAnsi"/>
          <w:bCs/>
          <w:sz w:val="24"/>
          <w:szCs w:val="24"/>
          <w:lang w:val="en-US"/>
        </w:rPr>
        <w:lastRenderedPageBreak/>
        <w:t>between the Current Year Principal Adjustments shown in the GA Analysis Workform to the variance between the RRR vs. 2021 Balance in the DVA Continuity Schedule.</w:t>
      </w:r>
    </w:p>
    <w:tbl>
      <w:tblPr>
        <w:tblW w:w="8979" w:type="dxa"/>
        <w:tblCellMar>
          <w:left w:w="0" w:type="dxa"/>
          <w:right w:w="0" w:type="dxa"/>
        </w:tblCellMar>
        <w:tblLook w:val="04A0" w:firstRow="1" w:lastRow="0" w:firstColumn="1" w:lastColumn="0" w:noHBand="0" w:noVBand="1"/>
      </w:tblPr>
      <w:tblGrid>
        <w:gridCol w:w="4536"/>
        <w:gridCol w:w="1843"/>
        <w:gridCol w:w="2600"/>
      </w:tblGrid>
      <w:tr w:rsidR="00663215" w:rsidRPr="00B17476" w14:paraId="437DEDAE" w14:textId="77777777" w:rsidTr="00663215">
        <w:trPr>
          <w:trHeight w:val="288"/>
        </w:trPr>
        <w:tc>
          <w:tcPr>
            <w:tcW w:w="4536" w:type="dxa"/>
            <w:tcBorders>
              <w:top w:val="single" w:sz="8" w:space="0" w:color="auto"/>
              <w:left w:val="single" w:sz="8" w:space="0" w:color="auto"/>
              <w:bottom w:val="nil"/>
              <w:right w:val="nil"/>
            </w:tcBorders>
            <w:noWrap/>
            <w:tcMar>
              <w:top w:w="0" w:type="dxa"/>
              <w:left w:w="108" w:type="dxa"/>
              <w:bottom w:w="0" w:type="dxa"/>
              <w:right w:w="108" w:type="dxa"/>
            </w:tcMar>
            <w:vAlign w:val="bottom"/>
            <w:hideMark/>
          </w:tcPr>
          <w:p w14:paraId="72AA4815" w14:textId="77777777" w:rsidR="00663215" w:rsidRPr="00B17476" w:rsidRDefault="00663215" w:rsidP="00663215">
            <w:pPr>
              <w:spacing w:after="240"/>
              <w:rPr>
                <w:rFonts w:cstheme="minorHAnsi"/>
                <w:bCs/>
                <w:sz w:val="24"/>
                <w:szCs w:val="24"/>
                <w:lang w:val="en-US"/>
              </w:rPr>
            </w:pPr>
          </w:p>
        </w:tc>
        <w:tc>
          <w:tcPr>
            <w:tcW w:w="1843" w:type="dxa"/>
            <w:tcBorders>
              <w:top w:val="single" w:sz="8" w:space="0" w:color="auto"/>
              <w:left w:val="nil"/>
              <w:bottom w:val="nil"/>
              <w:right w:val="nil"/>
            </w:tcBorders>
            <w:noWrap/>
            <w:tcMar>
              <w:top w:w="0" w:type="dxa"/>
              <w:left w:w="108" w:type="dxa"/>
              <w:bottom w:w="0" w:type="dxa"/>
              <w:right w:w="108" w:type="dxa"/>
            </w:tcMar>
            <w:vAlign w:val="bottom"/>
            <w:hideMark/>
          </w:tcPr>
          <w:p w14:paraId="099C36D5" w14:textId="77777777" w:rsidR="00663215" w:rsidRPr="00B17476" w:rsidRDefault="00663215" w:rsidP="00663215">
            <w:pPr>
              <w:spacing w:after="240"/>
              <w:rPr>
                <w:rFonts w:cstheme="minorHAnsi"/>
                <w:b/>
                <w:bCs/>
                <w:sz w:val="24"/>
                <w:szCs w:val="24"/>
                <w:lang w:val="en-US"/>
              </w:rPr>
            </w:pPr>
            <w:r w:rsidRPr="00B17476">
              <w:rPr>
                <w:rFonts w:cstheme="minorHAnsi"/>
                <w:b/>
                <w:bCs/>
                <w:sz w:val="24"/>
                <w:szCs w:val="24"/>
                <w:lang w:val="en-US"/>
              </w:rPr>
              <w:t>Account 1589</w:t>
            </w:r>
          </w:p>
        </w:tc>
        <w:tc>
          <w:tcPr>
            <w:tcW w:w="260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48F03DC1" w14:textId="77777777" w:rsidR="00663215" w:rsidRPr="00B17476" w:rsidRDefault="00663215" w:rsidP="00663215">
            <w:pPr>
              <w:spacing w:after="240"/>
              <w:rPr>
                <w:rFonts w:cstheme="minorHAnsi"/>
                <w:b/>
                <w:bCs/>
                <w:sz w:val="24"/>
                <w:szCs w:val="24"/>
                <w:lang w:val="en-US"/>
              </w:rPr>
            </w:pPr>
            <w:r w:rsidRPr="00B17476">
              <w:rPr>
                <w:rFonts w:cstheme="minorHAnsi"/>
                <w:b/>
                <w:bCs/>
                <w:sz w:val="24"/>
                <w:szCs w:val="24"/>
                <w:lang w:val="en-US"/>
              </w:rPr>
              <w:t>Account 1588</w:t>
            </w:r>
          </w:p>
        </w:tc>
      </w:tr>
      <w:tr w:rsidR="00663215" w:rsidRPr="00B17476" w14:paraId="2D1A42A1" w14:textId="77777777" w:rsidTr="00663215">
        <w:trPr>
          <w:trHeight w:val="288"/>
        </w:trPr>
        <w:tc>
          <w:tcPr>
            <w:tcW w:w="4536" w:type="dxa"/>
            <w:tcBorders>
              <w:top w:val="nil"/>
              <w:left w:val="single" w:sz="8" w:space="0" w:color="auto"/>
              <w:bottom w:val="nil"/>
              <w:right w:val="nil"/>
            </w:tcBorders>
            <w:noWrap/>
            <w:tcMar>
              <w:top w:w="0" w:type="dxa"/>
              <w:left w:w="108" w:type="dxa"/>
              <w:bottom w:w="0" w:type="dxa"/>
              <w:right w:w="108" w:type="dxa"/>
            </w:tcMar>
            <w:vAlign w:val="bottom"/>
            <w:hideMark/>
          </w:tcPr>
          <w:p w14:paraId="5113FA83" w14:textId="77777777" w:rsidR="00663215" w:rsidRPr="00B17476" w:rsidRDefault="00663215" w:rsidP="00663215">
            <w:pPr>
              <w:spacing w:after="240"/>
              <w:rPr>
                <w:rFonts w:cstheme="minorHAnsi"/>
                <w:bCs/>
                <w:sz w:val="24"/>
                <w:szCs w:val="24"/>
                <w:lang w:val="en-US"/>
              </w:rPr>
            </w:pPr>
            <w:r w:rsidRPr="00B17476">
              <w:rPr>
                <w:rFonts w:cstheme="minorHAnsi"/>
                <w:bCs/>
                <w:sz w:val="24"/>
                <w:szCs w:val="24"/>
                <w:lang w:val="en-US"/>
              </w:rPr>
              <w:t>GA Analysis Workform - Principal Adjustment Tab</w:t>
            </w:r>
          </w:p>
        </w:tc>
        <w:tc>
          <w:tcPr>
            <w:tcW w:w="1843" w:type="dxa"/>
            <w:noWrap/>
            <w:tcMar>
              <w:top w:w="0" w:type="dxa"/>
              <w:left w:w="108" w:type="dxa"/>
              <w:bottom w:w="0" w:type="dxa"/>
              <w:right w:w="108" w:type="dxa"/>
            </w:tcMar>
            <w:vAlign w:val="bottom"/>
            <w:hideMark/>
          </w:tcPr>
          <w:p w14:paraId="067E4651" w14:textId="77777777" w:rsidR="00663215" w:rsidRPr="00B17476" w:rsidRDefault="00663215" w:rsidP="00663215">
            <w:pPr>
              <w:spacing w:after="240"/>
              <w:rPr>
                <w:rFonts w:cstheme="minorHAnsi"/>
                <w:bCs/>
                <w:sz w:val="24"/>
                <w:szCs w:val="24"/>
                <w:lang w:val="en-US"/>
              </w:rPr>
            </w:pPr>
            <w:r w:rsidRPr="00B17476">
              <w:rPr>
                <w:rFonts w:cstheme="minorHAnsi"/>
                <w:bCs/>
                <w:sz w:val="24"/>
                <w:szCs w:val="24"/>
                <w:lang w:val="en-US"/>
              </w:rPr>
              <w:t>3,660,722</w:t>
            </w:r>
          </w:p>
        </w:tc>
        <w:tc>
          <w:tcPr>
            <w:tcW w:w="2600" w:type="dxa"/>
            <w:tcBorders>
              <w:top w:val="nil"/>
              <w:left w:val="nil"/>
              <w:bottom w:val="nil"/>
              <w:right w:val="single" w:sz="8" w:space="0" w:color="auto"/>
            </w:tcBorders>
            <w:noWrap/>
            <w:tcMar>
              <w:top w:w="0" w:type="dxa"/>
              <w:left w:w="108" w:type="dxa"/>
              <w:bottom w:w="0" w:type="dxa"/>
              <w:right w:w="108" w:type="dxa"/>
            </w:tcMar>
            <w:vAlign w:val="bottom"/>
            <w:hideMark/>
          </w:tcPr>
          <w:p w14:paraId="355C32EB" w14:textId="77777777" w:rsidR="00663215" w:rsidRPr="00B17476" w:rsidRDefault="00663215" w:rsidP="00663215">
            <w:pPr>
              <w:spacing w:after="240"/>
              <w:rPr>
                <w:rFonts w:cstheme="minorHAnsi"/>
                <w:bCs/>
                <w:sz w:val="24"/>
                <w:szCs w:val="24"/>
                <w:lang w:val="en-US"/>
              </w:rPr>
            </w:pPr>
            <w:r w:rsidRPr="00B17476">
              <w:rPr>
                <w:rFonts w:cstheme="minorHAnsi"/>
                <w:bCs/>
                <w:sz w:val="24"/>
                <w:szCs w:val="24"/>
                <w:lang w:val="en-US"/>
              </w:rPr>
              <w:t>223,477</w:t>
            </w:r>
          </w:p>
        </w:tc>
      </w:tr>
      <w:tr w:rsidR="00663215" w:rsidRPr="00B17476" w14:paraId="2284A964" w14:textId="77777777" w:rsidTr="00663215">
        <w:trPr>
          <w:trHeight w:val="288"/>
        </w:trPr>
        <w:tc>
          <w:tcPr>
            <w:tcW w:w="4536" w:type="dxa"/>
            <w:tcBorders>
              <w:top w:val="nil"/>
              <w:left w:val="single" w:sz="8" w:space="0" w:color="auto"/>
              <w:bottom w:val="nil"/>
              <w:right w:val="nil"/>
            </w:tcBorders>
            <w:noWrap/>
            <w:tcMar>
              <w:top w:w="0" w:type="dxa"/>
              <w:left w:w="108" w:type="dxa"/>
              <w:bottom w:w="0" w:type="dxa"/>
              <w:right w:w="108" w:type="dxa"/>
            </w:tcMar>
            <w:vAlign w:val="bottom"/>
            <w:hideMark/>
          </w:tcPr>
          <w:p w14:paraId="637AEB7C" w14:textId="77777777" w:rsidR="00663215" w:rsidRPr="00B17476" w:rsidRDefault="00663215" w:rsidP="00663215">
            <w:pPr>
              <w:spacing w:after="240"/>
              <w:rPr>
                <w:rFonts w:cstheme="minorHAnsi"/>
                <w:bCs/>
                <w:sz w:val="24"/>
                <w:szCs w:val="24"/>
                <w:lang w:val="en-US"/>
              </w:rPr>
            </w:pPr>
            <w:r w:rsidRPr="00B17476">
              <w:rPr>
                <w:rFonts w:cstheme="minorHAnsi"/>
                <w:bCs/>
                <w:sz w:val="24"/>
                <w:szCs w:val="24"/>
                <w:lang w:val="en-US"/>
              </w:rPr>
              <w:t>DVA Continuity Schedule - column BW</w:t>
            </w:r>
          </w:p>
        </w:tc>
        <w:tc>
          <w:tcPr>
            <w:tcW w:w="1843" w:type="dxa"/>
            <w:tcBorders>
              <w:top w:val="nil"/>
              <w:left w:val="nil"/>
              <w:bottom w:val="single" w:sz="8" w:space="0" w:color="auto"/>
              <w:right w:val="nil"/>
            </w:tcBorders>
            <w:noWrap/>
            <w:tcMar>
              <w:top w:w="0" w:type="dxa"/>
              <w:left w:w="108" w:type="dxa"/>
              <w:bottom w:w="0" w:type="dxa"/>
              <w:right w:w="108" w:type="dxa"/>
            </w:tcMar>
            <w:vAlign w:val="bottom"/>
            <w:hideMark/>
          </w:tcPr>
          <w:p w14:paraId="7DA8DB72" w14:textId="77777777" w:rsidR="00663215" w:rsidRPr="00B17476" w:rsidRDefault="00663215" w:rsidP="00663215">
            <w:pPr>
              <w:spacing w:after="240"/>
              <w:rPr>
                <w:rFonts w:cstheme="minorHAnsi"/>
                <w:bCs/>
                <w:sz w:val="24"/>
                <w:szCs w:val="24"/>
                <w:lang w:val="en-US"/>
              </w:rPr>
            </w:pPr>
            <w:r w:rsidRPr="00B17476">
              <w:rPr>
                <w:rFonts w:cstheme="minorHAnsi"/>
                <w:bCs/>
                <w:sz w:val="24"/>
                <w:szCs w:val="24"/>
                <w:lang w:val="en-US"/>
              </w:rPr>
              <w:t>125</w:t>
            </w:r>
          </w:p>
        </w:tc>
        <w:tc>
          <w:tcPr>
            <w:tcW w:w="2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F797BA" w14:textId="77777777" w:rsidR="00663215" w:rsidRPr="00B17476" w:rsidRDefault="00663215" w:rsidP="00663215">
            <w:pPr>
              <w:spacing w:after="240"/>
              <w:rPr>
                <w:rFonts w:cstheme="minorHAnsi"/>
                <w:bCs/>
                <w:sz w:val="24"/>
                <w:szCs w:val="24"/>
                <w:lang w:val="en-US"/>
              </w:rPr>
            </w:pPr>
            <w:r w:rsidRPr="00B17476">
              <w:rPr>
                <w:rFonts w:cstheme="minorHAnsi"/>
                <w:bCs/>
                <w:sz w:val="24"/>
                <w:szCs w:val="24"/>
                <w:lang w:val="en-US"/>
              </w:rPr>
              <w:t>795,393</w:t>
            </w:r>
          </w:p>
        </w:tc>
      </w:tr>
      <w:tr w:rsidR="00663215" w:rsidRPr="00B17476" w14:paraId="7FD346BC" w14:textId="77777777" w:rsidTr="00663215">
        <w:trPr>
          <w:trHeight w:val="288"/>
        </w:trPr>
        <w:tc>
          <w:tcPr>
            <w:tcW w:w="4536"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6632D9B" w14:textId="77777777" w:rsidR="00663215" w:rsidRPr="00B17476" w:rsidRDefault="00663215" w:rsidP="00663215">
            <w:pPr>
              <w:spacing w:after="240"/>
              <w:rPr>
                <w:rFonts w:cstheme="minorHAnsi"/>
                <w:bCs/>
                <w:sz w:val="24"/>
                <w:szCs w:val="24"/>
                <w:lang w:val="en-US"/>
              </w:rPr>
            </w:pPr>
          </w:p>
        </w:tc>
        <w:tc>
          <w:tcPr>
            <w:tcW w:w="1843" w:type="dxa"/>
            <w:tcBorders>
              <w:top w:val="nil"/>
              <w:left w:val="nil"/>
              <w:bottom w:val="single" w:sz="8" w:space="0" w:color="auto"/>
              <w:right w:val="nil"/>
            </w:tcBorders>
            <w:noWrap/>
            <w:tcMar>
              <w:top w:w="0" w:type="dxa"/>
              <w:left w:w="108" w:type="dxa"/>
              <w:bottom w:w="0" w:type="dxa"/>
              <w:right w:w="108" w:type="dxa"/>
            </w:tcMar>
            <w:vAlign w:val="bottom"/>
            <w:hideMark/>
          </w:tcPr>
          <w:p w14:paraId="35D969B4" w14:textId="77777777" w:rsidR="00663215" w:rsidRPr="00B17476" w:rsidRDefault="00663215" w:rsidP="00663215">
            <w:pPr>
              <w:spacing w:after="240"/>
              <w:rPr>
                <w:rFonts w:cstheme="minorHAnsi"/>
                <w:bCs/>
                <w:sz w:val="24"/>
                <w:szCs w:val="24"/>
                <w:lang w:val="en-US"/>
              </w:rPr>
            </w:pPr>
            <w:r w:rsidRPr="00B17476">
              <w:rPr>
                <w:rFonts w:cstheme="minorHAnsi"/>
                <w:bCs/>
                <w:sz w:val="24"/>
                <w:szCs w:val="24"/>
                <w:lang w:val="en-US"/>
              </w:rPr>
              <w:t>3,660,597</w:t>
            </w:r>
          </w:p>
        </w:tc>
        <w:tc>
          <w:tcPr>
            <w:tcW w:w="2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B8E26C" w14:textId="77777777" w:rsidR="00663215" w:rsidRPr="00B17476" w:rsidRDefault="00663215" w:rsidP="00663215">
            <w:pPr>
              <w:spacing w:after="240"/>
              <w:rPr>
                <w:rFonts w:cstheme="minorHAnsi"/>
                <w:bCs/>
                <w:sz w:val="24"/>
                <w:szCs w:val="24"/>
                <w:lang w:val="en-US"/>
              </w:rPr>
            </w:pPr>
            <w:r w:rsidRPr="00B17476">
              <w:rPr>
                <w:rFonts w:cstheme="minorHAnsi"/>
                <w:bCs/>
                <w:sz w:val="24"/>
                <w:szCs w:val="24"/>
                <w:lang w:val="en-US"/>
              </w:rPr>
              <w:t>-   571,916</w:t>
            </w:r>
          </w:p>
        </w:tc>
      </w:tr>
    </w:tbl>
    <w:p w14:paraId="06CEFC4E" w14:textId="77777777" w:rsidR="0004487D" w:rsidRDefault="0004487D" w:rsidP="003173A7">
      <w:pPr>
        <w:pStyle w:val="BodyText"/>
        <w:spacing w:after="160" w:line="252" w:lineRule="auto"/>
        <w:contextualSpacing/>
        <w:jc w:val="both"/>
        <w:rPr>
          <w:rFonts w:asciiTheme="minorHAnsi" w:hAnsiTheme="minorHAnsi" w:cstheme="minorHAnsi"/>
          <w:b/>
          <w:color w:val="BD2025"/>
          <w:sz w:val="24"/>
          <w:szCs w:val="24"/>
        </w:rPr>
      </w:pPr>
    </w:p>
    <w:p w14:paraId="4062415F" w14:textId="308C0600" w:rsidR="003173A7" w:rsidRDefault="003173A7" w:rsidP="003173A7">
      <w:pPr>
        <w:pStyle w:val="BodyText"/>
        <w:spacing w:after="160" w:line="252" w:lineRule="auto"/>
        <w:contextualSpacing/>
        <w:jc w:val="both"/>
        <w:rPr>
          <w:rFonts w:asciiTheme="minorHAnsi" w:hAnsiTheme="minorHAnsi" w:cstheme="minorHAnsi"/>
          <w:b/>
          <w:color w:val="BD2025"/>
          <w:sz w:val="24"/>
          <w:szCs w:val="24"/>
        </w:rPr>
      </w:pPr>
      <w:r w:rsidRPr="007E55F3">
        <w:rPr>
          <w:rFonts w:asciiTheme="minorHAnsi" w:hAnsiTheme="minorHAnsi" w:cstheme="minorHAnsi"/>
          <w:b/>
          <w:color w:val="BD2025"/>
          <w:sz w:val="24"/>
          <w:szCs w:val="24"/>
        </w:rPr>
        <w:t xml:space="preserve">Response: </w:t>
      </w:r>
    </w:p>
    <w:p w14:paraId="33EE6415" w14:textId="77777777" w:rsidR="00F9638C" w:rsidRDefault="00F72690" w:rsidP="00F72690">
      <w:pPr>
        <w:spacing w:after="240"/>
        <w:jc w:val="both"/>
        <w:rPr>
          <w:rFonts w:cstheme="minorHAnsi"/>
          <w:bCs/>
          <w:sz w:val="24"/>
          <w:szCs w:val="24"/>
        </w:rPr>
      </w:pPr>
      <w:r>
        <w:rPr>
          <w:rFonts w:cstheme="minorHAnsi"/>
          <w:bCs/>
          <w:sz w:val="24"/>
          <w:szCs w:val="24"/>
        </w:rPr>
        <w:t>In the GA Analysis Workform, the following rows were entered in the current year principal adjustments section when they should have been entered under the Reversal Principal Adjustments section</w:t>
      </w:r>
      <w:r w:rsidR="00F9638C">
        <w:rPr>
          <w:rFonts w:cstheme="minorHAnsi"/>
          <w:bCs/>
          <w:sz w:val="24"/>
          <w:szCs w:val="24"/>
        </w:rPr>
        <w:t xml:space="preserve">:  </w:t>
      </w:r>
    </w:p>
    <w:p w14:paraId="0FC29F01" w14:textId="6A30008E" w:rsidR="00F9638C" w:rsidRDefault="00F9638C" w:rsidP="00BC7728">
      <w:pPr>
        <w:pStyle w:val="ListParagraph"/>
        <w:numPr>
          <w:ilvl w:val="0"/>
          <w:numId w:val="16"/>
        </w:numPr>
        <w:spacing w:after="240"/>
        <w:jc w:val="both"/>
        <w:rPr>
          <w:rFonts w:cstheme="minorHAnsi"/>
          <w:bCs/>
          <w:sz w:val="24"/>
          <w:szCs w:val="24"/>
        </w:rPr>
      </w:pPr>
      <w:r w:rsidRPr="00F9638C">
        <w:rPr>
          <w:rFonts w:cstheme="minorHAnsi"/>
          <w:bCs/>
          <w:sz w:val="24"/>
          <w:szCs w:val="24"/>
        </w:rPr>
        <w:t xml:space="preserve">Acct 1589: </w:t>
      </w:r>
      <w:r w:rsidR="00F72690" w:rsidRPr="00F9638C">
        <w:rPr>
          <w:rFonts w:cstheme="minorHAnsi"/>
          <w:bCs/>
          <w:sz w:val="24"/>
          <w:szCs w:val="24"/>
        </w:rPr>
        <w:t>CT 2148 for prior period corrections - 2016 GA</w:t>
      </w:r>
      <w:r>
        <w:rPr>
          <w:rFonts w:cstheme="minorHAnsi"/>
          <w:bCs/>
          <w:sz w:val="24"/>
          <w:szCs w:val="24"/>
        </w:rPr>
        <w:t xml:space="preserve">   </w:t>
      </w:r>
      <w:r w:rsidRPr="00F9638C">
        <w:rPr>
          <w:rFonts w:cstheme="minorHAnsi"/>
          <w:bCs/>
          <w:sz w:val="24"/>
          <w:szCs w:val="24"/>
        </w:rPr>
        <w:t>$</w:t>
      </w:r>
      <w:r w:rsidR="00F72690" w:rsidRPr="00F9638C">
        <w:rPr>
          <w:rFonts w:cstheme="minorHAnsi"/>
          <w:bCs/>
          <w:sz w:val="24"/>
          <w:szCs w:val="24"/>
        </w:rPr>
        <w:t>1,677,308</w:t>
      </w:r>
      <w:r>
        <w:rPr>
          <w:rFonts w:cstheme="minorHAnsi"/>
          <w:bCs/>
          <w:sz w:val="24"/>
          <w:szCs w:val="24"/>
        </w:rPr>
        <w:t xml:space="preserve">    </w:t>
      </w:r>
      <w:r w:rsidR="00F72690" w:rsidRPr="00F9638C">
        <w:rPr>
          <w:rFonts w:cstheme="minorHAnsi"/>
          <w:bCs/>
          <w:sz w:val="24"/>
          <w:szCs w:val="24"/>
        </w:rPr>
        <w:t>2021</w:t>
      </w:r>
    </w:p>
    <w:p w14:paraId="49B335E4" w14:textId="05902941" w:rsidR="00F72690" w:rsidRDefault="00F9638C" w:rsidP="00BC7728">
      <w:pPr>
        <w:pStyle w:val="ListParagraph"/>
        <w:numPr>
          <w:ilvl w:val="0"/>
          <w:numId w:val="16"/>
        </w:numPr>
        <w:spacing w:after="240"/>
        <w:jc w:val="both"/>
        <w:rPr>
          <w:rFonts w:cstheme="minorHAnsi"/>
          <w:bCs/>
          <w:sz w:val="24"/>
          <w:szCs w:val="24"/>
        </w:rPr>
      </w:pPr>
      <w:r>
        <w:rPr>
          <w:rFonts w:cstheme="minorHAnsi"/>
          <w:bCs/>
          <w:sz w:val="24"/>
          <w:szCs w:val="24"/>
        </w:rPr>
        <w:t xml:space="preserve">Acct 1589: </w:t>
      </w:r>
      <w:r w:rsidR="00F72690" w:rsidRPr="00F9638C">
        <w:rPr>
          <w:rFonts w:cstheme="minorHAnsi"/>
          <w:bCs/>
          <w:sz w:val="24"/>
          <w:szCs w:val="24"/>
        </w:rPr>
        <w:t>CT 2148 for prior period corrections - 2017 GA</w:t>
      </w:r>
      <w:r>
        <w:rPr>
          <w:rFonts w:cstheme="minorHAnsi"/>
          <w:bCs/>
          <w:sz w:val="24"/>
          <w:szCs w:val="24"/>
        </w:rPr>
        <w:t xml:space="preserve">    $</w:t>
      </w:r>
      <w:r w:rsidR="00F72690" w:rsidRPr="00F9638C">
        <w:rPr>
          <w:rFonts w:cstheme="minorHAnsi"/>
          <w:bCs/>
          <w:sz w:val="24"/>
          <w:szCs w:val="24"/>
        </w:rPr>
        <w:t>1,482,858</w:t>
      </w:r>
      <w:r>
        <w:rPr>
          <w:rFonts w:cstheme="minorHAnsi"/>
          <w:bCs/>
          <w:sz w:val="24"/>
          <w:szCs w:val="24"/>
        </w:rPr>
        <w:t xml:space="preserve">    </w:t>
      </w:r>
      <w:r w:rsidR="00F72690" w:rsidRPr="00F9638C">
        <w:rPr>
          <w:rFonts w:cstheme="minorHAnsi"/>
          <w:bCs/>
          <w:sz w:val="24"/>
          <w:szCs w:val="24"/>
        </w:rPr>
        <w:t>2021</w:t>
      </w:r>
    </w:p>
    <w:p w14:paraId="1F43DAD1" w14:textId="3F459416" w:rsidR="00F9638C" w:rsidRPr="00F9638C" w:rsidRDefault="00F9638C" w:rsidP="00BC7728">
      <w:pPr>
        <w:pStyle w:val="ListParagraph"/>
        <w:numPr>
          <w:ilvl w:val="0"/>
          <w:numId w:val="16"/>
        </w:numPr>
        <w:spacing w:after="240"/>
        <w:jc w:val="both"/>
        <w:rPr>
          <w:rFonts w:cstheme="minorHAnsi"/>
          <w:bCs/>
          <w:sz w:val="24"/>
          <w:szCs w:val="24"/>
        </w:rPr>
      </w:pPr>
      <w:r>
        <w:rPr>
          <w:rFonts w:cstheme="minorHAnsi"/>
          <w:bCs/>
          <w:sz w:val="24"/>
          <w:szCs w:val="24"/>
        </w:rPr>
        <w:t xml:space="preserve">Acct 1588: </w:t>
      </w:r>
      <w:r w:rsidRPr="00F9638C">
        <w:rPr>
          <w:rFonts w:cstheme="minorHAnsi"/>
          <w:bCs/>
          <w:sz w:val="24"/>
          <w:szCs w:val="24"/>
        </w:rPr>
        <w:t>Adjustment - OEB Audit EG Adjustment</w:t>
      </w:r>
      <w:r>
        <w:rPr>
          <w:rFonts w:cstheme="minorHAnsi"/>
          <w:bCs/>
          <w:sz w:val="24"/>
          <w:szCs w:val="24"/>
        </w:rPr>
        <w:t xml:space="preserve">                 -$322,453      2021</w:t>
      </w:r>
    </w:p>
    <w:p w14:paraId="2ED90993" w14:textId="788DE673" w:rsidR="00F72690" w:rsidRDefault="00F9638C" w:rsidP="003C3574">
      <w:pPr>
        <w:spacing w:after="240"/>
        <w:jc w:val="both"/>
        <w:rPr>
          <w:rFonts w:cstheme="minorHAnsi"/>
          <w:bCs/>
          <w:sz w:val="24"/>
          <w:szCs w:val="24"/>
        </w:rPr>
      </w:pPr>
      <w:r>
        <w:rPr>
          <w:rFonts w:cstheme="minorHAnsi"/>
          <w:bCs/>
          <w:sz w:val="24"/>
          <w:szCs w:val="24"/>
        </w:rPr>
        <w:t xml:space="preserve">The above entries have been moved to the </w:t>
      </w:r>
      <w:r w:rsidRPr="00F9638C">
        <w:rPr>
          <w:rFonts w:cstheme="minorHAnsi"/>
          <w:bCs/>
          <w:sz w:val="24"/>
          <w:szCs w:val="24"/>
        </w:rPr>
        <w:t>Reversal Principal Adjustments section</w:t>
      </w:r>
      <w:r>
        <w:rPr>
          <w:rFonts w:cstheme="minorHAnsi"/>
          <w:bCs/>
          <w:sz w:val="24"/>
          <w:szCs w:val="24"/>
        </w:rPr>
        <w:t>.</w:t>
      </w:r>
    </w:p>
    <w:p w14:paraId="1C8A5410" w14:textId="2F6CBD03" w:rsidR="00CF469B" w:rsidRPr="00CF469B" w:rsidRDefault="00824C52" w:rsidP="003C3574">
      <w:pPr>
        <w:spacing w:after="240"/>
        <w:jc w:val="both"/>
        <w:rPr>
          <w:rFonts w:cstheme="minorHAnsi"/>
          <w:bCs/>
          <w:sz w:val="24"/>
          <w:szCs w:val="24"/>
        </w:rPr>
      </w:pPr>
      <w:r w:rsidRPr="00CF469B">
        <w:rPr>
          <w:rFonts w:cstheme="minorHAnsi"/>
          <w:bCs/>
          <w:sz w:val="24"/>
          <w:szCs w:val="24"/>
        </w:rPr>
        <w:t xml:space="preserve">The </w:t>
      </w:r>
      <w:r w:rsidR="007F56D9" w:rsidRPr="00CF469B">
        <w:rPr>
          <w:rFonts w:cstheme="minorHAnsi"/>
          <w:bCs/>
          <w:sz w:val="24"/>
          <w:szCs w:val="24"/>
        </w:rPr>
        <w:t xml:space="preserve">two tables below </w:t>
      </w:r>
      <w:r w:rsidR="00A3204A">
        <w:rPr>
          <w:rFonts w:cstheme="minorHAnsi"/>
          <w:bCs/>
          <w:sz w:val="24"/>
          <w:szCs w:val="24"/>
        </w:rPr>
        <w:t xml:space="preserve">list the constituents of the DVA Continuity Schedule – column BW </w:t>
      </w:r>
      <w:r w:rsidR="008B5871">
        <w:rPr>
          <w:rFonts w:cstheme="minorHAnsi"/>
          <w:bCs/>
          <w:sz w:val="24"/>
          <w:szCs w:val="24"/>
        </w:rPr>
        <w:t>per above schedule:</w:t>
      </w:r>
      <w:r w:rsidR="00A3204A">
        <w:rPr>
          <w:rFonts w:cstheme="minorHAnsi"/>
          <w:bCs/>
          <w:sz w:val="24"/>
          <w:szCs w:val="24"/>
        </w:rPr>
        <w:t xml:space="preserve"> </w:t>
      </w:r>
    </w:p>
    <w:p w14:paraId="399CF1A4" w14:textId="6D06B173" w:rsidR="00CF469B" w:rsidRPr="00CF469B" w:rsidRDefault="00CF469B" w:rsidP="003C3574">
      <w:pPr>
        <w:spacing w:after="240"/>
        <w:jc w:val="both"/>
        <w:rPr>
          <w:rFonts w:cstheme="minorHAnsi"/>
          <w:bCs/>
          <w:sz w:val="24"/>
          <w:szCs w:val="24"/>
        </w:rPr>
      </w:pPr>
      <w:r>
        <w:rPr>
          <w:rFonts w:cstheme="minorHAnsi"/>
          <w:bCs/>
          <w:sz w:val="24"/>
          <w:szCs w:val="24"/>
        </w:rPr>
        <w:t>Account 1588</w:t>
      </w:r>
    </w:p>
    <w:p w14:paraId="047F5719" w14:textId="34D27E31" w:rsidR="00CF469B" w:rsidRDefault="00CF469B" w:rsidP="003C3574">
      <w:pPr>
        <w:spacing w:after="240"/>
        <w:jc w:val="both"/>
        <w:rPr>
          <w:rFonts w:cstheme="minorHAnsi"/>
          <w:bCs/>
          <w:sz w:val="24"/>
          <w:szCs w:val="24"/>
          <w:highlight w:val="yellow"/>
        </w:rPr>
      </w:pPr>
      <w:r w:rsidRPr="007F56D9">
        <w:rPr>
          <w:noProof/>
        </w:rPr>
        <w:drawing>
          <wp:inline distT="0" distB="0" distL="0" distR="0" wp14:anchorId="54F33BFC" wp14:editId="4C23C38D">
            <wp:extent cx="5943600" cy="1409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409065"/>
                    </a:xfrm>
                    <a:prstGeom prst="rect">
                      <a:avLst/>
                    </a:prstGeom>
                    <a:noFill/>
                    <a:ln>
                      <a:noFill/>
                    </a:ln>
                  </pic:spPr>
                </pic:pic>
              </a:graphicData>
            </a:graphic>
          </wp:inline>
        </w:drawing>
      </w:r>
    </w:p>
    <w:p w14:paraId="0A3FE98F" w14:textId="4B21C469" w:rsidR="00CF469B" w:rsidRPr="00CF469B" w:rsidRDefault="00CF469B" w:rsidP="003C3574">
      <w:pPr>
        <w:spacing w:after="240"/>
        <w:jc w:val="both"/>
        <w:rPr>
          <w:rFonts w:cstheme="minorHAnsi"/>
          <w:bCs/>
          <w:sz w:val="24"/>
          <w:szCs w:val="24"/>
        </w:rPr>
      </w:pPr>
      <w:r w:rsidRPr="00CF469B">
        <w:rPr>
          <w:rFonts w:cstheme="minorHAnsi"/>
          <w:bCs/>
          <w:sz w:val="24"/>
          <w:szCs w:val="24"/>
        </w:rPr>
        <w:t>Account 1589</w:t>
      </w:r>
    </w:p>
    <w:p w14:paraId="3A074C98" w14:textId="7100087B" w:rsidR="00CF469B" w:rsidRDefault="00CF469B" w:rsidP="003C3574">
      <w:pPr>
        <w:spacing w:after="240"/>
        <w:jc w:val="both"/>
        <w:rPr>
          <w:rFonts w:cstheme="minorHAnsi"/>
          <w:bCs/>
          <w:sz w:val="24"/>
          <w:szCs w:val="24"/>
          <w:highlight w:val="yellow"/>
        </w:rPr>
      </w:pPr>
      <w:r w:rsidRPr="007F56D9">
        <w:rPr>
          <w:noProof/>
        </w:rPr>
        <w:drawing>
          <wp:inline distT="0" distB="0" distL="0" distR="0" wp14:anchorId="295247C1" wp14:editId="7B789A4A">
            <wp:extent cx="5943600"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878205"/>
                    </a:xfrm>
                    <a:prstGeom prst="rect">
                      <a:avLst/>
                    </a:prstGeom>
                    <a:noFill/>
                    <a:ln>
                      <a:noFill/>
                    </a:ln>
                  </pic:spPr>
                </pic:pic>
              </a:graphicData>
            </a:graphic>
          </wp:inline>
        </w:drawing>
      </w:r>
    </w:p>
    <w:p w14:paraId="427A73C0" w14:textId="601C22FC" w:rsidR="002A7678" w:rsidRDefault="00021EC0" w:rsidP="002A7678">
      <w:pPr>
        <w:spacing w:after="240"/>
        <w:jc w:val="both"/>
        <w:rPr>
          <w:rFonts w:cstheme="minorHAnsi"/>
          <w:bCs/>
          <w:sz w:val="24"/>
          <w:szCs w:val="24"/>
        </w:rPr>
      </w:pPr>
      <w:r>
        <w:rPr>
          <w:rFonts w:cstheme="minorHAnsi"/>
          <w:bCs/>
          <w:sz w:val="24"/>
          <w:szCs w:val="24"/>
        </w:rPr>
        <w:t xml:space="preserve">The items totaling </w:t>
      </w:r>
      <w:r w:rsidR="00710D6E" w:rsidRPr="00710D6E">
        <w:rPr>
          <w:rFonts w:cstheme="minorHAnsi"/>
          <w:bCs/>
          <w:sz w:val="24"/>
          <w:szCs w:val="24"/>
        </w:rPr>
        <w:t>$</w:t>
      </w:r>
      <w:r w:rsidR="00710D6E">
        <w:rPr>
          <w:rFonts w:cstheme="minorHAnsi"/>
          <w:bCs/>
          <w:sz w:val="24"/>
          <w:szCs w:val="24"/>
        </w:rPr>
        <w:t xml:space="preserve">249,463 and -$418,407 </w:t>
      </w:r>
      <w:r>
        <w:rPr>
          <w:rFonts w:cstheme="minorHAnsi"/>
          <w:bCs/>
          <w:sz w:val="24"/>
          <w:szCs w:val="24"/>
        </w:rPr>
        <w:t xml:space="preserve">under 2016 relate to </w:t>
      </w:r>
      <w:r w:rsidR="00710D6E">
        <w:rPr>
          <w:rFonts w:cstheme="minorHAnsi"/>
          <w:bCs/>
          <w:sz w:val="24"/>
          <w:szCs w:val="24"/>
        </w:rPr>
        <w:t xml:space="preserve">reversals of prior </w:t>
      </w:r>
      <w:r w:rsidR="001012C2">
        <w:rPr>
          <w:rFonts w:cstheme="minorHAnsi"/>
          <w:bCs/>
          <w:sz w:val="24"/>
          <w:szCs w:val="24"/>
        </w:rPr>
        <w:t>‘</w:t>
      </w:r>
      <w:r w:rsidR="00710D6E">
        <w:rPr>
          <w:rFonts w:cstheme="minorHAnsi"/>
          <w:bCs/>
          <w:sz w:val="24"/>
          <w:szCs w:val="24"/>
        </w:rPr>
        <w:t>approved</w:t>
      </w:r>
      <w:r w:rsidR="001012C2">
        <w:rPr>
          <w:rFonts w:cstheme="minorHAnsi"/>
          <w:bCs/>
          <w:sz w:val="24"/>
          <w:szCs w:val="24"/>
        </w:rPr>
        <w:t>’</w:t>
      </w:r>
      <w:r w:rsidR="00710D6E">
        <w:rPr>
          <w:rFonts w:cstheme="minorHAnsi"/>
          <w:bCs/>
          <w:sz w:val="24"/>
          <w:szCs w:val="24"/>
        </w:rPr>
        <w:t xml:space="preserve"> principal adjustment sections for Account 1588 and 1589 respectively</w:t>
      </w:r>
      <w:r w:rsidR="00866BDE">
        <w:rPr>
          <w:rFonts w:cstheme="minorHAnsi"/>
          <w:bCs/>
          <w:sz w:val="24"/>
          <w:szCs w:val="24"/>
        </w:rPr>
        <w:t xml:space="preserve"> for the year of 2016 in </w:t>
      </w:r>
      <w:r w:rsidR="001012C2">
        <w:rPr>
          <w:rFonts w:cstheme="minorHAnsi"/>
          <w:bCs/>
          <w:sz w:val="24"/>
          <w:szCs w:val="24"/>
        </w:rPr>
        <w:t xml:space="preserve">the </w:t>
      </w:r>
      <w:r w:rsidR="00866BDE">
        <w:rPr>
          <w:rFonts w:cstheme="minorHAnsi"/>
          <w:bCs/>
          <w:sz w:val="24"/>
          <w:szCs w:val="24"/>
        </w:rPr>
        <w:t>2022 IRM GA Analysis Workform (EB-2021-0048)</w:t>
      </w:r>
      <w:r w:rsidR="00441084">
        <w:rPr>
          <w:rFonts w:cstheme="minorHAnsi"/>
          <w:bCs/>
          <w:sz w:val="24"/>
          <w:szCs w:val="24"/>
        </w:rPr>
        <w:t>.</w:t>
      </w:r>
      <w:r w:rsidR="009445CF">
        <w:rPr>
          <w:rFonts w:cstheme="minorHAnsi"/>
          <w:bCs/>
          <w:sz w:val="24"/>
          <w:szCs w:val="24"/>
        </w:rPr>
        <w:t xml:space="preserve"> </w:t>
      </w:r>
      <w:r w:rsidR="00441084">
        <w:rPr>
          <w:rFonts w:cstheme="minorHAnsi"/>
          <w:bCs/>
          <w:sz w:val="24"/>
          <w:szCs w:val="24"/>
        </w:rPr>
        <w:t xml:space="preserve">2016 </w:t>
      </w:r>
      <w:r>
        <w:rPr>
          <w:rFonts w:cstheme="minorHAnsi"/>
          <w:bCs/>
          <w:sz w:val="24"/>
          <w:szCs w:val="24"/>
        </w:rPr>
        <w:t>wa</w:t>
      </w:r>
      <w:r w:rsidR="00441084">
        <w:rPr>
          <w:rFonts w:cstheme="minorHAnsi"/>
          <w:bCs/>
          <w:sz w:val="24"/>
          <w:szCs w:val="24"/>
        </w:rPr>
        <w:t xml:space="preserve">s the first year </w:t>
      </w:r>
      <w:r w:rsidR="00801AE8">
        <w:rPr>
          <w:rFonts w:cstheme="minorHAnsi"/>
          <w:bCs/>
          <w:sz w:val="24"/>
          <w:szCs w:val="24"/>
        </w:rPr>
        <w:t>Oakville Hydro</w:t>
      </w:r>
      <w:r w:rsidR="00441084">
        <w:rPr>
          <w:rFonts w:cstheme="minorHAnsi"/>
          <w:bCs/>
          <w:sz w:val="24"/>
          <w:szCs w:val="24"/>
        </w:rPr>
        <w:t xml:space="preserve"> </w:t>
      </w:r>
      <w:r w:rsidR="001012C2">
        <w:rPr>
          <w:rFonts w:cstheme="minorHAnsi"/>
          <w:bCs/>
          <w:sz w:val="24"/>
          <w:szCs w:val="24"/>
        </w:rPr>
        <w:t>utilised</w:t>
      </w:r>
      <w:r w:rsidR="00441084">
        <w:rPr>
          <w:rFonts w:cstheme="minorHAnsi"/>
          <w:bCs/>
          <w:sz w:val="24"/>
          <w:szCs w:val="24"/>
        </w:rPr>
        <w:t xml:space="preserve"> t</w:t>
      </w:r>
      <w:r w:rsidR="00710D6E" w:rsidRPr="00710D6E">
        <w:rPr>
          <w:rFonts w:cstheme="minorHAnsi"/>
          <w:bCs/>
          <w:sz w:val="24"/>
          <w:szCs w:val="24"/>
        </w:rPr>
        <w:t>he GA Analysis Workform</w:t>
      </w:r>
      <w:r w:rsidR="00441084">
        <w:rPr>
          <w:rFonts w:cstheme="minorHAnsi"/>
          <w:bCs/>
          <w:sz w:val="24"/>
          <w:szCs w:val="24"/>
        </w:rPr>
        <w:t xml:space="preserve"> and </w:t>
      </w:r>
      <w:r w:rsidR="00F96A9A">
        <w:rPr>
          <w:rFonts w:cstheme="minorHAnsi"/>
          <w:bCs/>
          <w:sz w:val="24"/>
          <w:szCs w:val="24"/>
        </w:rPr>
        <w:t xml:space="preserve">put the principal adjustments in the Continuity Schedule to ensure that the balances </w:t>
      </w:r>
      <w:r w:rsidR="00866BDE">
        <w:rPr>
          <w:rFonts w:cstheme="minorHAnsi"/>
          <w:bCs/>
          <w:sz w:val="24"/>
          <w:szCs w:val="24"/>
        </w:rPr>
        <w:t>of Account</w:t>
      </w:r>
      <w:r w:rsidR="00801AE8">
        <w:rPr>
          <w:rFonts w:cstheme="minorHAnsi"/>
          <w:bCs/>
          <w:sz w:val="24"/>
          <w:szCs w:val="24"/>
        </w:rPr>
        <w:t xml:space="preserve"> 1588 and 1589 </w:t>
      </w:r>
      <w:r w:rsidR="00F96A9A">
        <w:rPr>
          <w:rFonts w:cstheme="minorHAnsi"/>
          <w:bCs/>
          <w:sz w:val="24"/>
          <w:szCs w:val="24"/>
        </w:rPr>
        <w:t>reflect</w:t>
      </w:r>
      <w:r>
        <w:rPr>
          <w:rFonts w:cstheme="minorHAnsi"/>
          <w:bCs/>
          <w:sz w:val="24"/>
          <w:szCs w:val="24"/>
        </w:rPr>
        <w:t>ed</w:t>
      </w:r>
      <w:r w:rsidR="00F96A9A">
        <w:rPr>
          <w:rFonts w:cstheme="minorHAnsi"/>
          <w:bCs/>
          <w:sz w:val="24"/>
          <w:szCs w:val="24"/>
        </w:rPr>
        <w:t xml:space="preserve"> a full calendar year</w:t>
      </w:r>
      <w:r w:rsidR="00EA3F7A">
        <w:rPr>
          <w:rFonts w:cstheme="minorHAnsi"/>
          <w:bCs/>
          <w:sz w:val="24"/>
          <w:szCs w:val="24"/>
        </w:rPr>
        <w:t>.</w:t>
      </w:r>
      <w:r w:rsidR="00801AE8">
        <w:rPr>
          <w:rFonts w:cstheme="minorHAnsi"/>
          <w:bCs/>
          <w:sz w:val="24"/>
          <w:szCs w:val="24"/>
        </w:rPr>
        <w:t xml:space="preserve"> </w:t>
      </w:r>
      <w:r w:rsidR="009445CF">
        <w:rPr>
          <w:rFonts w:cstheme="minorHAnsi"/>
          <w:bCs/>
          <w:sz w:val="24"/>
          <w:szCs w:val="24"/>
        </w:rPr>
        <w:t>However, t</w:t>
      </w:r>
      <w:r w:rsidR="00801AE8">
        <w:rPr>
          <w:rFonts w:cstheme="minorHAnsi"/>
          <w:bCs/>
          <w:sz w:val="24"/>
          <w:szCs w:val="24"/>
        </w:rPr>
        <w:t xml:space="preserve">here </w:t>
      </w:r>
      <w:r>
        <w:rPr>
          <w:rFonts w:cstheme="minorHAnsi"/>
          <w:bCs/>
          <w:sz w:val="24"/>
          <w:szCs w:val="24"/>
        </w:rPr>
        <w:t>were</w:t>
      </w:r>
      <w:r w:rsidR="00801AE8">
        <w:rPr>
          <w:rFonts w:cstheme="minorHAnsi"/>
          <w:bCs/>
          <w:sz w:val="24"/>
          <w:szCs w:val="24"/>
        </w:rPr>
        <w:t xml:space="preserve"> no prior approved principal adjustments</w:t>
      </w:r>
      <w:r w:rsidR="00EA3F7A">
        <w:rPr>
          <w:rFonts w:cstheme="minorHAnsi"/>
          <w:bCs/>
          <w:sz w:val="24"/>
          <w:szCs w:val="24"/>
        </w:rPr>
        <w:t xml:space="preserve"> before 2016</w:t>
      </w:r>
      <w:r>
        <w:rPr>
          <w:rFonts w:cstheme="minorHAnsi"/>
          <w:bCs/>
          <w:sz w:val="24"/>
          <w:szCs w:val="24"/>
        </w:rPr>
        <w:t xml:space="preserve"> and these entries should have been reversed</w:t>
      </w:r>
      <w:r w:rsidR="00801AE8">
        <w:rPr>
          <w:rFonts w:cstheme="minorHAnsi"/>
          <w:bCs/>
          <w:sz w:val="24"/>
          <w:szCs w:val="24"/>
        </w:rPr>
        <w:t>.</w:t>
      </w:r>
      <w:r w:rsidR="00A2510C">
        <w:rPr>
          <w:rFonts w:cstheme="minorHAnsi"/>
          <w:bCs/>
          <w:sz w:val="24"/>
          <w:szCs w:val="24"/>
        </w:rPr>
        <w:t xml:space="preserve"> </w:t>
      </w:r>
      <w:r w:rsidR="008B5871">
        <w:rPr>
          <w:rFonts w:cstheme="minorHAnsi"/>
          <w:bCs/>
          <w:sz w:val="24"/>
          <w:szCs w:val="24"/>
        </w:rPr>
        <w:t xml:space="preserve">The tables below illustrate how these amounts were presented in the 2022 Rate Application filing: </w:t>
      </w:r>
    </w:p>
    <w:p w14:paraId="54821A18" w14:textId="1D3478A9" w:rsidR="00686F8B" w:rsidRDefault="00686F8B" w:rsidP="002A7678">
      <w:pPr>
        <w:spacing w:after="240"/>
        <w:jc w:val="both"/>
        <w:rPr>
          <w:rFonts w:cstheme="minorHAnsi"/>
          <w:bCs/>
          <w:sz w:val="24"/>
          <w:szCs w:val="24"/>
        </w:rPr>
      </w:pPr>
      <w:r w:rsidRPr="00710D6E">
        <w:rPr>
          <w:noProof/>
        </w:rPr>
        <w:drawing>
          <wp:inline distT="0" distB="0" distL="0" distR="0" wp14:anchorId="0105A1DF" wp14:editId="3DEFAB19">
            <wp:extent cx="5943600" cy="1659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59890"/>
                    </a:xfrm>
                    <a:prstGeom prst="rect">
                      <a:avLst/>
                    </a:prstGeom>
                    <a:noFill/>
                    <a:ln>
                      <a:noFill/>
                    </a:ln>
                  </pic:spPr>
                </pic:pic>
              </a:graphicData>
            </a:graphic>
          </wp:inline>
        </w:drawing>
      </w:r>
    </w:p>
    <w:p w14:paraId="0D3F5567" w14:textId="264E8D2D" w:rsidR="00686F8B" w:rsidRDefault="00686F8B" w:rsidP="002A7678">
      <w:pPr>
        <w:spacing w:after="240"/>
        <w:jc w:val="both"/>
        <w:rPr>
          <w:rFonts w:cstheme="minorHAnsi"/>
          <w:bCs/>
          <w:sz w:val="24"/>
          <w:szCs w:val="24"/>
        </w:rPr>
      </w:pPr>
      <w:r w:rsidRPr="00710D6E">
        <w:rPr>
          <w:noProof/>
        </w:rPr>
        <w:drawing>
          <wp:inline distT="0" distB="0" distL="0" distR="0" wp14:anchorId="2E8AACEC" wp14:editId="44521A59">
            <wp:extent cx="5943600" cy="1716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716405"/>
                    </a:xfrm>
                    <a:prstGeom prst="rect">
                      <a:avLst/>
                    </a:prstGeom>
                    <a:noFill/>
                    <a:ln>
                      <a:noFill/>
                    </a:ln>
                  </pic:spPr>
                </pic:pic>
              </a:graphicData>
            </a:graphic>
          </wp:inline>
        </w:drawing>
      </w:r>
    </w:p>
    <w:p w14:paraId="370EED27" w14:textId="77777777" w:rsidR="00686F8B" w:rsidRDefault="00686F8B" w:rsidP="002A7678">
      <w:pPr>
        <w:spacing w:after="240"/>
        <w:jc w:val="both"/>
        <w:rPr>
          <w:rFonts w:cstheme="minorHAnsi"/>
          <w:bCs/>
          <w:sz w:val="24"/>
          <w:szCs w:val="24"/>
        </w:rPr>
      </w:pPr>
      <w:r>
        <w:rPr>
          <w:rFonts w:cstheme="minorHAnsi"/>
          <w:bCs/>
          <w:sz w:val="24"/>
          <w:szCs w:val="24"/>
        </w:rPr>
        <w:t xml:space="preserve">The above amounts have been ‘reversed’ by entering, using reverse amounts, in the </w:t>
      </w:r>
      <w:r w:rsidRPr="00686F8B">
        <w:rPr>
          <w:rFonts w:cstheme="minorHAnsi"/>
          <w:bCs/>
          <w:sz w:val="24"/>
          <w:szCs w:val="24"/>
        </w:rPr>
        <w:t>Reversal Principal Adjustments section</w:t>
      </w:r>
      <w:r>
        <w:rPr>
          <w:rFonts w:cstheme="minorHAnsi"/>
          <w:bCs/>
          <w:sz w:val="24"/>
          <w:szCs w:val="24"/>
        </w:rPr>
        <w:t xml:space="preserve"> in the updated </w:t>
      </w:r>
      <w:r w:rsidRPr="00686F8B">
        <w:rPr>
          <w:rFonts w:cstheme="minorHAnsi"/>
          <w:bCs/>
          <w:sz w:val="24"/>
          <w:szCs w:val="24"/>
        </w:rPr>
        <w:t>GA Analysis Workform</w:t>
      </w:r>
      <w:r>
        <w:rPr>
          <w:rFonts w:cstheme="minorHAnsi"/>
          <w:bCs/>
          <w:sz w:val="24"/>
          <w:szCs w:val="24"/>
        </w:rPr>
        <w:t xml:space="preserve">. </w:t>
      </w:r>
    </w:p>
    <w:p w14:paraId="6B213C1C" w14:textId="2BDDE58D" w:rsidR="002A7678" w:rsidRDefault="00686F8B" w:rsidP="002A7678">
      <w:pPr>
        <w:spacing w:after="240"/>
        <w:jc w:val="both"/>
        <w:rPr>
          <w:rFonts w:cstheme="minorHAnsi"/>
          <w:sz w:val="24"/>
          <w:szCs w:val="24"/>
        </w:rPr>
      </w:pPr>
      <w:r>
        <w:rPr>
          <w:rFonts w:cstheme="minorHAnsi"/>
          <w:bCs/>
          <w:sz w:val="24"/>
          <w:szCs w:val="24"/>
        </w:rPr>
        <w:t xml:space="preserve">An additional correction to </w:t>
      </w:r>
      <w:r w:rsidR="00EA3F7A">
        <w:rPr>
          <w:rFonts w:cstheme="minorHAnsi"/>
          <w:bCs/>
          <w:sz w:val="24"/>
          <w:szCs w:val="24"/>
        </w:rPr>
        <w:t xml:space="preserve">remove the net impact of -$82,023 </w:t>
      </w:r>
      <w:r w:rsidR="00EA3F7A" w:rsidRPr="00EA3F7A">
        <w:rPr>
          <w:rFonts w:cstheme="minorHAnsi"/>
          <w:bCs/>
          <w:sz w:val="24"/>
          <w:szCs w:val="24"/>
        </w:rPr>
        <w:t>GA balances pertaining to Class A customers</w:t>
      </w:r>
      <w:r w:rsidR="00EA3F7A">
        <w:rPr>
          <w:rFonts w:cstheme="minorHAnsi"/>
          <w:bCs/>
          <w:sz w:val="24"/>
          <w:szCs w:val="24"/>
        </w:rPr>
        <w:t xml:space="preserve"> from</w:t>
      </w:r>
      <w:r w:rsidR="00183FF0" w:rsidRPr="00183FF0">
        <w:rPr>
          <w:rFonts w:cstheme="minorHAnsi"/>
          <w:bCs/>
          <w:sz w:val="24"/>
          <w:szCs w:val="24"/>
        </w:rPr>
        <w:t xml:space="preserve"> </w:t>
      </w:r>
      <w:r w:rsidR="00183FF0">
        <w:rPr>
          <w:rFonts w:cstheme="minorHAnsi"/>
          <w:bCs/>
          <w:sz w:val="24"/>
          <w:szCs w:val="24"/>
        </w:rPr>
        <w:t>the 2023 IRM GA Analysis Workform</w:t>
      </w:r>
      <w:r>
        <w:rPr>
          <w:rFonts w:cstheme="minorHAnsi"/>
          <w:bCs/>
          <w:sz w:val="24"/>
          <w:szCs w:val="24"/>
        </w:rPr>
        <w:t xml:space="preserve"> has also been made.</w:t>
      </w:r>
      <w:r w:rsidR="002A7678">
        <w:rPr>
          <w:rFonts w:cstheme="minorHAnsi"/>
          <w:bCs/>
          <w:sz w:val="24"/>
          <w:szCs w:val="24"/>
        </w:rPr>
        <w:t xml:space="preserve"> The </w:t>
      </w:r>
      <w:r w:rsidR="002A7678" w:rsidRPr="00B34BE8">
        <w:rPr>
          <w:rFonts w:cstheme="minorHAnsi"/>
          <w:sz w:val="24"/>
          <w:szCs w:val="24"/>
        </w:rPr>
        <w:t xml:space="preserve">updated GA Analysis Workform </w:t>
      </w:r>
      <w:r w:rsidR="00183FF0">
        <w:rPr>
          <w:rFonts w:cstheme="minorHAnsi"/>
          <w:sz w:val="24"/>
          <w:szCs w:val="24"/>
        </w:rPr>
        <w:t xml:space="preserve">and 2023 IRM Rate Generator </w:t>
      </w:r>
      <w:r w:rsidR="00054B42">
        <w:rPr>
          <w:rFonts w:cstheme="minorHAnsi"/>
          <w:sz w:val="24"/>
          <w:szCs w:val="24"/>
        </w:rPr>
        <w:t>filed with this response reflect these adjustments</w:t>
      </w:r>
      <w:r w:rsidR="002A7678" w:rsidRPr="00B34BE8">
        <w:rPr>
          <w:rFonts w:cstheme="minorHAnsi"/>
          <w:sz w:val="24"/>
          <w:szCs w:val="24"/>
        </w:rPr>
        <w:t>.</w:t>
      </w:r>
      <w:r w:rsidR="00054B42">
        <w:rPr>
          <w:rFonts w:cstheme="minorHAnsi"/>
          <w:sz w:val="24"/>
          <w:szCs w:val="24"/>
        </w:rPr>
        <w:t xml:space="preserve"> The updated submission is summarised below:</w:t>
      </w:r>
    </w:p>
    <w:tbl>
      <w:tblPr>
        <w:tblW w:w="8979" w:type="dxa"/>
        <w:tblCellMar>
          <w:left w:w="0" w:type="dxa"/>
          <w:right w:w="0" w:type="dxa"/>
        </w:tblCellMar>
        <w:tblLook w:val="04A0" w:firstRow="1" w:lastRow="0" w:firstColumn="1" w:lastColumn="0" w:noHBand="0" w:noVBand="1"/>
      </w:tblPr>
      <w:tblGrid>
        <w:gridCol w:w="4536"/>
        <w:gridCol w:w="1843"/>
        <w:gridCol w:w="2600"/>
      </w:tblGrid>
      <w:tr w:rsidR="00054B42" w:rsidRPr="00B17476" w14:paraId="029E590E" w14:textId="77777777" w:rsidTr="00D65C7E">
        <w:trPr>
          <w:trHeight w:val="288"/>
        </w:trPr>
        <w:tc>
          <w:tcPr>
            <w:tcW w:w="4536" w:type="dxa"/>
            <w:tcBorders>
              <w:top w:val="single" w:sz="8" w:space="0" w:color="auto"/>
              <w:left w:val="single" w:sz="8" w:space="0" w:color="auto"/>
              <w:bottom w:val="nil"/>
              <w:right w:val="nil"/>
            </w:tcBorders>
            <w:noWrap/>
            <w:tcMar>
              <w:top w:w="0" w:type="dxa"/>
              <w:left w:w="108" w:type="dxa"/>
              <w:bottom w:w="0" w:type="dxa"/>
              <w:right w:w="108" w:type="dxa"/>
            </w:tcMar>
            <w:vAlign w:val="bottom"/>
            <w:hideMark/>
          </w:tcPr>
          <w:p w14:paraId="7567F6C8" w14:textId="77777777" w:rsidR="00054B42" w:rsidRPr="00B17476" w:rsidRDefault="00054B42" w:rsidP="00D65C7E">
            <w:pPr>
              <w:spacing w:after="240"/>
              <w:rPr>
                <w:rFonts w:cstheme="minorHAnsi"/>
                <w:bCs/>
                <w:sz w:val="24"/>
                <w:szCs w:val="24"/>
                <w:lang w:val="en-US"/>
              </w:rPr>
            </w:pPr>
          </w:p>
        </w:tc>
        <w:tc>
          <w:tcPr>
            <w:tcW w:w="1843" w:type="dxa"/>
            <w:tcBorders>
              <w:top w:val="single" w:sz="8" w:space="0" w:color="auto"/>
              <w:left w:val="nil"/>
              <w:bottom w:val="nil"/>
              <w:right w:val="nil"/>
            </w:tcBorders>
            <w:noWrap/>
            <w:tcMar>
              <w:top w:w="0" w:type="dxa"/>
              <w:left w:w="108" w:type="dxa"/>
              <w:bottom w:w="0" w:type="dxa"/>
              <w:right w:w="108" w:type="dxa"/>
            </w:tcMar>
            <w:vAlign w:val="bottom"/>
            <w:hideMark/>
          </w:tcPr>
          <w:p w14:paraId="3073440E" w14:textId="77777777" w:rsidR="00054B42" w:rsidRPr="00B17476" w:rsidRDefault="00054B42" w:rsidP="00054B42">
            <w:pPr>
              <w:spacing w:after="240"/>
              <w:jc w:val="right"/>
              <w:rPr>
                <w:rFonts w:cstheme="minorHAnsi"/>
                <w:b/>
                <w:bCs/>
                <w:sz w:val="24"/>
                <w:szCs w:val="24"/>
                <w:lang w:val="en-US"/>
              </w:rPr>
            </w:pPr>
            <w:r w:rsidRPr="00B17476">
              <w:rPr>
                <w:rFonts w:cstheme="minorHAnsi"/>
                <w:b/>
                <w:bCs/>
                <w:sz w:val="24"/>
                <w:szCs w:val="24"/>
                <w:lang w:val="en-US"/>
              </w:rPr>
              <w:t>Account 1589</w:t>
            </w:r>
          </w:p>
        </w:tc>
        <w:tc>
          <w:tcPr>
            <w:tcW w:w="260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5106880E" w14:textId="77777777" w:rsidR="00054B42" w:rsidRPr="00B17476" w:rsidRDefault="00054B42" w:rsidP="00054B42">
            <w:pPr>
              <w:spacing w:after="240"/>
              <w:jc w:val="right"/>
              <w:rPr>
                <w:rFonts w:cstheme="minorHAnsi"/>
                <w:b/>
                <w:bCs/>
                <w:sz w:val="24"/>
                <w:szCs w:val="24"/>
                <w:lang w:val="en-US"/>
              </w:rPr>
            </w:pPr>
            <w:r w:rsidRPr="00B17476">
              <w:rPr>
                <w:rFonts w:cstheme="minorHAnsi"/>
                <w:b/>
                <w:bCs/>
                <w:sz w:val="24"/>
                <w:szCs w:val="24"/>
                <w:lang w:val="en-US"/>
              </w:rPr>
              <w:t>Account 1588</w:t>
            </w:r>
          </w:p>
        </w:tc>
      </w:tr>
      <w:tr w:rsidR="00054B42" w:rsidRPr="00B17476" w14:paraId="640F5542" w14:textId="77777777" w:rsidTr="00D65C7E">
        <w:trPr>
          <w:trHeight w:val="288"/>
        </w:trPr>
        <w:tc>
          <w:tcPr>
            <w:tcW w:w="4536" w:type="dxa"/>
            <w:tcBorders>
              <w:top w:val="nil"/>
              <w:left w:val="single" w:sz="8" w:space="0" w:color="auto"/>
              <w:bottom w:val="nil"/>
              <w:right w:val="nil"/>
            </w:tcBorders>
            <w:noWrap/>
            <w:tcMar>
              <w:top w:w="0" w:type="dxa"/>
              <w:left w:w="108" w:type="dxa"/>
              <w:bottom w:w="0" w:type="dxa"/>
              <w:right w:w="108" w:type="dxa"/>
            </w:tcMar>
            <w:vAlign w:val="bottom"/>
            <w:hideMark/>
          </w:tcPr>
          <w:p w14:paraId="0FCB2B02" w14:textId="77777777" w:rsidR="00054B42" w:rsidRPr="00B17476" w:rsidRDefault="00054B42" w:rsidP="00D65C7E">
            <w:pPr>
              <w:spacing w:after="240"/>
              <w:rPr>
                <w:rFonts w:cstheme="minorHAnsi"/>
                <w:bCs/>
                <w:sz w:val="24"/>
                <w:szCs w:val="24"/>
                <w:lang w:val="en-US"/>
              </w:rPr>
            </w:pPr>
            <w:r w:rsidRPr="00B17476">
              <w:rPr>
                <w:rFonts w:cstheme="minorHAnsi"/>
                <w:bCs/>
                <w:sz w:val="24"/>
                <w:szCs w:val="24"/>
                <w:lang w:val="en-US"/>
              </w:rPr>
              <w:t>GA Analysis Workform - Principal Adjustment Tab</w:t>
            </w:r>
          </w:p>
        </w:tc>
        <w:tc>
          <w:tcPr>
            <w:tcW w:w="1843" w:type="dxa"/>
            <w:noWrap/>
            <w:tcMar>
              <w:top w:w="0" w:type="dxa"/>
              <w:left w:w="108" w:type="dxa"/>
              <w:bottom w:w="0" w:type="dxa"/>
              <w:right w:w="108" w:type="dxa"/>
            </w:tcMar>
            <w:vAlign w:val="bottom"/>
            <w:hideMark/>
          </w:tcPr>
          <w:p w14:paraId="003D92B2" w14:textId="636E5856" w:rsidR="00054B42" w:rsidRPr="00B17476" w:rsidRDefault="00054B42" w:rsidP="00054B42">
            <w:pPr>
              <w:spacing w:after="240"/>
              <w:jc w:val="right"/>
              <w:rPr>
                <w:rFonts w:cstheme="minorHAnsi"/>
                <w:bCs/>
                <w:sz w:val="24"/>
                <w:szCs w:val="24"/>
                <w:lang w:val="en-US"/>
              </w:rPr>
            </w:pPr>
            <w:r>
              <w:rPr>
                <w:rFonts w:cstheme="minorHAnsi"/>
                <w:bCs/>
                <w:sz w:val="24"/>
                <w:szCs w:val="24"/>
                <w:lang w:val="en-US"/>
              </w:rPr>
              <w:t>500,556</w:t>
            </w:r>
          </w:p>
        </w:tc>
        <w:tc>
          <w:tcPr>
            <w:tcW w:w="2600" w:type="dxa"/>
            <w:tcBorders>
              <w:top w:val="nil"/>
              <w:left w:val="nil"/>
              <w:bottom w:val="nil"/>
              <w:right w:val="single" w:sz="8" w:space="0" w:color="auto"/>
            </w:tcBorders>
            <w:noWrap/>
            <w:tcMar>
              <w:top w:w="0" w:type="dxa"/>
              <w:left w:w="108" w:type="dxa"/>
              <w:bottom w:w="0" w:type="dxa"/>
              <w:right w:w="108" w:type="dxa"/>
            </w:tcMar>
            <w:vAlign w:val="bottom"/>
            <w:hideMark/>
          </w:tcPr>
          <w:p w14:paraId="55316C29" w14:textId="7041CB4F" w:rsidR="00054B42" w:rsidRPr="00B17476" w:rsidRDefault="00054B42" w:rsidP="00054B42">
            <w:pPr>
              <w:spacing w:after="240"/>
              <w:jc w:val="right"/>
              <w:rPr>
                <w:rFonts w:cstheme="minorHAnsi"/>
                <w:bCs/>
                <w:sz w:val="24"/>
                <w:szCs w:val="24"/>
                <w:lang w:val="en-US"/>
              </w:rPr>
            </w:pPr>
            <w:r>
              <w:rPr>
                <w:rFonts w:cstheme="minorHAnsi"/>
                <w:bCs/>
                <w:sz w:val="24"/>
                <w:szCs w:val="24"/>
                <w:lang w:val="en-US"/>
              </w:rPr>
              <w:t>545,929</w:t>
            </w:r>
          </w:p>
        </w:tc>
      </w:tr>
      <w:tr w:rsidR="00054B42" w:rsidRPr="00B17476" w14:paraId="6A8ADDBC" w14:textId="77777777" w:rsidTr="00D65C7E">
        <w:trPr>
          <w:trHeight w:val="288"/>
        </w:trPr>
        <w:tc>
          <w:tcPr>
            <w:tcW w:w="4536" w:type="dxa"/>
            <w:tcBorders>
              <w:top w:val="nil"/>
              <w:left w:val="single" w:sz="8" w:space="0" w:color="auto"/>
              <w:bottom w:val="nil"/>
              <w:right w:val="nil"/>
            </w:tcBorders>
            <w:noWrap/>
            <w:tcMar>
              <w:top w:w="0" w:type="dxa"/>
              <w:left w:w="108" w:type="dxa"/>
              <w:bottom w:w="0" w:type="dxa"/>
              <w:right w:w="108" w:type="dxa"/>
            </w:tcMar>
            <w:vAlign w:val="bottom"/>
            <w:hideMark/>
          </w:tcPr>
          <w:p w14:paraId="3B46B093" w14:textId="77777777" w:rsidR="00054B42" w:rsidRPr="00B17476" w:rsidRDefault="00054B42" w:rsidP="00D65C7E">
            <w:pPr>
              <w:spacing w:after="240"/>
              <w:rPr>
                <w:rFonts w:cstheme="minorHAnsi"/>
                <w:bCs/>
                <w:sz w:val="24"/>
                <w:szCs w:val="24"/>
                <w:lang w:val="en-US"/>
              </w:rPr>
            </w:pPr>
            <w:r w:rsidRPr="00B17476">
              <w:rPr>
                <w:rFonts w:cstheme="minorHAnsi"/>
                <w:bCs/>
                <w:sz w:val="24"/>
                <w:szCs w:val="24"/>
                <w:lang w:val="en-US"/>
              </w:rPr>
              <w:t>DVA Continuity Schedule - column BW</w:t>
            </w:r>
          </w:p>
        </w:tc>
        <w:tc>
          <w:tcPr>
            <w:tcW w:w="1843" w:type="dxa"/>
            <w:tcBorders>
              <w:top w:val="nil"/>
              <w:left w:val="nil"/>
              <w:bottom w:val="single" w:sz="8" w:space="0" w:color="auto"/>
              <w:right w:val="nil"/>
            </w:tcBorders>
            <w:noWrap/>
            <w:tcMar>
              <w:top w:w="0" w:type="dxa"/>
              <w:left w:w="108" w:type="dxa"/>
              <w:bottom w:w="0" w:type="dxa"/>
              <w:right w:w="108" w:type="dxa"/>
            </w:tcMar>
            <w:vAlign w:val="bottom"/>
            <w:hideMark/>
          </w:tcPr>
          <w:p w14:paraId="21F0CAF3" w14:textId="0A915E01" w:rsidR="00054B42" w:rsidRPr="00B17476" w:rsidRDefault="00054B42" w:rsidP="00054B42">
            <w:pPr>
              <w:spacing w:after="240"/>
              <w:jc w:val="right"/>
              <w:rPr>
                <w:rFonts w:cstheme="minorHAnsi"/>
                <w:bCs/>
                <w:sz w:val="24"/>
                <w:szCs w:val="24"/>
                <w:lang w:val="en-US"/>
              </w:rPr>
            </w:pPr>
            <w:r>
              <w:rPr>
                <w:rFonts w:cstheme="minorHAnsi"/>
                <w:bCs/>
                <w:sz w:val="24"/>
                <w:szCs w:val="24"/>
                <w:lang w:val="en-US"/>
              </w:rPr>
              <w:t>(500,555)</w:t>
            </w:r>
          </w:p>
        </w:tc>
        <w:tc>
          <w:tcPr>
            <w:tcW w:w="2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A6940F" w14:textId="0366BBCD" w:rsidR="00054B42" w:rsidRPr="00B17476" w:rsidRDefault="00054B42" w:rsidP="00054B42">
            <w:pPr>
              <w:spacing w:after="240"/>
              <w:jc w:val="right"/>
              <w:rPr>
                <w:rFonts w:cstheme="minorHAnsi"/>
                <w:bCs/>
                <w:sz w:val="24"/>
                <w:szCs w:val="24"/>
                <w:lang w:val="en-US"/>
              </w:rPr>
            </w:pPr>
            <w:r>
              <w:rPr>
                <w:rFonts w:cstheme="minorHAnsi"/>
                <w:bCs/>
                <w:sz w:val="24"/>
                <w:szCs w:val="24"/>
                <w:lang w:val="en-US"/>
              </w:rPr>
              <w:t>(545,930)</w:t>
            </w:r>
          </w:p>
        </w:tc>
      </w:tr>
      <w:tr w:rsidR="00054B42" w:rsidRPr="00B17476" w14:paraId="60C3AA32" w14:textId="77777777" w:rsidTr="00D65C7E">
        <w:trPr>
          <w:trHeight w:val="288"/>
        </w:trPr>
        <w:tc>
          <w:tcPr>
            <w:tcW w:w="4536"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C6970C7" w14:textId="77777777" w:rsidR="00054B42" w:rsidRPr="00B17476" w:rsidRDefault="00054B42" w:rsidP="00D65C7E">
            <w:pPr>
              <w:spacing w:after="240"/>
              <w:rPr>
                <w:rFonts w:cstheme="minorHAnsi"/>
                <w:bCs/>
                <w:sz w:val="24"/>
                <w:szCs w:val="24"/>
                <w:lang w:val="en-US"/>
              </w:rPr>
            </w:pPr>
          </w:p>
        </w:tc>
        <w:tc>
          <w:tcPr>
            <w:tcW w:w="1843" w:type="dxa"/>
            <w:tcBorders>
              <w:top w:val="nil"/>
              <w:left w:val="nil"/>
              <w:bottom w:val="single" w:sz="8" w:space="0" w:color="auto"/>
              <w:right w:val="nil"/>
            </w:tcBorders>
            <w:noWrap/>
            <w:tcMar>
              <w:top w:w="0" w:type="dxa"/>
              <w:left w:w="108" w:type="dxa"/>
              <w:bottom w:w="0" w:type="dxa"/>
              <w:right w:w="108" w:type="dxa"/>
            </w:tcMar>
            <w:vAlign w:val="bottom"/>
            <w:hideMark/>
          </w:tcPr>
          <w:p w14:paraId="24186952" w14:textId="1B27A348" w:rsidR="00054B42" w:rsidRPr="00B17476" w:rsidRDefault="00054B42" w:rsidP="00054B42">
            <w:pPr>
              <w:spacing w:after="240"/>
              <w:jc w:val="right"/>
              <w:rPr>
                <w:rFonts w:cstheme="minorHAnsi"/>
                <w:bCs/>
                <w:sz w:val="24"/>
                <w:szCs w:val="24"/>
                <w:lang w:val="en-US"/>
              </w:rPr>
            </w:pPr>
            <w:r>
              <w:rPr>
                <w:rFonts w:cstheme="minorHAnsi"/>
                <w:bCs/>
                <w:sz w:val="24"/>
                <w:szCs w:val="24"/>
                <w:lang w:val="en-US"/>
              </w:rPr>
              <w:t>1</w:t>
            </w:r>
          </w:p>
        </w:tc>
        <w:tc>
          <w:tcPr>
            <w:tcW w:w="2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8D3F56" w14:textId="722B9E8D" w:rsidR="00054B42" w:rsidRPr="00B17476" w:rsidRDefault="00054B42" w:rsidP="00054B42">
            <w:pPr>
              <w:spacing w:after="240"/>
              <w:jc w:val="right"/>
              <w:rPr>
                <w:rFonts w:cstheme="minorHAnsi"/>
                <w:bCs/>
                <w:sz w:val="24"/>
                <w:szCs w:val="24"/>
                <w:lang w:val="en-US"/>
              </w:rPr>
            </w:pPr>
            <w:r>
              <w:rPr>
                <w:rFonts w:cstheme="minorHAnsi"/>
                <w:bCs/>
                <w:sz w:val="24"/>
                <w:szCs w:val="24"/>
                <w:lang w:val="en-US"/>
              </w:rPr>
              <w:t xml:space="preserve"> (1)</w:t>
            </w:r>
          </w:p>
        </w:tc>
      </w:tr>
    </w:tbl>
    <w:p w14:paraId="66ACC8EB" w14:textId="0DA4CECB" w:rsidR="00054B42" w:rsidRDefault="00054B42" w:rsidP="002A7678">
      <w:pPr>
        <w:spacing w:after="240"/>
        <w:jc w:val="both"/>
        <w:rPr>
          <w:rFonts w:cstheme="minorHAnsi"/>
          <w:sz w:val="24"/>
          <w:szCs w:val="24"/>
        </w:rPr>
      </w:pPr>
    </w:p>
    <w:p w14:paraId="069DF90C" w14:textId="77777777" w:rsidR="00054B42" w:rsidRPr="00B34BE8" w:rsidRDefault="00054B42" w:rsidP="002A7678">
      <w:pPr>
        <w:spacing w:after="240"/>
        <w:jc w:val="both"/>
        <w:rPr>
          <w:rFonts w:cstheme="minorHAnsi"/>
          <w:sz w:val="24"/>
          <w:szCs w:val="24"/>
        </w:rPr>
      </w:pPr>
    </w:p>
    <w:p w14:paraId="0FDF3ECB" w14:textId="77777777" w:rsidR="00720CD1" w:rsidRDefault="00720CD1">
      <w:pPr>
        <w:rPr>
          <w:rFonts w:cstheme="minorHAnsi"/>
          <w:b/>
          <w:bCs/>
          <w:sz w:val="28"/>
          <w:szCs w:val="28"/>
          <w:lang w:val="en-US"/>
        </w:rPr>
      </w:pPr>
      <w:r>
        <w:rPr>
          <w:rFonts w:cstheme="minorHAnsi"/>
          <w:b/>
          <w:bCs/>
          <w:sz w:val="28"/>
          <w:szCs w:val="28"/>
          <w:lang w:val="en-US"/>
        </w:rPr>
        <w:br w:type="page"/>
      </w:r>
    </w:p>
    <w:p w14:paraId="7854EE20" w14:textId="27C37153" w:rsidR="00EB4C14" w:rsidRPr="00B17476" w:rsidRDefault="00EB4C14" w:rsidP="00EB4C14">
      <w:pPr>
        <w:spacing w:after="240"/>
        <w:rPr>
          <w:rFonts w:cstheme="minorHAnsi"/>
          <w:b/>
          <w:bCs/>
          <w:sz w:val="28"/>
          <w:szCs w:val="28"/>
          <w:lang w:val="en-US"/>
        </w:rPr>
      </w:pPr>
      <w:r w:rsidRPr="00B17476">
        <w:rPr>
          <w:rFonts w:cstheme="minorHAnsi"/>
          <w:b/>
          <w:bCs/>
          <w:sz w:val="28"/>
          <w:szCs w:val="28"/>
          <w:lang w:val="en-US"/>
        </w:rPr>
        <w:lastRenderedPageBreak/>
        <w:t>Staff Question -</w:t>
      </w:r>
      <w:r w:rsidR="007222FC" w:rsidRPr="00B17476">
        <w:rPr>
          <w:rFonts w:cstheme="minorHAnsi"/>
          <w:b/>
          <w:bCs/>
          <w:sz w:val="28"/>
          <w:szCs w:val="28"/>
          <w:lang w:val="en-US"/>
        </w:rPr>
        <w:t>8</w:t>
      </w:r>
    </w:p>
    <w:p w14:paraId="6D4037DC" w14:textId="4E8C3980" w:rsidR="00EB4C14" w:rsidRPr="00B17476" w:rsidRDefault="00EB4C14" w:rsidP="00EB4C14">
      <w:pPr>
        <w:spacing w:after="240"/>
        <w:rPr>
          <w:rFonts w:cstheme="minorHAnsi"/>
          <w:b/>
          <w:bCs/>
          <w:sz w:val="24"/>
          <w:szCs w:val="24"/>
          <w:lang w:val="en-US"/>
        </w:rPr>
      </w:pPr>
      <w:r w:rsidRPr="00B17476">
        <w:rPr>
          <w:rFonts w:cstheme="minorHAnsi"/>
          <w:b/>
          <w:bCs/>
          <w:sz w:val="24"/>
          <w:szCs w:val="24"/>
          <w:lang w:val="en-US"/>
        </w:rPr>
        <w:t>Ref:  </w:t>
      </w:r>
    </w:p>
    <w:p w14:paraId="7486D1F1" w14:textId="348D8A8A" w:rsidR="00EB4C14" w:rsidRPr="00B17476" w:rsidRDefault="00EB4C14" w:rsidP="007222FC">
      <w:pPr>
        <w:pStyle w:val="ListParagraph"/>
        <w:numPr>
          <w:ilvl w:val="0"/>
          <w:numId w:val="8"/>
        </w:numPr>
        <w:spacing w:after="240"/>
        <w:rPr>
          <w:rFonts w:cstheme="minorHAnsi"/>
          <w:sz w:val="24"/>
          <w:szCs w:val="24"/>
          <w:lang w:val="en-US"/>
        </w:rPr>
      </w:pPr>
      <w:r w:rsidRPr="00B17476">
        <w:rPr>
          <w:rFonts w:cstheme="minorHAnsi"/>
          <w:sz w:val="24"/>
          <w:szCs w:val="24"/>
          <w:lang w:val="en-US"/>
        </w:rPr>
        <w:t>Rate Generator Model – Tab 17, 19</w:t>
      </w:r>
    </w:p>
    <w:p w14:paraId="2ABF24BD" w14:textId="61BAF47F" w:rsidR="00663215" w:rsidRDefault="00EB4C14" w:rsidP="00884852">
      <w:pPr>
        <w:spacing w:after="240"/>
        <w:rPr>
          <w:rFonts w:cstheme="minorHAnsi"/>
          <w:bCs/>
          <w:sz w:val="24"/>
          <w:szCs w:val="24"/>
        </w:rPr>
      </w:pPr>
      <w:r w:rsidRPr="00B17476">
        <w:rPr>
          <w:rFonts w:cstheme="minorHAnsi"/>
          <w:bCs/>
          <w:sz w:val="24"/>
          <w:szCs w:val="24"/>
        </w:rPr>
        <w:t xml:space="preserve">Question: OEB staff has updated the Smart Meter Entity Charge to $0.42 in Tab 17 and reflected in Tab 19. Please confirm this update in the attached model. </w:t>
      </w:r>
    </w:p>
    <w:p w14:paraId="00EF246B" w14:textId="77777777" w:rsidR="000D3B2F" w:rsidRDefault="000D3B2F" w:rsidP="000D3B2F">
      <w:pPr>
        <w:pStyle w:val="BodyText"/>
        <w:spacing w:after="160" w:line="252" w:lineRule="auto"/>
        <w:contextualSpacing/>
        <w:jc w:val="both"/>
        <w:rPr>
          <w:rFonts w:asciiTheme="minorHAnsi" w:hAnsiTheme="minorHAnsi" w:cstheme="minorHAnsi"/>
          <w:b/>
          <w:color w:val="BD2025"/>
          <w:sz w:val="24"/>
          <w:szCs w:val="24"/>
        </w:rPr>
      </w:pPr>
      <w:r w:rsidRPr="007E55F3">
        <w:rPr>
          <w:rFonts w:asciiTheme="minorHAnsi" w:hAnsiTheme="minorHAnsi" w:cstheme="minorHAnsi"/>
          <w:b/>
          <w:color w:val="BD2025"/>
          <w:sz w:val="24"/>
          <w:szCs w:val="24"/>
        </w:rPr>
        <w:t xml:space="preserve">Response: </w:t>
      </w:r>
    </w:p>
    <w:p w14:paraId="5C429230" w14:textId="3A86453D" w:rsidR="000D3B2F" w:rsidRPr="00B17476" w:rsidRDefault="00B93170" w:rsidP="00D238CD">
      <w:pPr>
        <w:spacing w:after="240"/>
        <w:jc w:val="both"/>
        <w:rPr>
          <w:rFonts w:cstheme="minorHAnsi"/>
          <w:bCs/>
          <w:sz w:val="24"/>
          <w:szCs w:val="24"/>
        </w:rPr>
      </w:pPr>
      <w:r>
        <w:rPr>
          <w:rFonts w:cstheme="minorHAnsi"/>
          <w:bCs/>
          <w:sz w:val="24"/>
          <w:szCs w:val="24"/>
        </w:rPr>
        <w:t>Oakville Hydro confirms that</w:t>
      </w:r>
      <w:r w:rsidRPr="00B93170">
        <w:t xml:space="preserve"> </w:t>
      </w:r>
      <w:r w:rsidRPr="00B93170">
        <w:rPr>
          <w:rFonts w:cstheme="minorHAnsi"/>
          <w:bCs/>
          <w:sz w:val="24"/>
          <w:szCs w:val="24"/>
        </w:rPr>
        <w:t>the Smart Meter Entity Charge in Tab 17 and Tab 19</w:t>
      </w:r>
      <w:r>
        <w:rPr>
          <w:rFonts w:cstheme="minorHAnsi"/>
          <w:bCs/>
          <w:sz w:val="24"/>
          <w:szCs w:val="24"/>
        </w:rPr>
        <w:t xml:space="preserve"> have updated </w:t>
      </w:r>
      <w:r w:rsidR="001D3495">
        <w:rPr>
          <w:rFonts w:cstheme="minorHAnsi"/>
          <w:bCs/>
          <w:sz w:val="24"/>
          <w:szCs w:val="24"/>
        </w:rPr>
        <w:t xml:space="preserve">to be $0.42 </w:t>
      </w:r>
      <w:r>
        <w:rPr>
          <w:rFonts w:cstheme="minorHAnsi"/>
          <w:bCs/>
          <w:sz w:val="24"/>
          <w:szCs w:val="24"/>
        </w:rPr>
        <w:t xml:space="preserve">in the Rate Generator Model, which was sent to Oakville Hydro on September 12, 2022. </w:t>
      </w:r>
      <w:r w:rsidR="00054B42">
        <w:rPr>
          <w:rFonts w:cstheme="minorHAnsi"/>
          <w:bCs/>
          <w:sz w:val="24"/>
          <w:szCs w:val="24"/>
        </w:rPr>
        <w:t xml:space="preserve">We note </w:t>
      </w:r>
      <w:r>
        <w:rPr>
          <w:rFonts w:cstheme="minorHAnsi"/>
          <w:bCs/>
          <w:sz w:val="24"/>
          <w:szCs w:val="24"/>
        </w:rPr>
        <w:t xml:space="preserve">the Smart Meter Entity Charge is effective until December 31, </w:t>
      </w:r>
      <w:proofErr w:type="gramStart"/>
      <w:r w:rsidR="004D7627">
        <w:rPr>
          <w:rFonts w:cstheme="minorHAnsi"/>
          <w:bCs/>
          <w:sz w:val="24"/>
          <w:szCs w:val="24"/>
        </w:rPr>
        <w:t>2023</w:t>
      </w:r>
      <w:proofErr w:type="gramEnd"/>
      <w:r w:rsidR="00887FD6">
        <w:rPr>
          <w:rFonts w:cstheme="minorHAnsi"/>
          <w:bCs/>
          <w:sz w:val="24"/>
          <w:szCs w:val="24"/>
        </w:rPr>
        <w:t xml:space="preserve"> </w:t>
      </w:r>
      <w:r w:rsidR="00054B42">
        <w:rPr>
          <w:rFonts w:cstheme="minorHAnsi"/>
          <w:bCs/>
          <w:sz w:val="24"/>
          <w:szCs w:val="24"/>
        </w:rPr>
        <w:t xml:space="preserve">per </w:t>
      </w:r>
      <w:r w:rsidR="004D7627">
        <w:rPr>
          <w:rFonts w:cstheme="minorHAnsi"/>
          <w:bCs/>
          <w:sz w:val="24"/>
          <w:szCs w:val="24"/>
        </w:rPr>
        <w:t>Tab 19</w:t>
      </w:r>
      <w:r>
        <w:rPr>
          <w:rFonts w:cstheme="minorHAnsi"/>
          <w:bCs/>
          <w:sz w:val="24"/>
          <w:szCs w:val="24"/>
        </w:rPr>
        <w:t>, instead of December 31, 2027</w:t>
      </w:r>
      <w:r w:rsidR="00054B42">
        <w:rPr>
          <w:rFonts w:cstheme="minorHAnsi"/>
          <w:bCs/>
          <w:sz w:val="24"/>
          <w:szCs w:val="24"/>
        </w:rPr>
        <w:t xml:space="preserve"> a</w:t>
      </w:r>
      <w:r w:rsidR="004D7627">
        <w:rPr>
          <w:rFonts w:cstheme="minorHAnsi"/>
          <w:bCs/>
          <w:sz w:val="24"/>
          <w:szCs w:val="24"/>
        </w:rPr>
        <w:t xml:space="preserve">s mentioned </w:t>
      </w:r>
      <w:r w:rsidR="00054B42">
        <w:rPr>
          <w:rFonts w:cstheme="minorHAnsi"/>
          <w:bCs/>
          <w:sz w:val="24"/>
          <w:szCs w:val="24"/>
        </w:rPr>
        <w:t>i</w:t>
      </w:r>
      <w:r w:rsidR="004D7627">
        <w:rPr>
          <w:rFonts w:cstheme="minorHAnsi"/>
          <w:bCs/>
          <w:sz w:val="24"/>
          <w:szCs w:val="24"/>
        </w:rPr>
        <w:t>n the OEB’s letter (</w:t>
      </w:r>
      <w:r w:rsidR="004D7627" w:rsidRPr="004D7627">
        <w:rPr>
          <w:rFonts w:cstheme="minorHAnsi"/>
          <w:bCs/>
          <w:sz w:val="24"/>
          <w:szCs w:val="24"/>
        </w:rPr>
        <w:t>EB-2022-0137 - Smart Metering Charge - January 1, 2023 – December 31, 2027</w:t>
      </w:r>
      <w:r w:rsidR="004D7627">
        <w:rPr>
          <w:rFonts w:cstheme="minorHAnsi"/>
          <w:bCs/>
          <w:sz w:val="24"/>
          <w:szCs w:val="24"/>
        </w:rPr>
        <w:t>).</w:t>
      </w:r>
    </w:p>
    <w:p w14:paraId="18A2BC0F" w14:textId="77777777" w:rsidR="001012C2" w:rsidRDefault="001012C2" w:rsidP="007222FC">
      <w:pPr>
        <w:pStyle w:val="paragraph"/>
        <w:spacing w:before="0" w:beforeAutospacing="0" w:after="0" w:afterAutospacing="0"/>
        <w:textAlignment w:val="baseline"/>
        <w:rPr>
          <w:rStyle w:val="normaltextrun"/>
          <w:rFonts w:asciiTheme="minorHAnsi" w:hAnsiTheme="minorHAnsi" w:cstheme="minorHAnsi"/>
          <w:b/>
          <w:bCs/>
          <w:sz w:val="28"/>
          <w:szCs w:val="28"/>
          <w:lang w:val="en-CA"/>
        </w:rPr>
      </w:pPr>
    </w:p>
    <w:p w14:paraId="01EF9EF9" w14:textId="3D559E32" w:rsidR="007222FC" w:rsidRPr="00B17476" w:rsidRDefault="007222FC" w:rsidP="007222FC">
      <w:pPr>
        <w:pStyle w:val="paragraph"/>
        <w:spacing w:before="0" w:beforeAutospacing="0" w:after="0" w:afterAutospacing="0"/>
        <w:textAlignment w:val="baseline"/>
        <w:rPr>
          <w:rFonts w:asciiTheme="minorHAnsi" w:hAnsiTheme="minorHAnsi" w:cstheme="minorHAnsi"/>
          <w:sz w:val="28"/>
          <w:szCs w:val="28"/>
        </w:rPr>
      </w:pPr>
      <w:r w:rsidRPr="00B17476">
        <w:rPr>
          <w:rStyle w:val="normaltextrun"/>
          <w:rFonts w:asciiTheme="minorHAnsi" w:hAnsiTheme="minorHAnsi" w:cstheme="minorHAnsi"/>
          <w:b/>
          <w:bCs/>
          <w:sz w:val="28"/>
          <w:szCs w:val="28"/>
          <w:lang w:val="en-CA"/>
        </w:rPr>
        <w:t>Staff Question -9</w:t>
      </w:r>
    </w:p>
    <w:p w14:paraId="60B25C12" w14:textId="77777777" w:rsidR="007222FC" w:rsidRPr="00B17476" w:rsidRDefault="007222FC" w:rsidP="007222FC">
      <w:pPr>
        <w:pStyle w:val="paragraph"/>
        <w:spacing w:before="0" w:beforeAutospacing="0" w:after="0" w:afterAutospacing="0"/>
        <w:textAlignment w:val="baseline"/>
        <w:rPr>
          <w:rFonts w:asciiTheme="minorHAnsi" w:hAnsiTheme="minorHAnsi" w:cstheme="minorHAnsi"/>
          <w:sz w:val="28"/>
          <w:szCs w:val="28"/>
        </w:rPr>
      </w:pPr>
      <w:r w:rsidRPr="00B17476">
        <w:rPr>
          <w:rStyle w:val="eop"/>
          <w:rFonts w:asciiTheme="minorHAnsi" w:hAnsiTheme="minorHAnsi" w:cstheme="minorHAnsi"/>
          <w:sz w:val="28"/>
          <w:szCs w:val="28"/>
        </w:rPr>
        <w:t> </w:t>
      </w:r>
    </w:p>
    <w:p w14:paraId="3582FF6D" w14:textId="77777777" w:rsidR="007222FC" w:rsidRPr="00B17476" w:rsidRDefault="007222FC" w:rsidP="007222FC">
      <w:pPr>
        <w:pStyle w:val="paragraph"/>
        <w:spacing w:before="0" w:beforeAutospacing="0" w:after="0" w:afterAutospacing="0"/>
        <w:textAlignment w:val="baseline"/>
        <w:rPr>
          <w:rFonts w:asciiTheme="minorHAnsi" w:hAnsiTheme="minorHAnsi" w:cstheme="minorHAnsi"/>
        </w:rPr>
      </w:pPr>
      <w:r w:rsidRPr="00B17476">
        <w:rPr>
          <w:rStyle w:val="normaltextrun"/>
          <w:rFonts w:asciiTheme="minorHAnsi" w:hAnsiTheme="minorHAnsi" w:cstheme="minorHAnsi"/>
          <w:b/>
          <w:bCs/>
          <w:lang w:val="en-CA"/>
        </w:rPr>
        <w:t>Ref:</w:t>
      </w:r>
      <w:r w:rsidRPr="00B17476">
        <w:rPr>
          <w:rStyle w:val="eop"/>
          <w:rFonts w:asciiTheme="minorHAnsi" w:hAnsiTheme="minorHAnsi" w:cstheme="minorHAnsi"/>
        </w:rPr>
        <w:t> </w:t>
      </w:r>
    </w:p>
    <w:p w14:paraId="7D8DBDC1" w14:textId="77777777" w:rsidR="007222FC" w:rsidRPr="00B17476" w:rsidRDefault="007222FC" w:rsidP="007222FC">
      <w:pPr>
        <w:pStyle w:val="ListParagraph"/>
        <w:numPr>
          <w:ilvl w:val="0"/>
          <w:numId w:val="12"/>
        </w:numPr>
        <w:spacing w:after="240"/>
        <w:rPr>
          <w:rFonts w:cstheme="minorHAnsi"/>
          <w:sz w:val="24"/>
          <w:szCs w:val="24"/>
          <w:lang w:val="en-US"/>
        </w:rPr>
      </w:pPr>
      <w:r w:rsidRPr="00B17476">
        <w:rPr>
          <w:rFonts w:cstheme="minorHAnsi"/>
          <w:sz w:val="24"/>
          <w:szCs w:val="24"/>
          <w:lang w:val="en-US"/>
        </w:rPr>
        <w:t>LRAMVA Workform – Tab 2 </w:t>
      </w:r>
    </w:p>
    <w:p w14:paraId="41B5880E" w14:textId="7DCB9BE6" w:rsidR="007222FC" w:rsidRDefault="007222FC" w:rsidP="007222FC">
      <w:pPr>
        <w:spacing w:after="240"/>
        <w:rPr>
          <w:rFonts w:cstheme="minorHAnsi"/>
          <w:bCs/>
          <w:sz w:val="24"/>
          <w:szCs w:val="24"/>
        </w:rPr>
      </w:pPr>
      <w:r w:rsidRPr="00B17476">
        <w:rPr>
          <w:rFonts w:cstheme="minorHAnsi"/>
          <w:bCs/>
          <w:sz w:val="24"/>
          <w:szCs w:val="24"/>
        </w:rPr>
        <w:t>Question: Oakville Hydro indicates it last rebased in 2014 with a new LRAMVA threshold approved at that time. As part of its LRAMVA request, it has included persisting amounts from 2013 and 2014 into 2021 and 2022, as well as the prospective LRAM-eligible amounts from 2023-2027. Please discuss the appropriateness of including persisting amounts from 2013 and 2014 when these amounts were built into rates with the approval of the rebasing application and new load forecast in 2014. </w:t>
      </w:r>
    </w:p>
    <w:p w14:paraId="402A6B92" w14:textId="77777777" w:rsidR="00264A33" w:rsidRDefault="00264A33" w:rsidP="00264A33">
      <w:pPr>
        <w:pStyle w:val="BodyText"/>
        <w:spacing w:after="160" w:line="252" w:lineRule="auto"/>
        <w:contextualSpacing/>
        <w:jc w:val="both"/>
        <w:rPr>
          <w:rFonts w:asciiTheme="minorHAnsi" w:hAnsiTheme="minorHAnsi" w:cstheme="minorHAnsi"/>
          <w:b/>
          <w:color w:val="BD2025"/>
          <w:sz w:val="24"/>
          <w:szCs w:val="24"/>
        </w:rPr>
      </w:pPr>
      <w:r w:rsidRPr="007E55F3">
        <w:rPr>
          <w:rFonts w:asciiTheme="minorHAnsi" w:hAnsiTheme="minorHAnsi" w:cstheme="minorHAnsi"/>
          <w:b/>
          <w:color w:val="BD2025"/>
          <w:sz w:val="24"/>
          <w:szCs w:val="24"/>
        </w:rPr>
        <w:t xml:space="preserve">Response: </w:t>
      </w:r>
    </w:p>
    <w:p w14:paraId="0728B813" w14:textId="4B0C0EBA" w:rsidR="00264A33" w:rsidRPr="00B17476" w:rsidRDefault="00264A33" w:rsidP="00264A33">
      <w:pPr>
        <w:spacing w:after="240"/>
        <w:rPr>
          <w:rFonts w:cstheme="minorHAnsi"/>
          <w:bCs/>
          <w:sz w:val="24"/>
          <w:szCs w:val="24"/>
        </w:rPr>
      </w:pPr>
      <w:r>
        <w:rPr>
          <w:rFonts w:cstheme="minorHAnsi"/>
          <w:bCs/>
          <w:sz w:val="24"/>
          <w:szCs w:val="24"/>
        </w:rPr>
        <w:t>Oakville Hydro filed its 2014 Cost of Service application on October 1, 2013</w:t>
      </w:r>
      <w:r w:rsidR="00335060">
        <w:rPr>
          <w:rFonts w:cstheme="minorHAnsi"/>
          <w:bCs/>
          <w:sz w:val="24"/>
          <w:szCs w:val="24"/>
        </w:rPr>
        <w:t>, at which time final 2013 and 2014 CDM savings were not available</w:t>
      </w:r>
      <w:r>
        <w:rPr>
          <w:rFonts w:cstheme="minorHAnsi"/>
          <w:bCs/>
          <w:sz w:val="24"/>
          <w:szCs w:val="24"/>
        </w:rPr>
        <w:t xml:space="preserve">. </w:t>
      </w:r>
      <w:r w:rsidR="00335060">
        <w:rPr>
          <w:rFonts w:cstheme="minorHAnsi"/>
          <w:bCs/>
          <w:sz w:val="24"/>
          <w:szCs w:val="24"/>
        </w:rPr>
        <w:t>The load forecast approved in the 2014 rebasing included an estimated CDM impact (threshold), against which any actual CDM savings were to be compared. In this application, the use of persistent amounts from the 2013 and 2014 programs is appropriate. This is consistent with previous year</w:t>
      </w:r>
      <w:r w:rsidR="007A7DF9">
        <w:rPr>
          <w:rFonts w:cstheme="minorHAnsi"/>
          <w:bCs/>
          <w:sz w:val="24"/>
          <w:szCs w:val="24"/>
        </w:rPr>
        <w:t>s</w:t>
      </w:r>
      <w:r w:rsidR="00335060">
        <w:rPr>
          <w:rFonts w:cstheme="minorHAnsi"/>
          <w:bCs/>
          <w:sz w:val="24"/>
          <w:szCs w:val="24"/>
        </w:rPr>
        <w:t xml:space="preserve"> LRAM </w:t>
      </w:r>
      <w:r w:rsidR="007A7DF9">
        <w:rPr>
          <w:rFonts w:cstheme="minorHAnsi"/>
          <w:bCs/>
          <w:sz w:val="24"/>
          <w:szCs w:val="24"/>
        </w:rPr>
        <w:t>approved calculations.</w:t>
      </w:r>
    </w:p>
    <w:p w14:paraId="6A13C59E" w14:textId="36154166" w:rsidR="00720CD1" w:rsidRDefault="007222FC" w:rsidP="001012C2">
      <w:pPr>
        <w:pStyle w:val="paragraph"/>
        <w:spacing w:before="0" w:beforeAutospacing="0" w:after="0" w:afterAutospacing="0"/>
        <w:textAlignment w:val="baseline"/>
        <w:rPr>
          <w:rStyle w:val="normaltextrun"/>
          <w:rFonts w:cstheme="minorHAnsi"/>
          <w:b/>
          <w:bCs/>
          <w:sz w:val="28"/>
          <w:szCs w:val="28"/>
        </w:rPr>
      </w:pPr>
      <w:r w:rsidRPr="00B17476">
        <w:rPr>
          <w:rStyle w:val="eop"/>
          <w:rFonts w:asciiTheme="minorHAnsi" w:hAnsiTheme="minorHAnsi" w:cstheme="minorHAnsi"/>
        </w:rPr>
        <w:t> </w:t>
      </w:r>
      <w:r w:rsidR="00720CD1">
        <w:rPr>
          <w:rStyle w:val="normaltextrun"/>
          <w:rFonts w:asciiTheme="minorHAnsi" w:hAnsiTheme="minorHAnsi" w:cstheme="minorHAnsi"/>
          <w:b/>
          <w:bCs/>
          <w:sz w:val="28"/>
          <w:szCs w:val="28"/>
          <w:lang w:val="en-CA"/>
        </w:rPr>
        <w:br w:type="page"/>
      </w:r>
    </w:p>
    <w:p w14:paraId="3A691F91" w14:textId="0278A9B9" w:rsidR="007222FC" w:rsidRPr="00B17476" w:rsidRDefault="007222FC" w:rsidP="007222FC">
      <w:pPr>
        <w:pStyle w:val="paragraph"/>
        <w:spacing w:before="0" w:beforeAutospacing="0" w:after="0" w:afterAutospacing="0"/>
        <w:textAlignment w:val="baseline"/>
        <w:rPr>
          <w:rStyle w:val="eop"/>
          <w:rFonts w:asciiTheme="minorHAnsi" w:hAnsiTheme="minorHAnsi" w:cstheme="minorHAnsi"/>
          <w:sz w:val="28"/>
          <w:szCs w:val="28"/>
        </w:rPr>
      </w:pPr>
      <w:r w:rsidRPr="00B17476">
        <w:rPr>
          <w:rStyle w:val="normaltextrun"/>
          <w:rFonts w:asciiTheme="minorHAnsi" w:hAnsiTheme="minorHAnsi" w:cstheme="minorHAnsi"/>
          <w:b/>
          <w:bCs/>
          <w:sz w:val="28"/>
          <w:szCs w:val="28"/>
          <w:lang w:val="en-CA"/>
        </w:rPr>
        <w:lastRenderedPageBreak/>
        <w:t>Staff Question -10</w:t>
      </w:r>
      <w:r w:rsidRPr="00B17476">
        <w:rPr>
          <w:rStyle w:val="eop"/>
          <w:rFonts w:asciiTheme="minorHAnsi" w:hAnsiTheme="minorHAnsi" w:cstheme="minorHAnsi"/>
          <w:sz w:val="28"/>
          <w:szCs w:val="28"/>
        </w:rPr>
        <w:t> </w:t>
      </w:r>
    </w:p>
    <w:p w14:paraId="001F7896" w14:textId="77777777" w:rsidR="00A964B1" w:rsidRPr="00B17476" w:rsidRDefault="00A964B1" w:rsidP="007222FC">
      <w:pPr>
        <w:pStyle w:val="paragraph"/>
        <w:spacing w:before="0" w:beforeAutospacing="0" w:after="0" w:afterAutospacing="0"/>
        <w:textAlignment w:val="baseline"/>
        <w:rPr>
          <w:rFonts w:asciiTheme="minorHAnsi" w:hAnsiTheme="minorHAnsi" w:cstheme="minorHAnsi"/>
        </w:rPr>
      </w:pPr>
    </w:p>
    <w:p w14:paraId="6DECCE39" w14:textId="77777777" w:rsidR="007222FC" w:rsidRPr="00B17476" w:rsidRDefault="007222FC" w:rsidP="007222FC">
      <w:pPr>
        <w:pStyle w:val="paragraph"/>
        <w:spacing w:before="0" w:beforeAutospacing="0" w:after="0" w:afterAutospacing="0"/>
        <w:textAlignment w:val="baseline"/>
        <w:rPr>
          <w:rFonts w:asciiTheme="minorHAnsi" w:hAnsiTheme="minorHAnsi" w:cstheme="minorHAnsi"/>
        </w:rPr>
      </w:pPr>
      <w:r w:rsidRPr="00B17476">
        <w:rPr>
          <w:rStyle w:val="normaltextrun"/>
          <w:rFonts w:asciiTheme="minorHAnsi" w:hAnsiTheme="minorHAnsi" w:cstheme="minorHAnsi"/>
          <w:b/>
          <w:bCs/>
          <w:lang w:val="en-CA"/>
        </w:rPr>
        <w:t>Ref:</w:t>
      </w:r>
      <w:r w:rsidRPr="00B17476">
        <w:rPr>
          <w:rStyle w:val="eop"/>
          <w:rFonts w:asciiTheme="minorHAnsi" w:hAnsiTheme="minorHAnsi" w:cstheme="minorHAnsi"/>
        </w:rPr>
        <w:t> </w:t>
      </w:r>
    </w:p>
    <w:p w14:paraId="30B044AA" w14:textId="77777777" w:rsidR="007222FC" w:rsidRPr="00B17476" w:rsidRDefault="007222FC" w:rsidP="007222FC">
      <w:pPr>
        <w:pStyle w:val="paragraph"/>
        <w:numPr>
          <w:ilvl w:val="0"/>
          <w:numId w:val="13"/>
        </w:numPr>
        <w:spacing w:before="0" w:beforeAutospacing="0" w:after="0" w:afterAutospacing="0"/>
        <w:textAlignment w:val="baseline"/>
        <w:rPr>
          <w:rFonts w:asciiTheme="minorHAnsi" w:hAnsiTheme="minorHAnsi" w:cstheme="minorHAnsi"/>
        </w:rPr>
      </w:pPr>
      <w:r w:rsidRPr="00B17476">
        <w:rPr>
          <w:rStyle w:val="normaltextrun"/>
          <w:rFonts w:asciiTheme="minorHAnsi" w:hAnsiTheme="minorHAnsi" w:cstheme="minorHAnsi"/>
          <w:lang w:val="en-CA"/>
        </w:rPr>
        <w:t>LRAMVA Workform – Tab 5</w:t>
      </w:r>
      <w:r w:rsidRPr="00B17476">
        <w:rPr>
          <w:rStyle w:val="eop"/>
          <w:rFonts w:asciiTheme="minorHAnsi" w:hAnsiTheme="minorHAnsi" w:cstheme="minorHAnsi"/>
        </w:rPr>
        <w:t> </w:t>
      </w:r>
    </w:p>
    <w:p w14:paraId="7CEBB1E5" w14:textId="77777777" w:rsidR="007222FC" w:rsidRPr="00B17476" w:rsidRDefault="007222FC" w:rsidP="007222FC">
      <w:pPr>
        <w:pStyle w:val="paragraph"/>
        <w:spacing w:before="0" w:beforeAutospacing="0" w:after="0" w:afterAutospacing="0"/>
        <w:textAlignment w:val="baseline"/>
        <w:rPr>
          <w:rStyle w:val="normaltextrun"/>
          <w:rFonts w:asciiTheme="minorHAnsi" w:hAnsiTheme="minorHAnsi" w:cstheme="minorHAnsi"/>
          <w:lang w:val="en-CA"/>
        </w:rPr>
      </w:pPr>
    </w:p>
    <w:p w14:paraId="7546ED38" w14:textId="25605D65" w:rsidR="007222FC" w:rsidRPr="00B17476" w:rsidRDefault="007222FC" w:rsidP="007222FC">
      <w:pPr>
        <w:pStyle w:val="paragraph"/>
        <w:spacing w:before="0" w:beforeAutospacing="0" w:after="0" w:afterAutospacing="0"/>
        <w:textAlignment w:val="baseline"/>
        <w:rPr>
          <w:rFonts w:asciiTheme="minorHAnsi" w:hAnsiTheme="minorHAnsi" w:cstheme="minorHAnsi"/>
        </w:rPr>
      </w:pPr>
      <w:r w:rsidRPr="00B17476">
        <w:rPr>
          <w:rStyle w:val="normaltextrun"/>
          <w:rFonts w:asciiTheme="minorHAnsi" w:hAnsiTheme="minorHAnsi" w:cstheme="minorHAnsi"/>
          <w:lang w:val="en-CA"/>
        </w:rPr>
        <w:t>Question: Please discuss, with clear cell references to the supporting documentation files submitted with the application, where the net energy and net demand savings were derived from to populate the following tables:</w:t>
      </w:r>
      <w:r w:rsidRPr="00B17476">
        <w:rPr>
          <w:rStyle w:val="eop"/>
          <w:rFonts w:asciiTheme="minorHAnsi" w:hAnsiTheme="minorHAnsi" w:cstheme="minorHAnsi"/>
        </w:rPr>
        <w:t> </w:t>
      </w:r>
    </w:p>
    <w:p w14:paraId="3D0777C7" w14:textId="77777777" w:rsidR="007222FC" w:rsidRPr="00B17476" w:rsidRDefault="007222FC" w:rsidP="007222FC">
      <w:pPr>
        <w:pStyle w:val="paragraph"/>
        <w:numPr>
          <w:ilvl w:val="0"/>
          <w:numId w:val="9"/>
        </w:numPr>
        <w:spacing w:before="0" w:beforeAutospacing="0" w:after="0" w:afterAutospacing="0"/>
        <w:ind w:left="1080" w:firstLine="0"/>
        <w:textAlignment w:val="baseline"/>
        <w:rPr>
          <w:rFonts w:asciiTheme="minorHAnsi" w:hAnsiTheme="minorHAnsi" w:cstheme="minorHAnsi"/>
        </w:rPr>
      </w:pPr>
      <w:r w:rsidRPr="00B17476">
        <w:rPr>
          <w:rStyle w:val="normaltextrun"/>
          <w:rFonts w:asciiTheme="minorHAnsi" w:hAnsiTheme="minorHAnsi" w:cstheme="minorHAnsi"/>
          <w:lang w:val="en-CA"/>
        </w:rPr>
        <w:t>Table 5-d – 2018 program savings</w:t>
      </w:r>
      <w:r w:rsidRPr="00B17476">
        <w:rPr>
          <w:rStyle w:val="eop"/>
          <w:rFonts w:asciiTheme="minorHAnsi" w:hAnsiTheme="minorHAnsi" w:cstheme="minorHAnsi"/>
        </w:rPr>
        <w:t> </w:t>
      </w:r>
    </w:p>
    <w:p w14:paraId="628ADFA3" w14:textId="77777777" w:rsidR="007222FC" w:rsidRPr="00B17476" w:rsidRDefault="007222FC" w:rsidP="007222FC">
      <w:pPr>
        <w:pStyle w:val="paragraph"/>
        <w:numPr>
          <w:ilvl w:val="0"/>
          <w:numId w:val="10"/>
        </w:numPr>
        <w:spacing w:before="0" w:beforeAutospacing="0" w:after="0" w:afterAutospacing="0"/>
        <w:ind w:left="1080" w:firstLine="0"/>
        <w:textAlignment w:val="baseline"/>
        <w:rPr>
          <w:rFonts w:asciiTheme="minorHAnsi" w:hAnsiTheme="minorHAnsi" w:cstheme="minorHAnsi"/>
        </w:rPr>
      </w:pPr>
      <w:r w:rsidRPr="00B17476">
        <w:rPr>
          <w:rStyle w:val="normaltextrun"/>
          <w:rFonts w:asciiTheme="minorHAnsi" w:hAnsiTheme="minorHAnsi" w:cstheme="minorHAnsi"/>
          <w:lang w:val="en-CA"/>
        </w:rPr>
        <w:t>Table 5-e – 2019 program savings</w:t>
      </w:r>
      <w:r w:rsidRPr="00B17476">
        <w:rPr>
          <w:rStyle w:val="eop"/>
          <w:rFonts w:asciiTheme="minorHAnsi" w:hAnsiTheme="minorHAnsi" w:cstheme="minorHAnsi"/>
        </w:rPr>
        <w:t> </w:t>
      </w:r>
    </w:p>
    <w:p w14:paraId="04B261F6" w14:textId="77777777" w:rsidR="007222FC" w:rsidRPr="00B17476" w:rsidRDefault="007222FC" w:rsidP="007222FC">
      <w:pPr>
        <w:pStyle w:val="paragraph"/>
        <w:numPr>
          <w:ilvl w:val="0"/>
          <w:numId w:val="11"/>
        </w:numPr>
        <w:spacing w:before="0" w:beforeAutospacing="0" w:after="0" w:afterAutospacing="0"/>
        <w:ind w:left="1080" w:firstLine="0"/>
        <w:textAlignment w:val="baseline"/>
        <w:rPr>
          <w:rFonts w:asciiTheme="minorHAnsi" w:hAnsiTheme="minorHAnsi" w:cstheme="minorHAnsi"/>
        </w:rPr>
      </w:pPr>
      <w:r w:rsidRPr="00B17476">
        <w:rPr>
          <w:rStyle w:val="normaltextrun"/>
          <w:rFonts w:asciiTheme="minorHAnsi" w:hAnsiTheme="minorHAnsi" w:cstheme="minorHAnsi"/>
          <w:lang w:val="en-CA"/>
        </w:rPr>
        <w:t>Table 5-f – 2020 program savings</w:t>
      </w:r>
      <w:r w:rsidRPr="00B17476">
        <w:rPr>
          <w:rStyle w:val="eop"/>
          <w:rFonts w:asciiTheme="minorHAnsi" w:hAnsiTheme="minorHAnsi" w:cstheme="minorHAnsi"/>
        </w:rPr>
        <w:t> </w:t>
      </w:r>
    </w:p>
    <w:p w14:paraId="2E88ECDA" w14:textId="77777777" w:rsidR="00147E2E" w:rsidRDefault="007F66A4" w:rsidP="007F66A4">
      <w:pPr>
        <w:pStyle w:val="BodyText"/>
        <w:spacing w:after="160" w:line="252" w:lineRule="auto"/>
        <w:contextualSpacing/>
        <w:jc w:val="both"/>
        <w:rPr>
          <w:rFonts w:asciiTheme="minorHAnsi" w:hAnsiTheme="minorHAnsi" w:cstheme="minorHAnsi"/>
          <w:b/>
          <w:color w:val="BD2025"/>
          <w:sz w:val="24"/>
          <w:szCs w:val="24"/>
        </w:rPr>
      </w:pPr>
      <w:r w:rsidRPr="007E55F3">
        <w:rPr>
          <w:rFonts w:asciiTheme="minorHAnsi" w:hAnsiTheme="minorHAnsi" w:cstheme="minorHAnsi"/>
          <w:b/>
          <w:color w:val="BD2025"/>
          <w:sz w:val="24"/>
          <w:szCs w:val="24"/>
        </w:rPr>
        <w:t>Response:</w:t>
      </w:r>
    </w:p>
    <w:p w14:paraId="4E224615" w14:textId="77777777" w:rsidR="00280962" w:rsidRDefault="00280962" w:rsidP="00280962">
      <w:pPr>
        <w:pStyle w:val="BodyText"/>
        <w:spacing w:after="160" w:line="252" w:lineRule="auto"/>
        <w:contextualSpacing/>
        <w:jc w:val="both"/>
        <w:rPr>
          <w:rStyle w:val="normaltextrun"/>
          <w:rFonts w:asciiTheme="minorHAnsi" w:hAnsiTheme="minorHAnsi" w:cstheme="minorHAnsi"/>
          <w:sz w:val="24"/>
          <w:szCs w:val="24"/>
          <w:lang w:val="en-CA"/>
        </w:rPr>
      </w:pPr>
      <w:r w:rsidRPr="00B95120">
        <w:rPr>
          <w:rFonts w:asciiTheme="minorHAnsi" w:hAnsiTheme="minorHAnsi" w:cstheme="minorHAnsi"/>
          <w:bCs/>
          <w:sz w:val="24"/>
          <w:szCs w:val="24"/>
        </w:rPr>
        <w:t xml:space="preserve">All </w:t>
      </w:r>
      <w:r w:rsidRPr="00B95120">
        <w:rPr>
          <w:rStyle w:val="normaltextrun"/>
          <w:rFonts w:asciiTheme="minorHAnsi" w:hAnsiTheme="minorHAnsi" w:cstheme="minorHAnsi"/>
          <w:sz w:val="24"/>
          <w:szCs w:val="24"/>
          <w:lang w:val="en-CA"/>
        </w:rPr>
        <w:t xml:space="preserve">the net energy and net demand savings in these tables come from tab “7. Persistence Report”. The data </w:t>
      </w:r>
      <w:r>
        <w:rPr>
          <w:rStyle w:val="normaltextrun"/>
          <w:rFonts w:asciiTheme="minorHAnsi" w:hAnsiTheme="minorHAnsi" w:cstheme="minorHAnsi"/>
          <w:sz w:val="24"/>
          <w:szCs w:val="24"/>
          <w:lang w:val="en-CA"/>
        </w:rPr>
        <w:t>i</w:t>
      </w:r>
      <w:r w:rsidRPr="00B95120">
        <w:rPr>
          <w:rStyle w:val="normaltextrun"/>
          <w:rFonts w:asciiTheme="minorHAnsi" w:hAnsiTheme="minorHAnsi" w:cstheme="minorHAnsi"/>
          <w:sz w:val="24"/>
          <w:szCs w:val="24"/>
          <w:lang w:val="en-CA"/>
        </w:rPr>
        <w:t xml:space="preserve">n </w:t>
      </w:r>
      <w:r>
        <w:rPr>
          <w:rStyle w:val="normaltextrun"/>
          <w:rFonts w:asciiTheme="minorHAnsi" w:hAnsiTheme="minorHAnsi" w:cstheme="minorHAnsi"/>
          <w:sz w:val="24"/>
          <w:szCs w:val="24"/>
          <w:lang w:val="en-CA"/>
        </w:rPr>
        <w:t xml:space="preserve">this </w:t>
      </w:r>
      <w:r w:rsidRPr="00B95120">
        <w:rPr>
          <w:rStyle w:val="normaltextrun"/>
          <w:rFonts w:asciiTheme="minorHAnsi" w:hAnsiTheme="minorHAnsi" w:cstheme="minorHAnsi"/>
          <w:sz w:val="24"/>
          <w:szCs w:val="24"/>
          <w:lang w:val="en-CA"/>
        </w:rPr>
        <w:t>tab is identical to the data provided in the approved 2022 Rate Application (EB‐2021‐0045)</w:t>
      </w:r>
      <w:r>
        <w:rPr>
          <w:rStyle w:val="normaltextrun"/>
          <w:rFonts w:asciiTheme="minorHAnsi" w:hAnsiTheme="minorHAnsi" w:cstheme="minorHAnsi"/>
          <w:sz w:val="24"/>
          <w:szCs w:val="24"/>
          <w:lang w:val="en-CA"/>
        </w:rPr>
        <w:t xml:space="preserve">, hence all of the detailed supporting data was not filed with the 2023 Rate Application.  </w:t>
      </w:r>
    </w:p>
    <w:p w14:paraId="3150DB67" w14:textId="77777777" w:rsidR="00280962" w:rsidRPr="00651D35" w:rsidRDefault="00280962" w:rsidP="00280962">
      <w:pPr>
        <w:pStyle w:val="ListParagraph"/>
        <w:numPr>
          <w:ilvl w:val="0"/>
          <w:numId w:val="14"/>
        </w:numPr>
        <w:spacing w:after="0"/>
        <w:ind w:left="360"/>
        <w:rPr>
          <w:rFonts w:cstheme="minorHAnsi"/>
          <w:bCs/>
          <w:sz w:val="24"/>
          <w:szCs w:val="24"/>
          <w:u w:val="single"/>
        </w:rPr>
      </w:pPr>
      <w:r w:rsidRPr="00651D35">
        <w:rPr>
          <w:rFonts w:cstheme="minorHAnsi"/>
          <w:bCs/>
          <w:sz w:val="24"/>
          <w:szCs w:val="24"/>
          <w:u w:val="single"/>
        </w:rPr>
        <w:t xml:space="preserve">Table 5-d – 2018 program savings </w:t>
      </w:r>
    </w:p>
    <w:p w14:paraId="05FDD6EA" w14:textId="77777777" w:rsidR="00280962" w:rsidRDefault="00280962" w:rsidP="00280962">
      <w:pPr>
        <w:spacing w:after="0"/>
        <w:rPr>
          <w:rFonts w:cstheme="minorHAnsi"/>
          <w:bCs/>
          <w:sz w:val="24"/>
          <w:szCs w:val="24"/>
        </w:rPr>
      </w:pPr>
      <w:r>
        <w:rPr>
          <w:rFonts w:cstheme="minorHAnsi"/>
          <w:bCs/>
          <w:sz w:val="24"/>
          <w:szCs w:val="24"/>
        </w:rPr>
        <w:t>For</w:t>
      </w:r>
      <w:r w:rsidRPr="00D85491">
        <w:rPr>
          <w:rFonts w:cstheme="minorHAnsi"/>
          <w:bCs/>
          <w:sz w:val="24"/>
          <w:szCs w:val="24"/>
        </w:rPr>
        <w:t xml:space="preserve"> 201</w:t>
      </w:r>
      <w:r>
        <w:rPr>
          <w:rFonts w:cstheme="minorHAnsi"/>
          <w:bCs/>
          <w:sz w:val="24"/>
          <w:szCs w:val="24"/>
        </w:rPr>
        <w:t>8</w:t>
      </w:r>
      <w:r w:rsidRPr="00D85491">
        <w:rPr>
          <w:rFonts w:cstheme="minorHAnsi"/>
          <w:bCs/>
          <w:sz w:val="24"/>
          <w:szCs w:val="24"/>
        </w:rPr>
        <w:t xml:space="preserve"> data in tab “7. Persistence Report”</w:t>
      </w:r>
    </w:p>
    <w:p w14:paraId="762A6FF9" w14:textId="77777777" w:rsidR="00280962" w:rsidRDefault="00280962" w:rsidP="00280962">
      <w:pPr>
        <w:pStyle w:val="ListParagraph"/>
        <w:numPr>
          <w:ilvl w:val="0"/>
          <w:numId w:val="15"/>
        </w:numPr>
        <w:rPr>
          <w:rFonts w:cstheme="minorHAnsi"/>
          <w:bCs/>
          <w:sz w:val="24"/>
          <w:szCs w:val="24"/>
        </w:rPr>
      </w:pPr>
      <w:r w:rsidRPr="00046B3C">
        <w:rPr>
          <w:rFonts w:cstheme="minorHAnsi"/>
          <w:bCs/>
          <w:sz w:val="24"/>
          <w:szCs w:val="24"/>
        </w:rPr>
        <w:t>rows 205-209, 215-216 and 221-222 are supported by the attached file “Participation and Cost Report - Oakville Hydro Electricity Distribution Inc. - 2019 03.xlsx”</w:t>
      </w:r>
      <w:r>
        <w:rPr>
          <w:rFonts w:cstheme="minorHAnsi"/>
          <w:bCs/>
          <w:sz w:val="24"/>
          <w:szCs w:val="24"/>
        </w:rPr>
        <w:t xml:space="preserve"> on tab “LDC Progress”.</w:t>
      </w:r>
      <w:r w:rsidRPr="00046B3C">
        <w:rPr>
          <w:rFonts w:cstheme="minorHAnsi"/>
          <w:bCs/>
          <w:sz w:val="24"/>
          <w:szCs w:val="24"/>
        </w:rPr>
        <w:t xml:space="preserve"> </w:t>
      </w:r>
    </w:p>
    <w:p w14:paraId="5516A0A9" w14:textId="13912D13" w:rsidR="00280962" w:rsidRPr="00046B3C" w:rsidRDefault="00280962" w:rsidP="00280962">
      <w:pPr>
        <w:pStyle w:val="ListParagraph"/>
        <w:numPr>
          <w:ilvl w:val="0"/>
          <w:numId w:val="15"/>
        </w:numPr>
        <w:rPr>
          <w:rFonts w:cstheme="minorHAnsi"/>
          <w:bCs/>
          <w:sz w:val="24"/>
          <w:szCs w:val="24"/>
        </w:rPr>
      </w:pPr>
      <w:r w:rsidRPr="00046B3C">
        <w:rPr>
          <w:rFonts w:cstheme="minorHAnsi"/>
          <w:bCs/>
          <w:sz w:val="24"/>
          <w:szCs w:val="24"/>
        </w:rPr>
        <w:t>rows 212 and 219 are supported by the attached file “Oakville projects for 2018.xlsx”</w:t>
      </w:r>
      <w:r w:rsidR="00720CD1">
        <w:rPr>
          <w:rFonts w:cstheme="minorHAnsi"/>
          <w:bCs/>
          <w:sz w:val="24"/>
          <w:szCs w:val="24"/>
        </w:rPr>
        <w:t xml:space="preserve"> </w:t>
      </w:r>
      <w:r>
        <w:rPr>
          <w:rFonts w:cstheme="minorHAnsi"/>
          <w:bCs/>
          <w:sz w:val="24"/>
          <w:szCs w:val="24"/>
        </w:rPr>
        <w:t>on tabs “Retrofit” and “Measures” respectively.</w:t>
      </w:r>
    </w:p>
    <w:p w14:paraId="601E6150" w14:textId="350B6438" w:rsidR="00280962" w:rsidRDefault="00280962" w:rsidP="00280962">
      <w:pPr>
        <w:pStyle w:val="ListParagraph"/>
        <w:numPr>
          <w:ilvl w:val="0"/>
          <w:numId w:val="15"/>
        </w:numPr>
        <w:rPr>
          <w:rFonts w:cstheme="minorHAnsi"/>
          <w:bCs/>
          <w:sz w:val="24"/>
          <w:szCs w:val="24"/>
        </w:rPr>
      </w:pPr>
      <w:r w:rsidRPr="00046B3C">
        <w:rPr>
          <w:rFonts w:cstheme="minorHAnsi"/>
          <w:bCs/>
          <w:sz w:val="24"/>
          <w:szCs w:val="24"/>
        </w:rPr>
        <w:t>These numbers were originally approved in the 2020 Rate Application (</w:t>
      </w:r>
      <w:r w:rsidRPr="00613FE8">
        <w:rPr>
          <w:rFonts w:cstheme="minorHAnsi"/>
          <w:bCs/>
          <w:sz w:val="24"/>
          <w:szCs w:val="24"/>
        </w:rPr>
        <w:t>EB-2019-0059</w:t>
      </w:r>
      <w:r w:rsidRPr="00046B3C">
        <w:rPr>
          <w:rFonts w:cstheme="minorHAnsi"/>
          <w:bCs/>
          <w:sz w:val="24"/>
          <w:szCs w:val="24"/>
        </w:rPr>
        <w:t xml:space="preserve">). </w:t>
      </w:r>
    </w:p>
    <w:p w14:paraId="11107A22" w14:textId="77777777" w:rsidR="008B30CB" w:rsidRDefault="008B30CB" w:rsidP="008B30CB">
      <w:pPr>
        <w:pStyle w:val="ListParagraph"/>
        <w:rPr>
          <w:rFonts w:cstheme="minorHAnsi"/>
          <w:bCs/>
          <w:sz w:val="24"/>
          <w:szCs w:val="24"/>
        </w:rPr>
      </w:pPr>
    </w:p>
    <w:p w14:paraId="4F73941D" w14:textId="77777777" w:rsidR="00280962" w:rsidRPr="00651D35" w:rsidRDefault="00280962" w:rsidP="00280962">
      <w:pPr>
        <w:pStyle w:val="ListParagraph"/>
        <w:numPr>
          <w:ilvl w:val="0"/>
          <w:numId w:val="14"/>
        </w:numPr>
        <w:spacing w:after="0"/>
        <w:ind w:left="360"/>
        <w:rPr>
          <w:rFonts w:cstheme="minorHAnsi"/>
          <w:bCs/>
          <w:sz w:val="24"/>
          <w:szCs w:val="24"/>
          <w:u w:val="single"/>
        </w:rPr>
      </w:pPr>
      <w:r w:rsidRPr="00651D35">
        <w:rPr>
          <w:rFonts w:cstheme="minorHAnsi"/>
          <w:bCs/>
          <w:sz w:val="24"/>
          <w:szCs w:val="24"/>
          <w:u w:val="single"/>
        </w:rPr>
        <w:t>Table 5-e.  2019 Lost Revenues Work Form</w:t>
      </w:r>
    </w:p>
    <w:p w14:paraId="2005F793" w14:textId="77777777" w:rsidR="00280962" w:rsidRDefault="00280962" w:rsidP="00280962">
      <w:pPr>
        <w:spacing w:after="0"/>
        <w:rPr>
          <w:rFonts w:cstheme="minorHAnsi"/>
          <w:bCs/>
          <w:sz w:val="24"/>
          <w:szCs w:val="24"/>
        </w:rPr>
      </w:pPr>
      <w:r>
        <w:rPr>
          <w:rFonts w:cstheme="minorHAnsi"/>
          <w:bCs/>
          <w:sz w:val="24"/>
          <w:szCs w:val="24"/>
        </w:rPr>
        <w:t xml:space="preserve">The 2019 data in </w:t>
      </w:r>
      <w:r w:rsidRPr="00402EAA">
        <w:rPr>
          <w:rFonts w:cstheme="minorHAnsi"/>
          <w:bCs/>
          <w:sz w:val="24"/>
          <w:szCs w:val="24"/>
        </w:rPr>
        <w:t>tab “7. Persistence Report”</w:t>
      </w:r>
      <w:r>
        <w:rPr>
          <w:rFonts w:cstheme="minorHAnsi"/>
          <w:bCs/>
          <w:sz w:val="24"/>
          <w:szCs w:val="24"/>
        </w:rPr>
        <w:t>, rows 225-234 are supported by the attached file “</w:t>
      </w:r>
      <w:r w:rsidRPr="00402EAA">
        <w:rPr>
          <w:rFonts w:cstheme="minorHAnsi"/>
          <w:bCs/>
          <w:sz w:val="24"/>
          <w:szCs w:val="24"/>
        </w:rPr>
        <w:t>Oakville-Settlements-2019_20200817</w:t>
      </w:r>
      <w:r>
        <w:rPr>
          <w:rFonts w:cstheme="minorHAnsi"/>
          <w:bCs/>
          <w:sz w:val="24"/>
          <w:szCs w:val="24"/>
        </w:rPr>
        <w:t>.xlsx”, originally filed with the 2021 Rate Application (</w:t>
      </w:r>
      <w:r w:rsidRPr="003710C8">
        <w:rPr>
          <w:rFonts w:cstheme="minorHAnsi"/>
          <w:bCs/>
          <w:sz w:val="24"/>
          <w:szCs w:val="24"/>
        </w:rPr>
        <w:t>EB-2020-0045</w:t>
      </w:r>
      <w:r>
        <w:rPr>
          <w:rFonts w:cstheme="minorHAnsi"/>
          <w:bCs/>
          <w:sz w:val="24"/>
          <w:szCs w:val="24"/>
        </w:rPr>
        <w:t>). I added 2 tabs – “</w:t>
      </w:r>
      <w:r w:rsidRPr="002017E2">
        <w:rPr>
          <w:rFonts w:cstheme="minorHAnsi"/>
          <w:bCs/>
          <w:sz w:val="24"/>
          <w:szCs w:val="24"/>
        </w:rPr>
        <w:t>2019 CFF Summary</w:t>
      </w:r>
      <w:r>
        <w:rPr>
          <w:rFonts w:cstheme="minorHAnsi"/>
          <w:bCs/>
          <w:sz w:val="24"/>
          <w:szCs w:val="24"/>
        </w:rPr>
        <w:t>” and “</w:t>
      </w:r>
      <w:r w:rsidRPr="002017E2">
        <w:rPr>
          <w:rFonts w:cstheme="minorHAnsi"/>
          <w:bCs/>
          <w:sz w:val="24"/>
          <w:szCs w:val="24"/>
        </w:rPr>
        <w:t>2019 CFF Project Details</w:t>
      </w:r>
      <w:r>
        <w:rPr>
          <w:rFonts w:cstheme="minorHAnsi"/>
          <w:bCs/>
          <w:sz w:val="24"/>
          <w:szCs w:val="24"/>
        </w:rPr>
        <w:t>” which were in a separate file called “</w:t>
      </w:r>
      <w:r w:rsidRPr="002017E2">
        <w:rPr>
          <w:rFonts w:cstheme="minorHAnsi"/>
          <w:bCs/>
          <w:sz w:val="24"/>
          <w:szCs w:val="24"/>
        </w:rPr>
        <w:t>OH-Retrofit 2019</w:t>
      </w:r>
      <w:r>
        <w:rPr>
          <w:rFonts w:cstheme="minorHAnsi"/>
          <w:bCs/>
          <w:sz w:val="24"/>
          <w:szCs w:val="24"/>
        </w:rPr>
        <w:t>.xlsx”.</w:t>
      </w:r>
    </w:p>
    <w:p w14:paraId="776E7C7F" w14:textId="77777777" w:rsidR="00280962" w:rsidRDefault="00280962" w:rsidP="00280962">
      <w:pPr>
        <w:spacing w:after="0"/>
        <w:rPr>
          <w:rFonts w:cstheme="minorHAnsi"/>
          <w:bCs/>
          <w:sz w:val="24"/>
          <w:szCs w:val="24"/>
        </w:rPr>
      </w:pPr>
      <w:r>
        <w:rPr>
          <w:rFonts w:cstheme="minorHAnsi"/>
          <w:bCs/>
          <w:sz w:val="24"/>
          <w:szCs w:val="24"/>
        </w:rPr>
        <w:t>The tab “</w:t>
      </w:r>
      <w:r w:rsidRPr="002017E2">
        <w:rPr>
          <w:rFonts w:cstheme="minorHAnsi"/>
          <w:bCs/>
          <w:sz w:val="24"/>
          <w:szCs w:val="24"/>
        </w:rPr>
        <w:t>2019 Summary</w:t>
      </w:r>
      <w:r>
        <w:rPr>
          <w:rFonts w:cstheme="minorHAnsi"/>
          <w:bCs/>
          <w:sz w:val="24"/>
          <w:szCs w:val="24"/>
        </w:rPr>
        <w:t xml:space="preserve">” areas cells I19-I30 and S19-S30 feed the </w:t>
      </w:r>
      <w:r w:rsidRPr="002017E2">
        <w:rPr>
          <w:rFonts w:cstheme="minorHAnsi"/>
          <w:bCs/>
          <w:sz w:val="24"/>
          <w:szCs w:val="24"/>
        </w:rPr>
        <w:t>tab “7. Persistence Report”</w:t>
      </w:r>
      <w:r>
        <w:rPr>
          <w:rFonts w:cstheme="minorHAnsi"/>
          <w:bCs/>
          <w:sz w:val="24"/>
          <w:szCs w:val="24"/>
        </w:rPr>
        <w:t xml:space="preserve"> rows 225 to 234.</w:t>
      </w:r>
    </w:p>
    <w:p w14:paraId="64AB0EB8" w14:textId="77777777" w:rsidR="00280962" w:rsidRDefault="00280962" w:rsidP="00280962">
      <w:pPr>
        <w:spacing w:after="0"/>
        <w:rPr>
          <w:rFonts w:cstheme="minorHAnsi"/>
          <w:bCs/>
          <w:sz w:val="24"/>
          <w:szCs w:val="24"/>
        </w:rPr>
      </w:pPr>
    </w:p>
    <w:p w14:paraId="116088FB" w14:textId="77777777" w:rsidR="00280962" w:rsidRDefault="00280962" w:rsidP="00280962">
      <w:pPr>
        <w:pStyle w:val="ListParagraph"/>
        <w:numPr>
          <w:ilvl w:val="0"/>
          <w:numId w:val="14"/>
        </w:numPr>
        <w:spacing w:after="0"/>
        <w:ind w:left="360"/>
        <w:rPr>
          <w:rFonts w:cstheme="minorHAnsi"/>
          <w:bCs/>
          <w:sz w:val="24"/>
          <w:szCs w:val="24"/>
          <w:u w:val="single"/>
        </w:rPr>
      </w:pPr>
      <w:r w:rsidRPr="00651D35">
        <w:rPr>
          <w:rFonts w:cstheme="minorHAnsi"/>
          <w:bCs/>
          <w:sz w:val="24"/>
          <w:szCs w:val="24"/>
          <w:u w:val="single"/>
        </w:rPr>
        <w:t>Table 5-f – 2020 program savings</w:t>
      </w:r>
    </w:p>
    <w:p w14:paraId="0CAE4AED" w14:textId="3AD9CC5D" w:rsidR="002F6454" w:rsidRDefault="00280962" w:rsidP="001012C2">
      <w:pPr>
        <w:spacing w:after="0"/>
        <w:rPr>
          <w:rFonts w:cstheme="minorHAnsi"/>
          <w:bCs/>
          <w:sz w:val="24"/>
          <w:szCs w:val="24"/>
        </w:rPr>
      </w:pPr>
      <w:r w:rsidRPr="00613FE8">
        <w:rPr>
          <w:rFonts w:cstheme="minorHAnsi"/>
          <w:bCs/>
          <w:sz w:val="24"/>
          <w:szCs w:val="24"/>
        </w:rPr>
        <w:t>The 2020 data in tab “7. Persistence Report”, row 2</w:t>
      </w:r>
      <w:r>
        <w:rPr>
          <w:rFonts w:cstheme="minorHAnsi"/>
          <w:bCs/>
          <w:sz w:val="24"/>
          <w:szCs w:val="24"/>
        </w:rPr>
        <w:t>3</w:t>
      </w:r>
      <w:r w:rsidRPr="00613FE8">
        <w:rPr>
          <w:rFonts w:cstheme="minorHAnsi"/>
          <w:bCs/>
          <w:sz w:val="24"/>
          <w:szCs w:val="24"/>
        </w:rPr>
        <w:t xml:space="preserve">5 </w:t>
      </w:r>
      <w:r>
        <w:rPr>
          <w:rFonts w:cstheme="minorHAnsi"/>
          <w:bCs/>
          <w:sz w:val="24"/>
          <w:szCs w:val="24"/>
        </w:rPr>
        <w:t>is</w:t>
      </w:r>
      <w:r w:rsidRPr="00613FE8">
        <w:rPr>
          <w:rFonts w:cstheme="minorHAnsi"/>
          <w:bCs/>
          <w:sz w:val="24"/>
          <w:szCs w:val="24"/>
        </w:rPr>
        <w:t xml:space="preserve"> supported by the attached file “</w:t>
      </w:r>
      <w:r w:rsidRPr="00A3173E">
        <w:rPr>
          <w:rFonts w:cstheme="minorHAnsi"/>
          <w:bCs/>
          <w:sz w:val="24"/>
          <w:szCs w:val="24"/>
        </w:rPr>
        <w:t>Oakville_2020_CFF-Projects_20210818</w:t>
      </w:r>
      <w:r w:rsidRPr="00613FE8">
        <w:rPr>
          <w:rFonts w:cstheme="minorHAnsi"/>
          <w:bCs/>
          <w:sz w:val="24"/>
          <w:szCs w:val="24"/>
        </w:rPr>
        <w:t>.xlsx”</w:t>
      </w:r>
      <w:r>
        <w:rPr>
          <w:rFonts w:cstheme="minorHAnsi"/>
          <w:bCs/>
          <w:sz w:val="24"/>
          <w:szCs w:val="24"/>
        </w:rPr>
        <w:t>. This data was approved in the 2022</w:t>
      </w:r>
      <w:r w:rsidRPr="00613FE8">
        <w:rPr>
          <w:rFonts w:cstheme="minorHAnsi"/>
          <w:bCs/>
          <w:sz w:val="24"/>
          <w:szCs w:val="24"/>
        </w:rPr>
        <w:t xml:space="preserve"> Rate Application (EB-202</w:t>
      </w:r>
      <w:r>
        <w:rPr>
          <w:rFonts w:cstheme="minorHAnsi"/>
          <w:bCs/>
          <w:sz w:val="24"/>
          <w:szCs w:val="24"/>
        </w:rPr>
        <w:t>1</w:t>
      </w:r>
      <w:r w:rsidRPr="00613FE8">
        <w:rPr>
          <w:rFonts w:cstheme="minorHAnsi"/>
          <w:bCs/>
          <w:sz w:val="24"/>
          <w:szCs w:val="24"/>
        </w:rPr>
        <w:t>-004</w:t>
      </w:r>
      <w:r>
        <w:rPr>
          <w:rFonts w:cstheme="minorHAnsi"/>
          <w:bCs/>
          <w:sz w:val="24"/>
          <w:szCs w:val="24"/>
        </w:rPr>
        <w:t>8</w:t>
      </w:r>
      <w:r w:rsidRPr="00613FE8">
        <w:rPr>
          <w:rFonts w:cstheme="minorHAnsi"/>
          <w:bCs/>
          <w:sz w:val="24"/>
          <w:szCs w:val="24"/>
        </w:rPr>
        <w:t>).</w:t>
      </w:r>
    </w:p>
    <w:sectPr w:rsidR="002F6454" w:rsidSect="00EA0919">
      <w:headerReference w:type="default" r:id="rId1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0BCB" w14:textId="77777777" w:rsidR="00B17476" w:rsidRDefault="00B17476" w:rsidP="00B17476">
      <w:pPr>
        <w:spacing w:after="0" w:line="240" w:lineRule="auto"/>
      </w:pPr>
      <w:r>
        <w:separator/>
      </w:r>
    </w:p>
  </w:endnote>
  <w:endnote w:type="continuationSeparator" w:id="0">
    <w:p w14:paraId="2E6680F7" w14:textId="77777777" w:rsidR="00B17476" w:rsidRDefault="00B17476" w:rsidP="00B1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7C15" w14:textId="77777777" w:rsidR="00B17476" w:rsidRDefault="00B17476" w:rsidP="00B17476">
      <w:pPr>
        <w:spacing w:after="0" w:line="240" w:lineRule="auto"/>
      </w:pPr>
      <w:r>
        <w:separator/>
      </w:r>
    </w:p>
  </w:footnote>
  <w:footnote w:type="continuationSeparator" w:id="0">
    <w:p w14:paraId="4C75783E" w14:textId="77777777" w:rsidR="00B17476" w:rsidRDefault="00B17476" w:rsidP="00B17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6672" w14:textId="77777777" w:rsidR="00B17476" w:rsidRPr="00911373" w:rsidRDefault="00B17476" w:rsidP="00B17476">
    <w:pPr>
      <w:pStyle w:val="Header"/>
      <w:jc w:val="right"/>
      <w:rPr>
        <w:rFonts w:cs="Times New Roman"/>
        <w:sz w:val="18"/>
      </w:rPr>
    </w:pPr>
    <w:r w:rsidRPr="00911373">
      <w:rPr>
        <w:rFonts w:cs="Times New Roman"/>
        <w:sz w:val="18"/>
      </w:rPr>
      <w:t>Oakville Hydro Electricity Distribution Inc.</w:t>
    </w:r>
  </w:p>
  <w:p w14:paraId="6B84F037" w14:textId="4FE17D9A" w:rsidR="00B17476" w:rsidRPr="00911373" w:rsidRDefault="00B17476" w:rsidP="00B17476">
    <w:pPr>
      <w:pStyle w:val="Header"/>
      <w:jc w:val="right"/>
      <w:rPr>
        <w:rFonts w:cs="Times New Roman"/>
        <w:sz w:val="18"/>
      </w:rPr>
    </w:pPr>
    <w:r w:rsidRPr="00911373">
      <w:rPr>
        <w:rFonts w:cs="Times New Roman"/>
        <w:sz w:val="18"/>
      </w:rPr>
      <w:tab/>
    </w:r>
    <w:r w:rsidRPr="00911373">
      <w:rPr>
        <w:rFonts w:cs="Times New Roman"/>
        <w:sz w:val="18"/>
      </w:rPr>
      <w:tab/>
      <w:t>EB-20</w:t>
    </w:r>
    <w:r>
      <w:rPr>
        <w:rFonts w:cs="Times New Roman"/>
        <w:sz w:val="18"/>
      </w:rPr>
      <w:t>22</w:t>
    </w:r>
    <w:r w:rsidRPr="00911373">
      <w:rPr>
        <w:rFonts w:cs="Times New Roman"/>
        <w:sz w:val="18"/>
      </w:rPr>
      <w:t>-00</w:t>
    </w:r>
    <w:r>
      <w:rPr>
        <w:rFonts w:cs="Times New Roman"/>
        <w:sz w:val="18"/>
      </w:rPr>
      <w:t>55</w:t>
    </w:r>
  </w:p>
  <w:p w14:paraId="66004EC9" w14:textId="77777777" w:rsidR="00B17476" w:rsidRPr="00911373" w:rsidRDefault="00B17476" w:rsidP="00B17476">
    <w:pPr>
      <w:pStyle w:val="Header"/>
      <w:jc w:val="right"/>
      <w:rPr>
        <w:rFonts w:cs="Times New Roman"/>
        <w:sz w:val="18"/>
      </w:rPr>
    </w:pPr>
    <w:r w:rsidRPr="00911373">
      <w:rPr>
        <w:rFonts w:cs="Times New Roman"/>
        <w:sz w:val="18"/>
      </w:rPr>
      <w:t>Response to OEB Staff Interrogatories</w:t>
    </w:r>
  </w:p>
  <w:p w14:paraId="34DB68EF" w14:textId="1DDB198C" w:rsidR="00B17476" w:rsidRPr="00911373" w:rsidRDefault="00B17476" w:rsidP="00B17476">
    <w:pPr>
      <w:pStyle w:val="Header"/>
      <w:jc w:val="right"/>
      <w:rPr>
        <w:rFonts w:cs="Times New Roman"/>
        <w:sz w:val="18"/>
      </w:rPr>
    </w:pPr>
    <w:r w:rsidRPr="00911373">
      <w:rPr>
        <w:rFonts w:cs="Times New Roman"/>
        <w:sz w:val="18"/>
      </w:rPr>
      <w:tab/>
    </w:r>
    <w:r w:rsidRPr="00911373">
      <w:rPr>
        <w:rFonts w:cs="Times New Roman"/>
        <w:sz w:val="18"/>
      </w:rPr>
      <w:tab/>
      <w:t xml:space="preserve">Filed: </w:t>
    </w:r>
    <w:r>
      <w:rPr>
        <w:rFonts w:cs="Times New Roman"/>
        <w:sz w:val="18"/>
      </w:rPr>
      <w:t>September 2</w:t>
    </w:r>
    <w:r w:rsidR="00C9157F">
      <w:rPr>
        <w:rFonts w:cs="Times New Roman"/>
        <w:sz w:val="18"/>
      </w:rPr>
      <w:t>8</w:t>
    </w:r>
    <w:r>
      <w:rPr>
        <w:rFonts w:cs="Times New Roman"/>
        <w:sz w:val="18"/>
      </w:rPr>
      <w:t>, 2022</w:t>
    </w:r>
  </w:p>
  <w:p w14:paraId="60557296" w14:textId="77777777" w:rsidR="00B17476" w:rsidRDefault="00B17476" w:rsidP="00B17476">
    <w:pPr>
      <w:pStyle w:val="Header"/>
      <w:jc w:val="right"/>
      <w:rPr>
        <w:rFonts w:cs="Times New Roman"/>
        <w:sz w:val="18"/>
      </w:rPr>
    </w:pPr>
    <w:r w:rsidRPr="00911373">
      <w:rPr>
        <w:rFonts w:cs="Times New Roman"/>
        <w:sz w:val="18"/>
      </w:rPr>
      <w:t xml:space="preserve">Page </w:t>
    </w:r>
    <w:r w:rsidRPr="00911373">
      <w:rPr>
        <w:rFonts w:cs="Times New Roman"/>
        <w:sz w:val="18"/>
      </w:rPr>
      <w:fldChar w:fldCharType="begin"/>
    </w:r>
    <w:r w:rsidRPr="00911373">
      <w:rPr>
        <w:rFonts w:cs="Times New Roman"/>
        <w:sz w:val="18"/>
      </w:rPr>
      <w:instrText xml:space="preserve"> PAGE  \* Arabic  \* MERGEFORMAT </w:instrText>
    </w:r>
    <w:r w:rsidRPr="00911373">
      <w:rPr>
        <w:rFonts w:cs="Times New Roman"/>
        <w:sz w:val="18"/>
      </w:rPr>
      <w:fldChar w:fldCharType="separate"/>
    </w:r>
    <w:r>
      <w:rPr>
        <w:rFonts w:cs="Times New Roman"/>
        <w:sz w:val="18"/>
      </w:rPr>
      <w:t>1</w:t>
    </w:r>
    <w:r w:rsidRPr="00911373">
      <w:rPr>
        <w:rFonts w:cs="Times New Roman"/>
        <w:sz w:val="18"/>
      </w:rPr>
      <w:fldChar w:fldCharType="end"/>
    </w:r>
    <w:r w:rsidRPr="00911373">
      <w:rPr>
        <w:rFonts w:cs="Times New Roman"/>
        <w:sz w:val="18"/>
      </w:rPr>
      <w:t xml:space="preserve"> of </w:t>
    </w:r>
    <w:r w:rsidRPr="00911373">
      <w:rPr>
        <w:rFonts w:cs="Times New Roman"/>
        <w:sz w:val="18"/>
      </w:rPr>
      <w:fldChar w:fldCharType="begin"/>
    </w:r>
    <w:r w:rsidRPr="00911373">
      <w:rPr>
        <w:rFonts w:cs="Times New Roman"/>
        <w:sz w:val="18"/>
      </w:rPr>
      <w:instrText xml:space="preserve"> NUMPAGES  \* Arabic  \* MERGEFORMAT </w:instrText>
    </w:r>
    <w:r w:rsidRPr="00911373">
      <w:rPr>
        <w:rFonts w:cs="Times New Roman"/>
        <w:sz w:val="18"/>
      </w:rPr>
      <w:fldChar w:fldCharType="separate"/>
    </w:r>
    <w:r>
      <w:rPr>
        <w:rFonts w:cs="Times New Roman"/>
        <w:sz w:val="18"/>
      </w:rPr>
      <w:t>4</w:t>
    </w:r>
    <w:r w:rsidRPr="00911373">
      <w:rPr>
        <w:rFonts w:cs="Times New Roman"/>
        <w:sz w:val="18"/>
      </w:rPr>
      <w:fldChar w:fldCharType="end"/>
    </w:r>
  </w:p>
  <w:p w14:paraId="5972C740" w14:textId="77777777" w:rsidR="00B17476" w:rsidRDefault="00B1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05F9"/>
    <w:multiLevelType w:val="hybridMultilevel"/>
    <w:tmpl w:val="888E5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721B85"/>
    <w:multiLevelType w:val="hybridMultilevel"/>
    <w:tmpl w:val="28E8D8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D756DC"/>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6344C1"/>
    <w:multiLevelType w:val="multilevel"/>
    <w:tmpl w:val="B33821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097B3D"/>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564301"/>
    <w:multiLevelType w:val="hybridMultilevel"/>
    <w:tmpl w:val="28E8D8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D5516E"/>
    <w:multiLevelType w:val="multilevel"/>
    <w:tmpl w:val="7CFC75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C806132"/>
    <w:multiLevelType w:val="hybridMultilevel"/>
    <w:tmpl w:val="11C05F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3576B"/>
    <w:multiLevelType w:val="hybridMultilevel"/>
    <w:tmpl w:val="B568F4A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98744B"/>
    <w:multiLevelType w:val="hybridMultilevel"/>
    <w:tmpl w:val="6A5E30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0199A"/>
    <w:multiLevelType w:val="hybridMultilevel"/>
    <w:tmpl w:val="C3C053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8131E62"/>
    <w:multiLevelType w:val="multilevel"/>
    <w:tmpl w:val="7BDE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366047"/>
    <w:multiLevelType w:val="hybridMultilevel"/>
    <w:tmpl w:val="28E8D8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663732"/>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0A54B83"/>
    <w:multiLevelType w:val="multilevel"/>
    <w:tmpl w:val="5F50D3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43A17E9"/>
    <w:multiLevelType w:val="hybridMultilevel"/>
    <w:tmpl w:val="03227A56"/>
    <w:lvl w:ilvl="0" w:tplc="A0AEA2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10061919">
    <w:abstractNumId w:val="12"/>
  </w:num>
  <w:num w:numId="2" w16cid:durableId="1899053928">
    <w:abstractNumId w:val="1"/>
  </w:num>
  <w:num w:numId="3" w16cid:durableId="1664312746">
    <w:abstractNumId w:val="5"/>
  </w:num>
  <w:num w:numId="4" w16cid:durableId="430778385">
    <w:abstractNumId w:val="13"/>
  </w:num>
  <w:num w:numId="5" w16cid:durableId="861868522">
    <w:abstractNumId w:val="2"/>
  </w:num>
  <w:num w:numId="6" w16cid:durableId="1381901419">
    <w:abstractNumId w:val="4"/>
  </w:num>
  <w:num w:numId="7" w16cid:durableId="1226916440">
    <w:abstractNumId w:val="7"/>
  </w:num>
  <w:num w:numId="8" w16cid:durableId="2069497263">
    <w:abstractNumId w:val="9"/>
  </w:num>
  <w:num w:numId="9" w16cid:durableId="357900123">
    <w:abstractNumId w:val="6"/>
  </w:num>
  <w:num w:numId="10" w16cid:durableId="1554341990">
    <w:abstractNumId w:val="14"/>
  </w:num>
  <w:num w:numId="11" w16cid:durableId="748649351">
    <w:abstractNumId w:val="3"/>
  </w:num>
  <w:num w:numId="12" w16cid:durableId="227765326">
    <w:abstractNumId w:val="8"/>
  </w:num>
  <w:num w:numId="13" w16cid:durableId="21824418">
    <w:abstractNumId w:val="11"/>
  </w:num>
  <w:num w:numId="14" w16cid:durableId="165291145">
    <w:abstractNumId w:val="15"/>
  </w:num>
  <w:num w:numId="15" w16cid:durableId="918097223">
    <w:abstractNumId w:val="10"/>
  </w:num>
  <w:num w:numId="16" w16cid:durableId="193077420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667C"/>
    <w:rsid w:val="00021EC0"/>
    <w:rsid w:val="0003073C"/>
    <w:rsid w:val="00035337"/>
    <w:rsid w:val="0004487D"/>
    <w:rsid w:val="00054071"/>
    <w:rsid w:val="00054B42"/>
    <w:rsid w:val="0006126D"/>
    <w:rsid w:val="00067F57"/>
    <w:rsid w:val="00071BEC"/>
    <w:rsid w:val="00074514"/>
    <w:rsid w:val="000832D4"/>
    <w:rsid w:val="00090160"/>
    <w:rsid w:val="00097A88"/>
    <w:rsid w:val="000A7A8D"/>
    <w:rsid w:val="000B0A57"/>
    <w:rsid w:val="000B3E7E"/>
    <w:rsid w:val="000B4B8F"/>
    <w:rsid w:val="000D223C"/>
    <w:rsid w:val="000D3B2F"/>
    <w:rsid w:val="000E2A42"/>
    <w:rsid w:val="000E4006"/>
    <w:rsid w:val="000F0ABB"/>
    <w:rsid w:val="000F0E95"/>
    <w:rsid w:val="000F1E3A"/>
    <w:rsid w:val="001012C2"/>
    <w:rsid w:val="00101541"/>
    <w:rsid w:val="00110BDB"/>
    <w:rsid w:val="00122D3D"/>
    <w:rsid w:val="00133BE1"/>
    <w:rsid w:val="0014359F"/>
    <w:rsid w:val="00147E2E"/>
    <w:rsid w:val="00164E99"/>
    <w:rsid w:val="00183CC8"/>
    <w:rsid w:val="00183FF0"/>
    <w:rsid w:val="00187E9B"/>
    <w:rsid w:val="001927C2"/>
    <w:rsid w:val="0019526D"/>
    <w:rsid w:val="001A4DCD"/>
    <w:rsid w:val="001D3495"/>
    <w:rsid w:val="001E224E"/>
    <w:rsid w:val="002015DF"/>
    <w:rsid w:val="00203092"/>
    <w:rsid w:val="0020412A"/>
    <w:rsid w:val="002208C0"/>
    <w:rsid w:val="00223FF6"/>
    <w:rsid w:val="00224C06"/>
    <w:rsid w:val="002405D4"/>
    <w:rsid w:val="0025687C"/>
    <w:rsid w:val="00264A33"/>
    <w:rsid w:val="00274A48"/>
    <w:rsid w:val="00280962"/>
    <w:rsid w:val="00291CCC"/>
    <w:rsid w:val="002932A3"/>
    <w:rsid w:val="002A1948"/>
    <w:rsid w:val="002A6415"/>
    <w:rsid w:val="002A7678"/>
    <w:rsid w:val="002B7B7C"/>
    <w:rsid w:val="002C2BF2"/>
    <w:rsid w:val="002C7EF6"/>
    <w:rsid w:val="002D4924"/>
    <w:rsid w:val="002F4756"/>
    <w:rsid w:val="002F6454"/>
    <w:rsid w:val="00302509"/>
    <w:rsid w:val="003049C5"/>
    <w:rsid w:val="00312EB8"/>
    <w:rsid w:val="003173A7"/>
    <w:rsid w:val="00323667"/>
    <w:rsid w:val="003303BF"/>
    <w:rsid w:val="00335060"/>
    <w:rsid w:val="00340C00"/>
    <w:rsid w:val="003702D1"/>
    <w:rsid w:val="00373B82"/>
    <w:rsid w:val="00373FAD"/>
    <w:rsid w:val="003777B5"/>
    <w:rsid w:val="003832E7"/>
    <w:rsid w:val="00390F2B"/>
    <w:rsid w:val="00395C93"/>
    <w:rsid w:val="003A20A0"/>
    <w:rsid w:val="003A58B0"/>
    <w:rsid w:val="003C3574"/>
    <w:rsid w:val="003E2DAF"/>
    <w:rsid w:val="003F5BCB"/>
    <w:rsid w:val="00400DFC"/>
    <w:rsid w:val="00412DC6"/>
    <w:rsid w:val="00425009"/>
    <w:rsid w:val="004377B0"/>
    <w:rsid w:val="00441084"/>
    <w:rsid w:val="00445BB6"/>
    <w:rsid w:val="00472C81"/>
    <w:rsid w:val="00472E47"/>
    <w:rsid w:val="00475032"/>
    <w:rsid w:val="004859EF"/>
    <w:rsid w:val="004B1B74"/>
    <w:rsid w:val="004B7348"/>
    <w:rsid w:val="004D7627"/>
    <w:rsid w:val="00511EC2"/>
    <w:rsid w:val="00514AAF"/>
    <w:rsid w:val="005164F5"/>
    <w:rsid w:val="0052560F"/>
    <w:rsid w:val="00526BDF"/>
    <w:rsid w:val="00533823"/>
    <w:rsid w:val="005666F2"/>
    <w:rsid w:val="00572064"/>
    <w:rsid w:val="00584369"/>
    <w:rsid w:val="00587A35"/>
    <w:rsid w:val="005B5890"/>
    <w:rsid w:val="005C322A"/>
    <w:rsid w:val="005E27C0"/>
    <w:rsid w:val="005F4693"/>
    <w:rsid w:val="00623602"/>
    <w:rsid w:val="0064279A"/>
    <w:rsid w:val="00651C98"/>
    <w:rsid w:val="00651D35"/>
    <w:rsid w:val="006561EE"/>
    <w:rsid w:val="00663215"/>
    <w:rsid w:val="00686F8B"/>
    <w:rsid w:val="006A5D23"/>
    <w:rsid w:val="006E3D58"/>
    <w:rsid w:val="00703AA4"/>
    <w:rsid w:val="00704EE5"/>
    <w:rsid w:val="007066E2"/>
    <w:rsid w:val="00710D6E"/>
    <w:rsid w:val="00720CD1"/>
    <w:rsid w:val="00721318"/>
    <w:rsid w:val="007222FC"/>
    <w:rsid w:val="0072241F"/>
    <w:rsid w:val="00722640"/>
    <w:rsid w:val="0073197E"/>
    <w:rsid w:val="00746080"/>
    <w:rsid w:val="007508EC"/>
    <w:rsid w:val="00756DA9"/>
    <w:rsid w:val="00756E40"/>
    <w:rsid w:val="00772B57"/>
    <w:rsid w:val="00772F96"/>
    <w:rsid w:val="00781D04"/>
    <w:rsid w:val="0078550D"/>
    <w:rsid w:val="00797411"/>
    <w:rsid w:val="007A60D9"/>
    <w:rsid w:val="007A7DF9"/>
    <w:rsid w:val="007B13D8"/>
    <w:rsid w:val="007B2397"/>
    <w:rsid w:val="007C2D45"/>
    <w:rsid w:val="007D1F03"/>
    <w:rsid w:val="007F49EB"/>
    <w:rsid w:val="007F56D9"/>
    <w:rsid w:val="007F66A4"/>
    <w:rsid w:val="00801AE8"/>
    <w:rsid w:val="00805FDA"/>
    <w:rsid w:val="00812C1B"/>
    <w:rsid w:val="008173B1"/>
    <w:rsid w:val="008247BF"/>
    <w:rsid w:val="00824C52"/>
    <w:rsid w:val="00835AD0"/>
    <w:rsid w:val="00841787"/>
    <w:rsid w:val="00846716"/>
    <w:rsid w:val="00866BDE"/>
    <w:rsid w:val="008747B3"/>
    <w:rsid w:val="008813C3"/>
    <w:rsid w:val="00884852"/>
    <w:rsid w:val="00887FD6"/>
    <w:rsid w:val="008926F0"/>
    <w:rsid w:val="008964E8"/>
    <w:rsid w:val="008A05C9"/>
    <w:rsid w:val="008A48F6"/>
    <w:rsid w:val="008B30CB"/>
    <w:rsid w:val="008B5871"/>
    <w:rsid w:val="008C4390"/>
    <w:rsid w:val="008D0BD3"/>
    <w:rsid w:val="008E14F0"/>
    <w:rsid w:val="008E6045"/>
    <w:rsid w:val="008E79FD"/>
    <w:rsid w:val="0090113B"/>
    <w:rsid w:val="0093258A"/>
    <w:rsid w:val="0094373C"/>
    <w:rsid w:val="009445CF"/>
    <w:rsid w:val="00946DEE"/>
    <w:rsid w:val="00951E2B"/>
    <w:rsid w:val="00952939"/>
    <w:rsid w:val="00961EA0"/>
    <w:rsid w:val="00982387"/>
    <w:rsid w:val="009A52F3"/>
    <w:rsid w:val="009A5C44"/>
    <w:rsid w:val="009B03AF"/>
    <w:rsid w:val="009C4216"/>
    <w:rsid w:val="009D5F4B"/>
    <w:rsid w:val="009E626E"/>
    <w:rsid w:val="009E7CBF"/>
    <w:rsid w:val="00A07077"/>
    <w:rsid w:val="00A2510C"/>
    <w:rsid w:val="00A27A16"/>
    <w:rsid w:val="00A3204A"/>
    <w:rsid w:val="00A50DD0"/>
    <w:rsid w:val="00A516B0"/>
    <w:rsid w:val="00A556D4"/>
    <w:rsid w:val="00A5620A"/>
    <w:rsid w:val="00A775E8"/>
    <w:rsid w:val="00A964B1"/>
    <w:rsid w:val="00AA06D9"/>
    <w:rsid w:val="00AB251C"/>
    <w:rsid w:val="00AC0412"/>
    <w:rsid w:val="00AC2406"/>
    <w:rsid w:val="00AC4B75"/>
    <w:rsid w:val="00AC6E51"/>
    <w:rsid w:val="00AC7F90"/>
    <w:rsid w:val="00AD3FCF"/>
    <w:rsid w:val="00AF53FC"/>
    <w:rsid w:val="00B03802"/>
    <w:rsid w:val="00B069AA"/>
    <w:rsid w:val="00B1097B"/>
    <w:rsid w:val="00B17476"/>
    <w:rsid w:val="00B23A36"/>
    <w:rsid w:val="00B25576"/>
    <w:rsid w:val="00B25EF5"/>
    <w:rsid w:val="00B34BE8"/>
    <w:rsid w:val="00B50EB2"/>
    <w:rsid w:val="00B6722A"/>
    <w:rsid w:val="00B82D78"/>
    <w:rsid w:val="00B93170"/>
    <w:rsid w:val="00BA434C"/>
    <w:rsid w:val="00BC6BF0"/>
    <w:rsid w:val="00BD4F65"/>
    <w:rsid w:val="00BD7607"/>
    <w:rsid w:val="00BF1D0C"/>
    <w:rsid w:val="00C02F5E"/>
    <w:rsid w:val="00C06F9E"/>
    <w:rsid w:val="00C13E6B"/>
    <w:rsid w:val="00C2370B"/>
    <w:rsid w:val="00C27193"/>
    <w:rsid w:val="00C624D5"/>
    <w:rsid w:val="00C63599"/>
    <w:rsid w:val="00C663BD"/>
    <w:rsid w:val="00C848A0"/>
    <w:rsid w:val="00C859E5"/>
    <w:rsid w:val="00C878C5"/>
    <w:rsid w:val="00C90BA3"/>
    <w:rsid w:val="00C9157F"/>
    <w:rsid w:val="00C96AEA"/>
    <w:rsid w:val="00CC0B6D"/>
    <w:rsid w:val="00CC1D1B"/>
    <w:rsid w:val="00CD01B4"/>
    <w:rsid w:val="00CE1CD3"/>
    <w:rsid w:val="00CE4F01"/>
    <w:rsid w:val="00CF10B1"/>
    <w:rsid w:val="00CF469B"/>
    <w:rsid w:val="00D15FFF"/>
    <w:rsid w:val="00D238CD"/>
    <w:rsid w:val="00D30F16"/>
    <w:rsid w:val="00D55546"/>
    <w:rsid w:val="00D57E8C"/>
    <w:rsid w:val="00D6213C"/>
    <w:rsid w:val="00D647C0"/>
    <w:rsid w:val="00D77694"/>
    <w:rsid w:val="00D77B0F"/>
    <w:rsid w:val="00DA0898"/>
    <w:rsid w:val="00DB5B94"/>
    <w:rsid w:val="00DB6B52"/>
    <w:rsid w:val="00DE5488"/>
    <w:rsid w:val="00DE75AC"/>
    <w:rsid w:val="00DF5A52"/>
    <w:rsid w:val="00DF750C"/>
    <w:rsid w:val="00E17C58"/>
    <w:rsid w:val="00E231C2"/>
    <w:rsid w:val="00E429DA"/>
    <w:rsid w:val="00E616AB"/>
    <w:rsid w:val="00E62C2A"/>
    <w:rsid w:val="00E76794"/>
    <w:rsid w:val="00E8586E"/>
    <w:rsid w:val="00E86F26"/>
    <w:rsid w:val="00E96A06"/>
    <w:rsid w:val="00EA0919"/>
    <w:rsid w:val="00EA3F7A"/>
    <w:rsid w:val="00EB4C14"/>
    <w:rsid w:val="00EB5240"/>
    <w:rsid w:val="00EC0B55"/>
    <w:rsid w:val="00EC4455"/>
    <w:rsid w:val="00ED07F4"/>
    <w:rsid w:val="00EE3753"/>
    <w:rsid w:val="00EF5A37"/>
    <w:rsid w:val="00F034BF"/>
    <w:rsid w:val="00F233A3"/>
    <w:rsid w:val="00F23D7A"/>
    <w:rsid w:val="00F26D30"/>
    <w:rsid w:val="00F57152"/>
    <w:rsid w:val="00F72690"/>
    <w:rsid w:val="00F7362C"/>
    <w:rsid w:val="00F92F61"/>
    <w:rsid w:val="00F9638C"/>
    <w:rsid w:val="00F96A9A"/>
    <w:rsid w:val="00FB6F10"/>
    <w:rsid w:val="00FC4CF8"/>
    <w:rsid w:val="00FC5DA7"/>
    <w:rsid w:val="00FE1F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222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222FC"/>
  </w:style>
  <w:style w:type="character" w:customStyle="1" w:styleId="eop">
    <w:name w:val="eop"/>
    <w:basedOn w:val="DefaultParagraphFont"/>
    <w:rsid w:val="007222FC"/>
  </w:style>
  <w:style w:type="paragraph" w:styleId="Header">
    <w:name w:val="header"/>
    <w:basedOn w:val="Normal"/>
    <w:link w:val="HeaderChar"/>
    <w:uiPriority w:val="99"/>
    <w:unhideWhenUsed/>
    <w:rsid w:val="00B17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76"/>
  </w:style>
  <w:style w:type="paragraph" w:styleId="BodyText">
    <w:name w:val="Body Text"/>
    <w:basedOn w:val="Normal"/>
    <w:link w:val="BodyTextChar"/>
    <w:uiPriority w:val="1"/>
    <w:qFormat/>
    <w:rsid w:val="00B17476"/>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B17476"/>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53654400">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2092851017">
      <w:bodyDiv w:val="1"/>
      <w:marLeft w:val="0"/>
      <w:marRight w:val="0"/>
      <w:marTop w:val="0"/>
      <w:marBottom w:val="0"/>
      <w:divBdr>
        <w:top w:val="none" w:sz="0" w:space="0" w:color="auto"/>
        <w:left w:val="none" w:sz="0" w:space="0" w:color="auto"/>
        <w:bottom w:val="none" w:sz="0" w:space="0" w:color="auto"/>
        <w:right w:val="none" w:sz="0" w:space="0" w:color="auto"/>
      </w:divBdr>
      <w:divsChild>
        <w:div w:id="1263801597">
          <w:marLeft w:val="0"/>
          <w:marRight w:val="0"/>
          <w:marTop w:val="0"/>
          <w:marBottom w:val="0"/>
          <w:divBdr>
            <w:top w:val="none" w:sz="0" w:space="0" w:color="auto"/>
            <w:left w:val="none" w:sz="0" w:space="0" w:color="auto"/>
            <w:bottom w:val="none" w:sz="0" w:space="0" w:color="auto"/>
            <w:right w:val="none" w:sz="0" w:space="0" w:color="auto"/>
          </w:divBdr>
        </w:div>
        <w:div w:id="1129057139">
          <w:marLeft w:val="0"/>
          <w:marRight w:val="0"/>
          <w:marTop w:val="0"/>
          <w:marBottom w:val="0"/>
          <w:divBdr>
            <w:top w:val="none" w:sz="0" w:space="0" w:color="auto"/>
            <w:left w:val="none" w:sz="0" w:space="0" w:color="auto"/>
            <w:bottom w:val="none" w:sz="0" w:space="0" w:color="auto"/>
            <w:right w:val="none" w:sz="0" w:space="0" w:color="auto"/>
          </w:divBdr>
        </w:div>
        <w:div w:id="964392368">
          <w:marLeft w:val="0"/>
          <w:marRight w:val="0"/>
          <w:marTop w:val="0"/>
          <w:marBottom w:val="0"/>
          <w:divBdr>
            <w:top w:val="none" w:sz="0" w:space="0" w:color="auto"/>
            <w:left w:val="none" w:sz="0" w:space="0" w:color="auto"/>
            <w:bottom w:val="none" w:sz="0" w:space="0" w:color="auto"/>
            <w:right w:val="none" w:sz="0" w:space="0" w:color="auto"/>
          </w:divBdr>
        </w:div>
        <w:div w:id="1410538408">
          <w:marLeft w:val="0"/>
          <w:marRight w:val="0"/>
          <w:marTop w:val="0"/>
          <w:marBottom w:val="0"/>
          <w:divBdr>
            <w:top w:val="none" w:sz="0" w:space="0" w:color="auto"/>
            <w:left w:val="none" w:sz="0" w:space="0" w:color="auto"/>
            <w:bottom w:val="none" w:sz="0" w:space="0" w:color="auto"/>
            <w:right w:val="none" w:sz="0" w:space="0" w:color="auto"/>
          </w:divBdr>
        </w:div>
        <w:div w:id="2044749724">
          <w:marLeft w:val="0"/>
          <w:marRight w:val="0"/>
          <w:marTop w:val="0"/>
          <w:marBottom w:val="0"/>
          <w:divBdr>
            <w:top w:val="none" w:sz="0" w:space="0" w:color="auto"/>
            <w:left w:val="none" w:sz="0" w:space="0" w:color="auto"/>
            <w:bottom w:val="none" w:sz="0" w:space="0" w:color="auto"/>
            <w:right w:val="none" w:sz="0" w:space="0" w:color="auto"/>
          </w:divBdr>
        </w:div>
        <w:div w:id="1625038801">
          <w:marLeft w:val="0"/>
          <w:marRight w:val="0"/>
          <w:marTop w:val="0"/>
          <w:marBottom w:val="0"/>
          <w:divBdr>
            <w:top w:val="none" w:sz="0" w:space="0" w:color="auto"/>
            <w:left w:val="none" w:sz="0" w:space="0" w:color="auto"/>
            <w:bottom w:val="none" w:sz="0" w:space="0" w:color="auto"/>
            <w:right w:val="none" w:sz="0" w:space="0" w:color="auto"/>
          </w:divBdr>
        </w:div>
        <w:div w:id="846284132">
          <w:marLeft w:val="0"/>
          <w:marRight w:val="0"/>
          <w:marTop w:val="0"/>
          <w:marBottom w:val="0"/>
          <w:divBdr>
            <w:top w:val="none" w:sz="0" w:space="0" w:color="auto"/>
            <w:left w:val="none" w:sz="0" w:space="0" w:color="auto"/>
            <w:bottom w:val="none" w:sz="0" w:space="0" w:color="auto"/>
            <w:right w:val="none" w:sz="0" w:space="0" w:color="auto"/>
          </w:divBdr>
        </w:div>
        <w:div w:id="826674944">
          <w:marLeft w:val="0"/>
          <w:marRight w:val="0"/>
          <w:marTop w:val="0"/>
          <w:marBottom w:val="0"/>
          <w:divBdr>
            <w:top w:val="none" w:sz="0" w:space="0" w:color="auto"/>
            <w:left w:val="none" w:sz="0" w:space="0" w:color="auto"/>
            <w:bottom w:val="none" w:sz="0" w:space="0" w:color="auto"/>
            <w:right w:val="none" w:sz="0" w:space="0" w:color="auto"/>
          </w:divBdr>
        </w:div>
        <w:div w:id="1833377362">
          <w:marLeft w:val="0"/>
          <w:marRight w:val="0"/>
          <w:marTop w:val="0"/>
          <w:marBottom w:val="0"/>
          <w:divBdr>
            <w:top w:val="none" w:sz="0" w:space="0" w:color="auto"/>
            <w:left w:val="none" w:sz="0" w:space="0" w:color="auto"/>
            <w:bottom w:val="none" w:sz="0" w:space="0" w:color="auto"/>
            <w:right w:val="none" w:sz="0" w:space="0" w:color="auto"/>
          </w:divBdr>
        </w:div>
        <w:div w:id="909315557">
          <w:marLeft w:val="0"/>
          <w:marRight w:val="0"/>
          <w:marTop w:val="0"/>
          <w:marBottom w:val="0"/>
          <w:divBdr>
            <w:top w:val="none" w:sz="0" w:space="0" w:color="auto"/>
            <w:left w:val="none" w:sz="0" w:space="0" w:color="auto"/>
            <w:bottom w:val="none" w:sz="0" w:space="0" w:color="auto"/>
            <w:right w:val="none" w:sz="0" w:space="0" w:color="auto"/>
          </w:divBdr>
        </w:div>
        <w:div w:id="907836678">
          <w:marLeft w:val="0"/>
          <w:marRight w:val="0"/>
          <w:marTop w:val="0"/>
          <w:marBottom w:val="0"/>
          <w:divBdr>
            <w:top w:val="none" w:sz="0" w:space="0" w:color="auto"/>
            <w:left w:val="none" w:sz="0" w:space="0" w:color="auto"/>
            <w:bottom w:val="none" w:sz="0" w:space="0" w:color="auto"/>
            <w:right w:val="none" w:sz="0" w:space="0" w:color="auto"/>
          </w:divBdr>
        </w:div>
        <w:div w:id="1148325903">
          <w:marLeft w:val="0"/>
          <w:marRight w:val="0"/>
          <w:marTop w:val="0"/>
          <w:marBottom w:val="0"/>
          <w:divBdr>
            <w:top w:val="none" w:sz="0" w:space="0" w:color="auto"/>
            <w:left w:val="none" w:sz="0" w:space="0" w:color="auto"/>
            <w:bottom w:val="none" w:sz="0" w:space="0" w:color="auto"/>
            <w:right w:val="none" w:sz="0" w:space="0" w:color="auto"/>
          </w:divBdr>
        </w:div>
        <w:div w:id="306279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David Savage</cp:lastModifiedBy>
  <cp:revision>3</cp:revision>
  <cp:lastPrinted>2022-09-28T18:26:00Z</cp:lastPrinted>
  <dcterms:created xsi:type="dcterms:W3CDTF">2022-09-28T18:50:00Z</dcterms:created>
  <dcterms:modified xsi:type="dcterms:W3CDTF">2022-09-28T20:35:00Z</dcterms:modified>
</cp:coreProperties>
</file>