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638A67AC" w:rsidR="00A07077" w:rsidRPr="00D57E8C" w:rsidRDefault="00AA054B" w:rsidP="00A07077">
      <w:pPr>
        <w:pStyle w:val="Default"/>
        <w:jc w:val="center"/>
        <w:rPr>
          <w:rFonts w:ascii="Arial" w:hAnsi="Arial" w:cs="Arial"/>
          <w:sz w:val="28"/>
          <w:szCs w:val="28"/>
        </w:rPr>
      </w:pPr>
      <w:r>
        <w:rPr>
          <w:rFonts w:ascii="Arial" w:hAnsi="Arial" w:cs="Arial"/>
          <w:b/>
          <w:bCs/>
          <w:sz w:val="28"/>
          <w:szCs w:val="28"/>
        </w:rPr>
        <w:t>Synergy North</w:t>
      </w:r>
      <w:r w:rsidR="00C45D34">
        <w:rPr>
          <w:rFonts w:ascii="Arial" w:hAnsi="Arial" w:cs="Arial"/>
          <w:b/>
          <w:bCs/>
          <w:sz w:val="28"/>
          <w:szCs w:val="28"/>
        </w:rPr>
        <w:t xml:space="preserve"> Corporation</w:t>
      </w:r>
    </w:p>
    <w:p w14:paraId="33D6510D" w14:textId="2B05724E"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5C6946">
        <w:rPr>
          <w:rFonts w:ascii="Arial" w:hAnsi="Arial" w:cs="Arial"/>
          <w:b/>
          <w:bCs/>
          <w:sz w:val="28"/>
          <w:szCs w:val="28"/>
        </w:rPr>
        <w:t>2-0</w:t>
      </w:r>
      <w:r w:rsidR="00AA054B">
        <w:rPr>
          <w:rFonts w:ascii="Arial" w:hAnsi="Arial" w:cs="Arial"/>
          <w:b/>
          <w:bCs/>
          <w:sz w:val="28"/>
          <w:szCs w:val="28"/>
        </w:rPr>
        <w:t>063</w:t>
      </w:r>
    </w:p>
    <w:p w14:paraId="1465DB1A" w14:textId="009C01C1" w:rsidR="00FC5C68" w:rsidRDefault="00FC5C68" w:rsidP="00A07077">
      <w:pPr>
        <w:pStyle w:val="Default"/>
        <w:jc w:val="center"/>
        <w:rPr>
          <w:rFonts w:ascii="Arial" w:hAnsi="Arial" w:cs="Arial"/>
          <w:b/>
          <w:bCs/>
          <w:sz w:val="28"/>
          <w:szCs w:val="28"/>
        </w:rPr>
      </w:pPr>
      <w:r>
        <w:rPr>
          <w:rFonts w:ascii="Arial" w:hAnsi="Arial" w:cs="Arial"/>
          <w:b/>
          <w:bCs/>
          <w:sz w:val="28"/>
          <w:szCs w:val="28"/>
        </w:rPr>
        <w:t>OEB Staff Questions</w:t>
      </w:r>
    </w:p>
    <w:p w14:paraId="7BFBEBF4" w14:textId="3CCB670B" w:rsidR="00B660BA" w:rsidRPr="00B660BA" w:rsidRDefault="00AA054B" w:rsidP="00A07077">
      <w:pPr>
        <w:pStyle w:val="Default"/>
        <w:jc w:val="center"/>
        <w:rPr>
          <w:rFonts w:ascii="Arial" w:hAnsi="Arial" w:cs="Arial"/>
          <w:b/>
          <w:bCs/>
        </w:rPr>
      </w:pPr>
      <w:r>
        <w:rPr>
          <w:rFonts w:ascii="Arial" w:hAnsi="Arial" w:cs="Arial"/>
          <w:b/>
          <w:bCs/>
        </w:rPr>
        <w:t>December</w:t>
      </w:r>
      <w:r w:rsidR="00B660BA" w:rsidRPr="00B660BA">
        <w:rPr>
          <w:rFonts w:ascii="Arial" w:hAnsi="Arial" w:cs="Arial"/>
          <w:b/>
          <w:bCs/>
        </w:rPr>
        <w:t xml:space="preserve"> </w:t>
      </w:r>
      <w:r w:rsidR="004F262F">
        <w:rPr>
          <w:rFonts w:ascii="Arial" w:hAnsi="Arial" w:cs="Arial"/>
          <w:b/>
          <w:bCs/>
        </w:rPr>
        <w:t>13</w:t>
      </w:r>
      <w:r w:rsidR="00B660BA" w:rsidRPr="00B660BA">
        <w:rPr>
          <w:rFonts w:ascii="Arial" w:hAnsi="Arial" w:cs="Arial"/>
          <w:b/>
          <w:bCs/>
        </w:rPr>
        <w:t>, 2022</w:t>
      </w:r>
    </w:p>
    <w:p w14:paraId="63C86BE8" w14:textId="77777777" w:rsidR="00511EC2" w:rsidRDefault="00511EC2" w:rsidP="00511EC2">
      <w:pPr>
        <w:spacing w:after="0" w:line="240" w:lineRule="auto"/>
        <w:rPr>
          <w:rFonts w:ascii="Arial" w:eastAsia="Calibri" w:hAnsi="Arial" w:cs="Arial"/>
          <w:lang w:val="en-US"/>
        </w:rPr>
      </w:pPr>
    </w:p>
    <w:p w14:paraId="2A0CB1B0" w14:textId="24C9121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AA054B">
        <w:rPr>
          <w:rFonts w:ascii="Arial" w:eastAsia="Calibri" w:hAnsi="Arial" w:cs="Arial"/>
          <w:sz w:val="24"/>
          <w:szCs w:val="24"/>
        </w:rPr>
        <w:t>Synergy North</w:t>
      </w:r>
      <w:r w:rsidR="00C45D34">
        <w:rPr>
          <w:rFonts w:ascii="Arial" w:eastAsia="Calibri" w:hAnsi="Arial" w:cs="Arial"/>
          <w:sz w:val="24"/>
          <w:szCs w:val="24"/>
        </w:rPr>
        <w:t xml:space="preserve"> Corporation</w:t>
      </w:r>
      <w:r w:rsidR="00AA054B">
        <w:rPr>
          <w:rFonts w:ascii="Arial" w:eastAsia="Calibri" w:hAnsi="Arial" w:cs="Arial"/>
          <w:sz w:val="24"/>
          <w:szCs w:val="24"/>
        </w:rPr>
        <w:t xml:space="preserve"> (Synergy North)</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0442BC9" w:rsidR="00D57E8C" w:rsidRDefault="00D57E8C" w:rsidP="00C45D34">
      <w:pPr>
        <w:contextualSpacing/>
        <w:rPr>
          <w:rFonts w:ascii="Arial" w:hAnsi="Arial" w:cs="Arial"/>
          <w:b/>
          <w:sz w:val="24"/>
          <w:szCs w:val="24"/>
        </w:rPr>
      </w:pPr>
      <w:r>
        <w:rPr>
          <w:rFonts w:ascii="Arial" w:hAnsi="Arial" w:cs="Arial"/>
          <w:b/>
          <w:sz w:val="24"/>
          <w:szCs w:val="24"/>
        </w:rPr>
        <w:t>Staff Question-1</w:t>
      </w:r>
    </w:p>
    <w:p w14:paraId="5EDDDB2E" w14:textId="2F0B3F32" w:rsidR="00C205EF" w:rsidRPr="00C205EF" w:rsidRDefault="00C45D34" w:rsidP="00C205EF">
      <w:pPr>
        <w:ind w:left="720" w:hanging="720"/>
        <w:rPr>
          <w:rFonts w:ascii="Arial" w:hAnsi="Arial" w:cs="Arial"/>
          <w:b/>
          <w:sz w:val="24"/>
          <w:szCs w:val="24"/>
        </w:rPr>
      </w:pPr>
      <w:r>
        <w:rPr>
          <w:rFonts w:ascii="Arial" w:hAnsi="Arial" w:cs="Arial"/>
          <w:b/>
          <w:sz w:val="24"/>
          <w:szCs w:val="24"/>
        </w:rPr>
        <w:t>Ref:</w:t>
      </w:r>
      <w:r w:rsidR="00C205EF">
        <w:rPr>
          <w:rFonts w:ascii="Arial" w:hAnsi="Arial" w:cs="Arial"/>
          <w:b/>
          <w:sz w:val="24"/>
          <w:szCs w:val="24"/>
        </w:rPr>
        <w:tab/>
      </w:r>
      <w:r w:rsidR="00B71D9F">
        <w:rPr>
          <w:rFonts w:ascii="Arial" w:hAnsi="Arial" w:cs="Arial"/>
          <w:b/>
          <w:sz w:val="24"/>
          <w:szCs w:val="24"/>
        </w:rPr>
        <w:t>Thunder Bay</w:t>
      </w:r>
      <w:r w:rsidR="00474A18">
        <w:rPr>
          <w:rFonts w:ascii="Arial" w:hAnsi="Arial" w:cs="Arial"/>
          <w:b/>
          <w:sz w:val="24"/>
          <w:szCs w:val="24"/>
        </w:rPr>
        <w:t xml:space="preserve"> Rate Zone (RZ)</w:t>
      </w:r>
      <w:r w:rsidR="00B71D9F">
        <w:rPr>
          <w:rFonts w:ascii="Arial" w:hAnsi="Arial" w:cs="Arial"/>
          <w:b/>
          <w:sz w:val="24"/>
          <w:szCs w:val="24"/>
        </w:rPr>
        <w:t>, Rate Generator Model, Tab 10</w:t>
      </w:r>
    </w:p>
    <w:p w14:paraId="3406907A" w14:textId="27B995C9" w:rsidR="00B71D9F" w:rsidRDefault="00326ACE" w:rsidP="003603AB">
      <w:pPr>
        <w:rPr>
          <w:rFonts w:ascii="Arial" w:hAnsi="Arial" w:cs="Arial"/>
          <w:bCs/>
          <w:sz w:val="24"/>
          <w:szCs w:val="24"/>
        </w:rPr>
      </w:pPr>
      <w:r>
        <w:rPr>
          <w:rFonts w:ascii="Arial" w:hAnsi="Arial" w:cs="Arial"/>
          <w:bCs/>
          <w:sz w:val="24"/>
          <w:szCs w:val="24"/>
        </w:rPr>
        <w:t xml:space="preserve">In </w:t>
      </w:r>
      <w:r w:rsidR="00B71D9F">
        <w:rPr>
          <w:rFonts w:ascii="Arial" w:hAnsi="Arial" w:cs="Arial"/>
          <w:bCs/>
          <w:sz w:val="24"/>
          <w:szCs w:val="24"/>
        </w:rPr>
        <w:t xml:space="preserve">Tab 10 of Thunder Bay RZ’s Rate Generator Model, Synergy North provided consumption and demand volumes for interval and non-interval customers in the GS 50 to 999 kW rate class. However, as listed below, the sum of the two categories (interval and non-interval) does not match the </w:t>
      </w:r>
      <w:r w:rsidR="00ED04C0">
        <w:rPr>
          <w:rFonts w:ascii="Arial" w:hAnsi="Arial" w:cs="Arial"/>
          <w:bCs/>
          <w:sz w:val="24"/>
          <w:szCs w:val="24"/>
        </w:rPr>
        <w:t xml:space="preserve">class-total </w:t>
      </w:r>
      <w:r w:rsidR="00B71D9F">
        <w:rPr>
          <w:rFonts w:ascii="Arial" w:hAnsi="Arial" w:cs="Arial"/>
          <w:bCs/>
          <w:sz w:val="24"/>
          <w:szCs w:val="24"/>
        </w:rPr>
        <w:t>data reported in RRR.</w:t>
      </w:r>
    </w:p>
    <w:tbl>
      <w:tblPr>
        <w:tblStyle w:val="TableGrid"/>
        <w:tblW w:w="0" w:type="auto"/>
        <w:tblLook w:val="04A0" w:firstRow="1" w:lastRow="0" w:firstColumn="1" w:lastColumn="0" w:noHBand="0" w:noVBand="1"/>
      </w:tblPr>
      <w:tblGrid>
        <w:gridCol w:w="2337"/>
        <w:gridCol w:w="2337"/>
        <w:gridCol w:w="2338"/>
        <w:gridCol w:w="2338"/>
      </w:tblGrid>
      <w:tr w:rsidR="00B71D9F" w14:paraId="41EEBCE7" w14:textId="77777777" w:rsidTr="00B71D9F">
        <w:tc>
          <w:tcPr>
            <w:tcW w:w="2337" w:type="dxa"/>
          </w:tcPr>
          <w:p w14:paraId="1A5A9554" w14:textId="77777777" w:rsidR="00B71D9F" w:rsidRDefault="00B71D9F" w:rsidP="003603AB">
            <w:pPr>
              <w:rPr>
                <w:rFonts w:ascii="Arial" w:hAnsi="Arial" w:cs="Arial"/>
                <w:bCs/>
                <w:sz w:val="24"/>
                <w:szCs w:val="24"/>
              </w:rPr>
            </w:pPr>
          </w:p>
        </w:tc>
        <w:tc>
          <w:tcPr>
            <w:tcW w:w="2337" w:type="dxa"/>
          </w:tcPr>
          <w:p w14:paraId="201F6ED1" w14:textId="5F86AA49" w:rsidR="00B71D9F" w:rsidRDefault="00B71D9F" w:rsidP="003603AB">
            <w:pPr>
              <w:rPr>
                <w:rFonts w:ascii="Arial" w:hAnsi="Arial" w:cs="Arial"/>
                <w:bCs/>
                <w:sz w:val="24"/>
                <w:szCs w:val="24"/>
              </w:rPr>
            </w:pPr>
            <w:r>
              <w:rPr>
                <w:rFonts w:ascii="Arial" w:hAnsi="Arial" w:cs="Arial"/>
                <w:bCs/>
                <w:sz w:val="24"/>
                <w:szCs w:val="24"/>
              </w:rPr>
              <w:t>Rate Class</w:t>
            </w:r>
          </w:p>
        </w:tc>
        <w:tc>
          <w:tcPr>
            <w:tcW w:w="2338" w:type="dxa"/>
          </w:tcPr>
          <w:p w14:paraId="70EAFD59" w14:textId="488DD5E1" w:rsidR="00B71D9F" w:rsidRDefault="00B71D9F" w:rsidP="003603AB">
            <w:pPr>
              <w:rPr>
                <w:rFonts w:ascii="Arial" w:hAnsi="Arial" w:cs="Arial"/>
                <w:bCs/>
                <w:sz w:val="24"/>
                <w:szCs w:val="24"/>
              </w:rPr>
            </w:pPr>
            <w:r>
              <w:rPr>
                <w:rFonts w:ascii="Arial" w:hAnsi="Arial" w:cs="Arial"/>
                <w:bCs/>
                <w:sz w:val="24"/>
                <w:szCs w:val="24"/>
              </w:rPr>
              <w:t>kWh</w:t>
            </w:r>
          </w:p>
        </w:tc>
        <w:tc>
          <w:tcPr>
            <w:tcW w:w="2338" w:type="dxa"/>
          </w:tcPr>
          <w:p w14:paraId="02062CBB" w14:textId="003EC644" w:rsidR="00B71D9F" w:rsidRDefault="00B71D9F" w:rsidP="003603AB">
            <w:pPr>
              <w:rPr>
                <w:rFonts w:ascii="Arial" w:hAnsi="Arial" w:cs="Arial"/>
                <w:bCs/>
                <w:sz w:val="24"/>
                <w:szCs w:val="24"/>
              </w:rPr>
            </w:pPr>
            <w:r>
              <w:rPr>
                <w:rFonts w:ascii="Arial" w:hAnsi="Arial" w:cs="Arial"/>
                <w:bCs/>
                <w:sz w:val="24"/>
                <w:szCs w:val="24"/>
              </w:rPr>
              <w:t>kW</w:t>
            </w:r>
          </w:p>
        </w:tc>
      </w:tr>
      <w:tr w:rsidR="00B71D9F" w14:paraId="6767541A" w14:textId="77777777" w:rsidTr="00B71D9F">
        <w:tc>
          <w:tcPr>
            <w:tcW w:w="2337" w:type="dxa"/>
          </w:tcPr>
          <w:p w14:paraId="7ED1C1E2" w14:textId="0591C255" w:rsidR="00B71D9F" w:rsidRDefault="00B71D9F" w:rsidP="003603AB">
            <w:pPr>
              <w:rPr>
                <w:rFonts w:ascii="Arial" w:hAnsi="Arial" w:cs="Arial"/>
                <w:bCs/>
                <w:sz w:val="24"/>
                <w:szCs w:val="24"/>
              </w:rPr>
            </w:pPr>
            <w:r>
              <w:rPr>
                <w:rFonts w:ascii="Arial" w:hAnsi="Arial" w:cs="Arial"/>
                <w:bCs/>
                <w:sz w:val="24"/>
                <w:szCs w:val="24"/>
              </w:rPr>
              <w:t>Tab 10 RTSR</w:t>
            </w:r>
          </w:p>
        </w:tc>
        <w:tc>
          <w:tcPr>
            <w:tcW w:w="2337" w:type="dxa"/>
          </w:tcPr>
          <w:p w14:paraId="5007F562" w14:textId="0FEC3A63" w:rsidR="00B71D9F" w:rsidRDefault="00B71D9F" w:rsidP="003603AB">
            <w:pPr>
              <w:rPr>
                <w:rFonts w:ascii="Arial" w:hAnsi="Arial" w:cs="Arial"/>
                <w:bCs/>
                <w:sz w:val="24"/>
                <w:szCs w:val="24"/>
              </w:rPr>
            </w:pPr>
            <w:r>
              <w:rPr>
                <w:rFonts w:ascii="Arial" w:hAnsi="Arial" w:cs="Arial"/>
                <w:bCs/>
                <w:sz w:val="24"/>
                <w:szCs w:val="24"/>
              </w:rPr>
              <w:t>GS 50 to 999 kW</w:t>
            </w:r>
          </w:p>
        </w:tc>
        <w:tc>
          <w:tcPr>
            <w:tcW w:w="2338" w:type="dxa"/>
          </w:tcPr>
          <w:p w14:paraId="5C5D9B39" w14:textId="058E0A0E" w:rsidR="00B71D9F" w:rsidRDefault="00B71D9F" w:rsidP="003603AB">
            <w:pPr>
              <w:rPr>
                <w:rFonts w:ascii="Arial" w:hAnsi="Arial" w:cs="Arial"/>
                <w:bCs/>
                <w:sz w:val="24"/>
                <w:szCs w:val="24"/>
              </w:rPr>
            </w:pPr>
            <w:r>
              <w:rPr>
                <w:rFonts w:ascii="Arial" w:hAnsi="Arial" w:cs="Arial"/>
                <w:bCs/>
                <w:sz w:val="24"/>
                <w:szCs w:val="24"/>
              </w:rPr>
              <w:t>231,392,203</w:t>
            </w:r>
          </w:p>
        </w:tc>
        <w:tc>
          <w:tcPr>
            <w:tcW w:w="2338" w:type="dxa"/>
          </w:tcPr>
          <w:p w14:paraId="0E18C5C2" w14:textId="70B40DF9" w:rsidR="00B71D9F" w:rsidRDefault="00B71D9F" w:rsidP="003603AB">
            <w:pPr>
              <w:rPr>
                <w:rFonts w:ascii="Arial" w:hAnsi="Arial" w:cs="Arial"/>
                <w:bCs/>
                <w:sz w:val="24"/>
                <w:szCs w:val="24"/>
              </w:rPr>
            </w:pPr>
            <w:r>
              <w:rPr>
                <w:rFonts w:ascii="Arial" w:hAnsi="Arial" w:cs="Arial"/>
                <w:bCs/>
                <w:sz w:val="24"/>
                <w:szCs w:val="24"/>
              </w:rPr>
              <w:t>593,805</w:t>
            </w:r>
          </w:p>
        </w:tc>
      </w:tr>
      <w:tr w:rsidR="00B71D9F" w14:paraId="4DFF2EBF" w14:textId="77777777" w:rsidTr="00B71D9F">
        <w:tc>
          <w:tcPr>
            <w:tcW w:w="2337" w:type="dxa"/>
          </w:tcPr>
          <w:p w14:paraId="0212653B" w14:textId="11E5AB05" w:rsidR="00B71D9F" w:rsidRDefault="00B71D9F" w:rsidP="003603AB">
            <w:pPr>
              <w:rPr>
                <w:rFonts w:ascii="Arial" w:hAnsi="Arial" w:cs="Arial"/>
                <w:bCs/>
                <w:sz w:val="24"/>
                <w:szCs w:val="24"/>
              </w:rPr>
            </w:pPr>
            <w:r>
              <w:rPr>
                <w:rFonts w:ascii="Arial" w:hAnsi="Arial" w:cs="Arial"/>
                <w:bCs/>
                <w:sz w:val="24"/>
                <w:szCs w:val="24"/>
              </w:rPr>
              <w:t>Tab 4 RRR Billing Determinants</w:t>
            </w:r>
          </w:p>
        </w:tc>
        <w:tc>
          <w:tcPr>
            <w:tcW w:w="2337" w:type="dxa"/>
          </w:tcPr>
          <w:p w14:paraId="16C23E9C" w14:textId="7AE5C4C0" w:rsidR="00B71D9F" w:rsidRDefault="00B71D9F" w:rsidP="003603AB">
            <w:pPr>
              <w:rPr>
                <w:rFonts w:ascii="Arial" w:hAnsi="Arial" w:cs="Arial"/>
                <w:bCs/>
                <w:sz w:val="24"/>
                <w:szCs w:val="24"/>
              </w:rPr>
            </w:pPr>
            <w:r>
              <w:rPr>
                <w:rFonts w:ascii="Arial" w:hAnsi="Arial" w:cs="Arial"/>
                <w:bCs/>
                <w:sz w:val="24"/>
                <w:szCs w:val="24"/>
              </w:rPr>
              <w:t>GS 50 to 999 kW</w:t>
            </w:r>
          </w:p>
        </w:tc>
        <w:tc>
          <w:tcPr>
            <w:tcW w:w="2338" w:type="dxa"/>
          </w:tcPr>
          <w:p w14:paraId="34E8A6AA" w14:textId="7B3F9B31" w:rsidR="00B71D9F" w:rsidRDefault="00B71D9F" w:rsidP="003603AB">
            <w:pPr>
              <w:rPr>
                <w:rFonts w:ascii="Arial" w:hAnsi="Arial" w:cs="Arial"/>
                <w:bCs/>
                <w:sz w:val="24"/>
                <w:szCs w:val="24"/>
              </w:rPr>
            </w:pPr>
            <w:r>
              <w:rPr>
                <w:rFonts w:ascii="Arial" w:hAnsi="Arial" w:cs="Arial"/>
                <w:bCs/>
                <w:sz w:val="24"/>
                <w:szCs w:val="24"/>
              </w:rPr>
              <w:t>231,532,219</w:t>
            </w:r>
          </w:p>
        </w:tc>
        <w:tc>
          <w:tcPr>
            <w:tcW w:w="2338" w:type="dxa"/>
          </w:tcPr>
          <w:p w14:paraId="5C4E96E1" w14:textId="097711AD" w:rsidR="00B71D9F" w:rsidRDefault="00B71D9F" w:rsidP="003603AB">
            <w:pPr>
              <w:rPr>
                <w:rFonts w:ascii="Arial" w:hAnsi="Arial" w:cs="Arial"/>
                <w:bCs/>
                <w:sz w:val="24"/>
                <w:szCs w:val="24"/>
              </w:rPr>
            </w:pPr>
            <w:r>
              <w:rPr>
                <w:rFonts w:ascii="Arial" w:hAnsi="Arial" w:cs="Arial"/>
                <w:bCs/>
                <w:sz w:val="24"/>
                <w:szCs w:val="24"/>
              </w:rPr>
              <w:t>576,024</w:t>
            </w:r>
          </w:p>
        </w:tc>
      </w:tr>
    </w:tbl>
    <w:p w14:paraId="558339D6" w14:textId="0AE5B7B2" w:rsidR="00B71D9F" w:rsidRDefault="00B71D9F" w:rsidP="003603AB">
      <w:pPr>
        <w:rPr>
          <w:rFonts w:ascii="Arial" w:hAnsi="Arial" w:cs="Arial"/>
          <w:bCs/>
          <w:sz w:val="24"/>
          <w:szCs w:val="24"/>
        </w:rPr>
      </w:pPr>
    </w:p>
    <w:p w14:paraId="29C4D0F4" w14:textId="23980A0F" w:rsidR="00B71D9F" w:rsidRPr="004F262F" w:rsidRDefault="00B71D9F" w:rsidP="004F262F">
      <w:pPr>
        <w:pStyle w:val="ListParagraph"/>
        <w:numPr>
          <w:ilvl w:val="0"/>
          <w:numId w:val="30"/>
        </w:numPr>
        <w:rPr>
          <w:rFonts w:ascii="Arial" w:hAnsi="Arial" w:cs="Arial"/>
          <w:bCs/>
          <w:sz w:val="24"/>
          <w:szCs w:val="24"/>
        </w:rPr>
      </w:pPr>
      <w:r w:rsidRPr="004F262F">
        <w:rPr>
          <w:rFonts w:ascii="Arial" w:hAnsi="Arial" w:cs="Arial"/>
          <w:bCs/>
          <w:sz w:val="24"/>
          <w:szCs w:val="24"/>
        </w:rPr>
        <w:t>Please review and update the consumption and demand billing determinant values for GS 50 to 999 kW class in Tab 10.</w:t>
      </w:r>
    </w:p>
    <w:p w14:paraId="3AB9DD87" w14:textId="49D3292F" w:rsidR="00F8277D" w:rsidRDefault="00460161" w:rsidP="00F8277D">
      <w:pPr>
        <w:contextualSpacing/>
        <w:rPr>
          <w:rFonts w:ascii="Arial" w:hAnsi="Arial" w:cs="Arial"/>
          <w:b/>
          <w:sz w:val="24"/>
          <w:szCs w:val="24"/>
        </w:rPr>
      </w:pPr>
      <w:r>
        <w:rPr>
          <w:rFonts w:ascii="Arial" w:hAnsi="Arial" w:cs="Arial"/>
          <w:b/>
          <w:sz w:val="24"/>
          <w:szCs w:val="24"/>
        </w:rPr>
        <w:t>S</w:t>
      </w:r>
      <w:r w:rsidR="00F8277D">
        <w:rPr>
          <w:rFonts w:ascii="Arial" w:hAnsi="Arial" w:cs="Arial"/>
          <w:b/>
          <w:sz w:val="24"/>
          <w:szCs w:val="24"/>
        </w:rPr>
        <w:t>taff Question-</w:t>
      </w:r>
      <w:r w:rsidR="003027EC">
        <w:rPr>
          <w:rFonts w:ascii="Arial" w:hAnsi="Arial" w:cs="Arial"/>
          <w:b/>
          <w:sz w:val="24"/>
          <w:szCs w:val="24"/>
        </w:rPr>
        <w:t>2</w:t>
      </w:r>
    </w:p>
    <w:p w14:paraId="2532C5A1" w14:textId="41CE0755" w:rsidR="00F8277D" w:rsidRDefault="00F8277D" w:rsidP="00F8277D">
      <w:pPr>
        <w:rPr>
          <w:rFonts w:ascii="Arial" w:hAnsi="Arial" w:cs="Arial"/>
          <w:b/>
          <w:sz w:val="24"/>
          <w:szCs w:val="24"/>
        </w:rPr>
      </w:pPr>
      <w:r>
        <w:rPr>
          <w:rFonts w:ascii="Arial" w:hAnsi="Arial" w:cs="Arial"/>
          <w:b/>
          <w:sz w:val="24"/>
          <w:szCs w:val="24"/>
        </w:rPr>
        <w:t>Ref:</w:t>
      </w:r>
      <w:r w:rsidR="002A3700">
        <w:rPr>
          <w:rFonts w:ascii="Arial" w:hAnsi="Arial" w:cs="Arial"/>
          <w:b/>
          <w:sz w:val="24"/>
          <w:szCs w:val="24"/>
        </w:rPr>
        <w:tab/>
        <w:t xml:space="preserve">Thunder Bay </w:t>
      </w:r>
      <w:r w:rsidR="00B95041">
        <w:rPr>
          <w:rFonts w:ascii="Arial" w:hAnsi="Arial" w:cs="Arial"/>
          <w:b/>
          <w:sz w:val="24"/>
          <w:szCs w:val="24"/>
        </w:rPr>
        <w:t>RZ</w:t>
      </w:r>
      <w:r w:rsidR="00F67227">
        <w:rPr>
          <w:rFonts w:ascii="Arial" w:hAnsi="Arial" w:cs="Arial"/>
          <w:b/>
          <w:sz w:val="24"/>
          <w:szCs w:val="24"/>
        </w:rPr>
        <w:t xml:space="preserve"> and Kenora RZ, </w:t>
      </w:r>
      <w:r>
        <w:rPr>
          <w:rFonts w:ascii="Arial" w:hAnsi="Arial" w:cs="Arial"/>
          <w:b/>
          <w:sz w:val="24"/>
          <w:szCs w:val="24"/>
        </w:rPr>
        <w:t>Rate Generator Model</w:t>
      </w:r>
      <w:r w:rsidR="005A364E">
        <w:rPr>
          <w:rFonts w:ascii="Arial" w:hAnsi="Arial" w:cs="Arial"/>
          <w:b/>
          <w:sz w:val="24"/>
          <w:szCs w:val="24"/>
        </w:rPr>
        <w:t>s</w:t>
      </w:r>
      <w:r w:rsidR="00B95041">
        <w:rPr>
          <w:rFonts w:ascii="Arial" w:hAnsi="Arial" w:cs="Arial"/>
          <w:b/>
          <w:sz w:val="24"/>
          <w:szCs w:val="24"/>
        </w:rPr>
        <w:t xml:space="preserve">, </w:t>
      </w:r>
      <w:r w:rsidR="002A3700">
        <w:rPr>
          <w:rFonts w:ascii="Arial" w:hAnsi="Arial" w:cs="Arial"/>
          <w:b/>
          <w:sz w:val="24"/>
          <w:szCs w:val="24"/>
        </w:rPr>
        <w:t xml:space="preserve">Tab 3 Continuity Schedule, </w:t>
      </w:r>
      <w:r w:rsidR="00F67227">
        <w:rPr>
          <w:rFonts w:ascii="Arial" w:hAnsi="Arial" w:cs="Arial"/>
          <w:b/>
          <w:sz w:val="24"/>
          <w:szCs w:val="24"/>
        </w:rPr>
        <w:t>Discrepancies between RRR and Continuity Schedule</w:t>
      </w:r>
      <w:r w:rsidR="00EC5D17">
        <w:rPr>
          <w:rFonts w:ascii="Arial" w:hAnsi="Arial" w:cs="Arial"/>
          <w:b/>
          <w:sz w:val="24"/>
          <w:szCs w:val="24"/>
        </w:rPr>
        <w:t xml:space="preserve"> (column BV)</w:t>
      </w:r>
    </w:p>
    <w:p w14:paraId="2A43848B" w14:textId="53D7361E" w:rsidR="005A364E" w:rsidRDefault="005A364E" w:rsidP="006D3D07">
      <w:pPr>
        <w:rPr>
          <w:rFonts w:ascii="Arial" w:hAnsi="Arial" w:cs="Arial"/>
          <w:bCs/>
          <w:sz w:val="24"/>
          <w:szCs w:val="24"/>
        </w:rPr>
      </w:pPr>
      <w:r>
        <w:rPr>
          <w:rFonts w:ascii="Arial" w:hAnsi="Arial" w:cs="Arial"/>
          <w:bCs/>
          <w:sz w:val="24"/>
          <w:szCs w:val="24"/>
        </w:rPr>
        <w:t>It’s noted th</w:t>
      </w:r>
      <w:r w:rsidR="002A3700">
        <w:rPr>
          <w:rFonts w:ascii="Arial" w:hAnsi="Arial" w:cs="Arial"/>
          <w:bCs/>
          <w:sz w:val="24"/>
          <w:szCs w:val="24"/>
        </w:rPr>
        <w:t>at</w:t>
      </w:r>
      <w:r w:rsidR="00EC5D17">
        <w:rPr>
          <w:rFonts w:ascii="Arial" w:hAnsi="Arial" w:cs="Arial"/>
          <w:bCs/>
          <w:sz w:val="24"/>
          <w:szCs w:val="24"/>
        </w:rPr>
        <w:t xml:space="preserve"> before filing of this IRM application,</w:t>
      </w:r>
      <w:r w:rsidR="002A3700">
        <w:rPr>
          <w:rFonts w:ascii="Arial" w:hAnsi="Arial" w:cs="Arial"/>
          <w:bCs/>
          <w:sz w:val="24"/>
          <w:szCs w:val="24"/>
        </w:rPr>
        <w:t xml:space="preserve"> Synergy North ha</w:t>
      </w:r>
      <w:r w:rsidR="00EC5D17">
        <w:rPr>
          <w:rFonts w:ascii="Arial" w:hAnsi="Arial" w:cs="Arial"/>
          <w:bCs/>
          <w:sz w:val="24"/>
          <w:szCs w:val="24"/>
        </w:rPr>
        <w:t>d</w:t>
      </w:r>
      <w:r w:rsidR="002A3700">
        <w:rPr>
          <w:rFonts w:ascii="Arial" w:hAnsi="Arial" w:cs="Arial"/>
          <w:bCs/>
          <w:sz w:val="24"/>
          <w:szCs w:val="24"/>
        </w:rPr>
        <w:t xml:space="preserve"> requested OEB staff to </w:t>
      </w:r>
      <w:r w:rsidR="00EC5D17">
        <w:rPr>
          <w:rFonts w:ascii="Arial" w:hAnsi="Arial" w:cs="Arial"/>
          <w:bCs/>
          <w:sz w:val="24"/>
          <w:szCs w:val="24"/>
        </w:rPr>
        <w:t xml:space="preserve">make the following changes in column BV of the Continuity Schedules. </w:t>
      </w:r>
      <w:r w:rsidR="002A3700">
        <w:rPr>
          <w:rFonts w:ascii="Arial" w:hAnsi="Arial" w:cs="Arial"/>
          <w:bCs/>
          <w:sz w:val="24"/>
          <w:szCs w:val="24"/>
        </w:rPr>
        <w:t>The balances in column BV should match the balances</w:t>
      </w:r>
      <w:r w:rsidR="00EC5D17">
        <w:rPr>
          <w:rFonts w:ascii="Arial" w:hAnsi="Arial" w:cs="Arial"/>
          <w:bCs/>
          <w:sz w:val="24"/>
          <w:szCs w:val="24"/>
        </w:rPr>
        <w:t xml:space="preserve"> that distributor reported</w:t>
      </w:r>
      <w:r w:rsidR="002A3700">
        <w:rPr>
          <w:rFonts w:ascii="Arial" w:hAnsi="Arial" w:cs="Arial"/>
          <w:bCs/>
          <w:sz w:val="24"/>
          <w:szCs w:val="24"/>
        </w:rPr>
        <w:t xml:space="preserve"> in the RRR system. </w:t>
      </w:r>
    </w:p>
    <w:p w14:paraId="1F19E534" w14:textId="1A35014E" w:rsidR="00EC5D17" w:rsidRPr="00EC5D17" w:rsidRDefault="00EC5D17" w:rsidP="00EC5D17">
      <w:pPr>
        <w:rPr>
          <w:rFonts w:ascii="Arial" w:hAnsi="Arial" w:cs="Arial"/>
          <w:bCs/>
          <w:sz w:val="24"/>
          <w:szCs w:val="24"/>
          <w:u w:val="single"/>
        </w:rPr>
      </w:pPr>
      <w:r w:rsidRPr="00EC5D17">
        <w:rPr>
          <w:rFonts w:ascii="Arial" w:hAnsi="Arial" w:cs="Arial"/>
          <w:bCs/>
          <w:sz w:val="24"/>
          <w:szCs w:val="24"/>
          <w:u w:val="single"/>
        </w:rPr>
        <w:t>Kenora RZ:</w:t>
      </w:r>
    </w:p>
    <w:p w14:paraId="3F7AB151" w14:textId="5F23317E" w:rsidR="00EC5D17" w:rsidRPr="00EC5D17" w:rsidRDefault="00EC5D17" w:rsidP="00EC5D17">
      <w:pPr>
        <w:rPr>
          <w:rFonts w:ascii="Arial" w:hAnsi="Arial" w:cs="Arial"/>
          <w:bCs/>
          <w:sz w:val="24"/>
          <w:szCs w:val="24"/>
        </w:rPr>
      </w:pPr>
      <w:r w:rsidRPr="00EC5D17">
        <w:rPr>
          <w:rFonts w:ascii="Arial" w:hAnsi="Arial" w:cs="Arial"/>
          <w:bCs/>
          <w:sz w:val="24"/>
          <w:szCs w:val="24"/>
        </w:rPr>
        <w:t>Acc</w:t>
      </w:r>
      <w:r>
        <w:rPr>
          <w:rFonts w:ascii="Arial" w:hAnsi="Arial" w:cs="Arial"/>
          <w:bCs/>
          <w:sz w:val="24"/>
          <w:szCs w:val="24"/>
        </w:rPr>
        <w:t>oun</w:t>
      </w:r>
      <w:r w:rsidRPr="00EC5D17">
        <w:rPr>
          <w:rFonts w:ascii="Arial" w:hAnsi="Arial" w:cs="Arial"/>
          <w:bCs/>
          <w:sz w:val="24"/>
          <w:szCs w:val="24"/>
        </w:rPr>
        <w:t>t 1586:  From $231,964 to $(1,945)</w:t>
      </w:r>
    </w:p>
    <w:p w14:paraId="60F13775" w14:textId="642EA3E2" w:rsidR="00EC5D17" w:rsidRPr="00EC5D17" w:rsidRDefault="00EC5D17" w:rsidP="00EC5D17">
      <w:pPr>
        <w:rPr>
          <w:rFonts w:ascii="Arial" w:hAnsi="Arial" w:cs="Arial"/>
          <w:bCs/>
          <w:sz w:val="24"/>
          <w:szCs w:val="24"/>
        </w:rPr>
      </w:pPr>
      <w:r w:rsidRPr="00EC5D17">
        <w:rPr>
          <w:rFonts w:ascii="Arial" w:hAnsi="Arial" w:cs="Arial"/>
          <w:bCs/>
          <w:sz w:val="24"/>
          <w:szCs w:val="24"/>
        </w:rPr>
        <w:t>Acc</w:t>
      </w:r>
      <w:r>
        <w:rPr>
          <w:rFonts w:ascii="Arial" w:hAnsi="Arial" w:cs="Arial"/>
          <w:bCs/>
          <w:sz w:val="24"/>
          <w:szCs w:val="24"/>
        </w:rPr>
        <w:t>oun</w:t>
      </w:r>
      <w:r w:rsidRPr="00EC5D17">
        <w:rPr>
          <w:rFonts w:ascii="Arial" w:hAnsi="Arial" w:cs="Arial"/>
          <w:bCs/>
          <w:sz w:val="24"/>
          <w:szCs w:val="24"/>
        </w:rPr>
        <w:t>t 1589:  From $(240,149)</w:t>
      </w:r>
      <w:r>
        <w:rPr>
          <w:rFonts w:ascii="Arial" w:hAnsi="Arial" w:cs="Arial"/>
          <w:bCs/>
          <w:sz w:val="24"/>
          <w:szCs w:val="24"/>
        </w:rPr>
        <w:t xml:space="preserve"> </w:t>
      </w:r>
      <w:r w:rsidRPr="00EC5D17">
        <w:rPr>
          <w:rFonts w:ascii="Arial" w:hAnsi="Arial" w:cs="Arial"/>
          <w:bCs/>
          <w:sz w:val="24"/>
          <w:szCs w:val="24"/>
        </w:rPr>
        <w:t>to $(116,123)</w:t>
      </w:r>
    </w:p>
    <w:p w14:paraId="25002299" w14:textId="79B76A11" w:rsidR="00EC5D17" w:rsidRPr="00EC5D17" w:rsidRDefault="00EC5D17" w:rsidP="00EC5D17">
      <w:pPr>
        <w:rPr>
          <w:rFonts w:ascii="Arial" w:hAnsi="Arial" w:cs="Arial"/>
          <w:bCs/>
          <w:sz w:val="24"/>
          <w:szCs w:val="24"/>
          <w:u w:val="single"/>
        </w:rPr>
      </w:pPr>
      <w:r w:rsidRPr="00EC5D17">
        <w:rPr>
          <w:rFonts w:ascii="Arial" w:hAnsi="Arial" w:cs="Arial"/>
          <w:bCs/>
          <w:sz w:val="24"/>
          <w:szCs w:val="24"/>
          <w:u w:val="single"/>
        </w:rPr>
        <w:t>Thunder Bay RZ:</w:t>
      </w:r>
    </w:p>
    <w:p w14:paraId="56F6825F" w14:textId="02440833" w:rsidR="00EC5D17" w:rsidRDefault="00EC5D17" w:rsidP="00EC5D17">
      <w:pPr>
        <w:rPr>
          <w:rFonts w:ascii="Arial" w:hAnsi="Arial" w:cs="Arial"/>
          <w:bCs/>
          <w:sz w:val="24"/>
          <w:szCs w:val="24"/>
        </w:rPr>
      </w:pPr>
      <w:r w:rsidRPr="00EC5D17">
        <w:rPr>
          <w:rFonts w:ascii="Arial" w:hAnsi="Arial" w:cs="Arial"/>
          <w:bCs/>
          <w:sz w:val="24"/>
          <w:szCs w:val="24"/>
        </w:rPr>
        <w:lastRenderedPageBreak/>
        <w:t>Acc</w:t>
      </w:r>
      <w:r>
        <w:rPr>
          <w:rFonts w:ascii="Arial" w:hAnsi="Arial" w:cs="Arial"/>
          <w:bCs/>
          <w:sz w:val="24"/>
          <w:szCs w:val="24"/>
        </w:rPr>
        <w:t>oun</w:t>
      </w:r>
      <w:r w:rsidRPr="00EC5D17">
        <w:rPr>
          <w:rFonts w:ascii="Arial" w:hAnsi="Arial" w:cs="Arial"/>
          <w:bCs/>
          <w:sz w:val="24"/>
          <w:szCs w:val="24"/>
        </w:rPr>
        <w:t>t 1589: From $0 to $(457,369)</w:t>
      </w:r>
    </w:p>
    <w:p w14:paraId="4A9C308E" w14:textId="78375E85" w:rsidR="00EC5D17" w:rsidRDefault="00EC5D17" w:rsidP="0044682C">
      <w:pPr>
        <w:pStyle w:val="ListParagraph"/>
        <w:numPr>
          <w:ilvl w:val="0"/>
          <w:numId w:val="3"/>
        </w:numPr>
        <w:contextualSpacing w:val="0"/>
        <w:rPr>
          <w:rFonts w:ascii="Arial" w:hAnsi="Arial" w:cs="Arial"/>
          <w:bCs/>
          <w:sz w:val="24"/>
          <w:szCs w:val="24"/>
        </w:rPr>
      </w:pPr>
      <w:r>
        <w:rPr>
          <w:rFonts w:ascii="Arial" w:hAnsi="Arial" w:cs="Arial"/>
          <w:bCs/>
          <w:sz w:val="24"/>
          <w:szCs w:val="24"/>
        </w:rPr>
        <w:t xml:space="preserve">Please review and confirm which value is the correct balance for each above noted account. </w:t>
      </w:r>
    </w:p>
    <w:p w14:paraId="3E64CB3A" w14:textId="233F63A3" w:rsidR="00EC5D17" w:rsidRPr="00C64D19" w:rsidRDefault="00EC5D17" w:rsidP="0044682C">
      <w:pPr>
        <w:pStyle w:val="ListParagraph"/>
        <w:numPr>
          <w:ilvl w:val="0"/>
          <w:numId w:val="3"/>
        </w:numPr>
        <w:rPr>
          <w:rFonts w:ascii="Arial" w:hAnsi="Arial" w:cs="Arial"/>
          <w:bCs/>
          <w:sz w:val="24"/>
          <w:szCs w:val="24"/>
        </w:rPr>
      </w:pPr>
      <w:r>
        <w:rPr>
          <w:rFonts w:ascii="Arial" w:hAnsi="Arial" w:cs="Arial"/>
          <w:bCs/>
          <w:sz w:val="24"/>
          <w:szCs w:val="24"/>
        </w:rPr>
        <w:t xml:space="preserve">Please make necessary revision in the RRR system or the Continuity Schedule so that the balances are consistent.  </w:t>
      </w:r>
    </w:p>
    <w:p w14:paraId="1E68B8DB" w14:textId="25B7E6CB" w:rsidR="00484452" w:rsidRDefault="00484452" w:rsidP="0048445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3</w:t>
      </w:r>
    </w:p>
    <w:p w14:paraId="32885E16" w14:textId="42121A11" w:rsidR="00484452" w:rsidRDefault="00484452" w:rsidP="00484452">
      <w:pPr>
        <w:rPr>
          <w:rFonts w:ascii="Arial" w:hAnsi="Arial" w:cs="Arial"/>
          <w:b/>
          <w:sz w:val="24"/>
          <w:szCs w:val="24"/>
        </w:rPr>
      </w:pPr>
      <w:r>
        <w:rPr>
          <w:rFonts w:ascii="Arial" w:hAnsi="Arial" w:cs="Arial"/>
          <w:b/>
          <w:sz w:val="24"/>
          <w:szCs w:val="24"/>
        </w:rPr>
        <w:t>Ref:</w:t>
      </w:r>
      <w:r w:rsidR="00C64D19">
        <w:rPr>
          <w:rFonts w:ascii="Arial" w:hAnsi="Arial" w:cs="Arial"/>
          <w:b/>
          <w:sz w:val="24"/>
          <w:szCs w:val="24"/>
        </w:rPr>
        <w:tab/>
        <w:t>Thunder Bay RZ and Kenora RZ, Rate Generator Models, Tab 3 Continuity Schedule, 2021 year-end balance in Account 1580 sub-account CBR Class B</w:t>
      </w:r>
      <w:r>
        <w:rPr>
          <w:rFonts w:ascii="Arial" w:hAnsi="Arial" w:cs="Arial"/>
          <w:b/>
          <w:sz w:val="24"/>
          <w:szCs w:val="24"/>
        </w:rPr>
        <w:t xml:space="preserve"> </w:t>
      </w:r>
    </w:p>
    <w:p w14:paraId="4FBA3E91" w14:textId="6F316FA5" w:rsidR="00C64D19" w:rsidRDefault="00C64D19" w:rsidP="00484452">
      <w:pPr>
        <w:rPr>
          <w:rFonts w:ascii="Arial" w:hAnsi="Arial" w:cs="Arial"/>
          <w:bCs/>
          <w:sz w:val="24"/>
          <w:szCs w:val="24"/>
        </w:rPr>
      </w:pPr>
      <w:r>
        <w:rPr>
          <w:rFonts w:ascii="Arial" w:hAnsi="Arial" w:cs="Arial"/>
          <w:bCs/>
          <w:sz w:val="24"/>
          <w:szCs w:val="24"/>
        </w:rPr>
        <w:t>Synergy North reported a total credit balance of $457,369 and a total credit balance of $17,275 as of year-end 2021 in Account 1580 sub-account CBR Class B, in the Continuity Schedules for Thunder Bay RZ and Kenora RZ respectively. However, for the same sub-accounts, Synergy North reported $0 for both RZs in the RRR system.</w:t>
      </w:r>
    </w:p>
    <w:p w14:paraId="75A20CB4" w14:textId="3BC3FC0B" w:rsidR="00910138" w:rsidRDefault="00484452" w:rsidP="0044682C">
      <w:pPr>
        <w:pStyle w:val="ListParagraph"/>
        <w:numPr>
          <w:ilvl w:val="0"/>
          <w:numId w:val="1"/>
        </w:numPr>
        <w:contextualSpacing w:val="0"/>
        <w:rPr>
          <w:rFonts w:ascii="Arial" w:hAnsi="Arial" w:cs="Arial"/>
          <w:bCs/>
          <w:sz w:val="24"/>
          <w:szCs w:val="24"/>
        </w:rPr>
      </w:pPr>
      <w:r w:rsidRPr="0028414A">
        <w:rPr>
          <w:rFonts w:ascii="Arial" w:hAnsi="Arial" w:cs="Arial"/>
          <w:bCs/>
          <w:sz w:val="24"/>
          <w:szCs w:val="24"/>
        </w:rPr>
        <w:t xml:space="preserve">Please </w:t>
      </w:r>
      <w:r w:rsidR="00C64D19">
        <w:rPr>
          <w:rFonts w:ascii="Arial" w:hAnsi="Arial" w:cs="Arial"/>
          <w:bCs/>
          <w:sz w:val="24"/>
          <w:szCs w:val="24"/>
        </w:rPr>
        <w:t>review and confirm the correct balances in this sub-account for both RZs. Please make necessary revisions in the RRR system and request OEB staff to make the same updates in column BV accordingly.</w:t>
      </w:r>
    </w:p>
    <w:p w14:paraId="68A9028B" w14:textId="3FDF6C8D" w:rsidR="00C64D19" w:rsidRPr="00347891" w:rsidRDefault="00C64D19" w:rsidP="0044682C">
      <w:pPr>
        <w:pStyle w:val="ListParagraph"/>
        <w:numPr>
          <w:ilvl w:val="0"/>
          <w:numId w:val="1"/>
        </w:numPr>
        <w:rPr>
          <w:rFonts w:ascii="Arial" w:hAnsi="Arial" w:cs="Arial"/>
          <w:bCs/>
          <w:sz w:val="24"/>
          <w:szCs w:val="24"/>
        </w:rPr>
      </w:pPr>
      <w:r>
        <w:rPr>
          <w:rFonts w:ascii="Arial" w:hAnsi="Arial" w:cs="Arial"/>
          <w:bCs/>
          <w:sz w:val="24"/>
          <w:szCs w:val="24"/>
        </w:rPr>
        <w:t>Please note that in the RRR system, the balance reported for control Account 1580 should include balance in sub-account 1580 CBR Class B. However, in the Continuity Schedule reporting, the control Account 1580 should exclude the balance in sub-account 1580 CBR Class B. Please make updates accordingly.</w:t>
      </w:r>
    </w:p>
    <w:p w14:paraId="69162C1E" w14:textId="5CD8D1E3" w:rsidR="001916B2" w:rsidRDefault="001916B2" w:rsidP="001916B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4</w:t>
      </w:r>
    </w:p>
    <w:p w14:paraId="12A77423" w14:textId="6BF97442" w:rsidR="001916B2" w:rsidRDefault="001916B2" w:rsidP="001916B2">
      <w:pPr>
        <w:rPr>
          <w:rFonts w:ascii="Arial" w:hAnsi="Arial" w:cs="Arial"/>
          <w:b/>
          <w:sz w:val="24"/>
          <w:szCs w:val="24"/>
        </w:rPr>
      </w:pPr>
      <w:r>
        <w:rPr>
          <w:rFonts w:ascii="Arial" w:hAnsi="Arial" w:cs="Arial"/>
          <w:b/>
          <w:sz w:val="24"/>
          <w:szCs w:val="24"/>
        </w:rPr>
        <w:t>Ref:</w:t>
      </w:r>
      <w:r w:rsidR="00701F1D">
        <w:rPr>
          <w:rFonts w:ascii="Arial" w:hAnsi="Arial" w:cs="Arial"/>
          <w:b/>
          <w:sz w:val="24"/>
          <w:szCs w:val="24"/>
        </w:rPr>
        <w:tab/>
      </w:r>
      <w:r w:rsidR="00454BB8">
        <w:rPr>
          <w:rFonts w:ascii="Arial" w:hAnsi="Arial" w:cs="Arial"/>
          <w:b/>
          <w:sz w:val="24"/>
          <w:szCs w:val="24"/>
        </w:rPr>
        <w:t xml:space="preserve">Thunder Bay </w:t>
      </w:r>
      <w:r>
        <w:rPr>
          <w:rFonts w:ascii="Arial" w:hAnsi="Arial" w:cs="Arial"/>
          <w:b/>
          <w:sz w:val="24"/>
          <w:szCs w:val="24"/>
        </w:rPr>
        <w:t xml:space="preserve">RZ, </w:t>
      </w:r>
      <w:r w:rsidR="00454BB8">
        <w:rPr>
          <w:rFonts w:ascii="Arial" w:hAnsi="Arial" w:cs="Arial"/>
          <w:b/>
          <w:sz w:val="24"/>
          <w:szCs w:val="24"/>
        </w:rPr>
        <w:t>Tab 3 Continuity Schedule, Account 1595 (2016)</w:t>
      </w:r>
    </w:p>
    <w:p w14:paraId="5887B774" w14:textId="5637BE96" w:rsidR="00347891" w:rsidRDefault="00454BB8" w:rsidP="001916B2">
      <w:pPr>
        <w:rPr>
          <w:rFonts w:ascii="Arial" w:hAnsi="Arial" w:cs="Arial"/>
          <w:bCs/>
          <w:sz w:val="24"/>
          <w:szCs w:val="24"/>
        </w:rPr>
      </w:pPr>
      <w:r>
        <w:rPr>
          <w:rFonts w:ascii="Arial" w:hAnsi="Arial" w:cs="Arial"/>
          <w:bCs/>
          <w:sz w:val="24"/>
          <w:szCs w:val="24"/>
        </w:rPr>
        <w:t>In this application, Synergy North is requesting to dispose a credit balance of $2,537 in Account 1595 (2016). Synergy North disposed of the residual balance in Account 1595 (2016) in its 2019 IRM proceeding (EB-2018-0069). According to the Chapter 3 Filing Requirements (and note 3 on Tab 3 Continuity Schedule), any vintage year of Account 1595 is only to be disposed once on a final basis. No further dispositions of these accounts are generally expected.</w:t>
      </w:r>
      <w:r w:rsidR="00347891">
        <w:rPr>
          <w:rFonts w:ascii="Arial" w:hAnsi="Arial" w:cs="Arial"/>
          <w:bCs/>
          <w:sz w:val="24"/>
          <w:szCs w:val="24"/>
        </w:rPr>
        <w:t xml:space="preserve"> </w:t>
      </w:r>
    </w:p>
    <w:p w14:paraId="1DAAB7C2" w14:textId="6D0A80DD" w:rsidR="00347891" w:rsidRPr="00F5358F" w:rsidRDefault="00454BB8" w:rsidP="0044682C">
      <w:pPr>
        <w:pStyle w:val="ListParagraph"/>
        <w:numPr>
          <w:ilvl w:val="0"/>
          <w:numId w:val="2"/>
        </w:numPr>
        <w:contextualSpacing w:val="0"/>
        <w:rPr>
          <w:rFonts w:ascii="Arial" w:hAnsi="Arial" w:cs="Arial"/>
          <w:bCs/>
          <w:sz w:val="24"/>
          <w:szCs w:val="24"/>
        </w:rPr>
      </w:pPr>
      <w:r>
        <w:rPr>
          <w:rFonts w:ascii="Arial" w:hAnsi="Arial" w:cs="Arial"/>
          <w:bCs/>
          <w:sz w:val="24"/>
          <w:szCs w:val="24"/>
        </w:rPr>
        <w:t xml:space="preserve">The amount that is requested for disposition in Account 1595 (2016) is immaterial. Also, Synergy North has disposed of </w:t>
      </w:r>
      <w:r w:rsidR="00F5358F">
        <w:rPr>
          <w:rFonts w:ascii="Arial" w:hAnsi="Arial" w:cs="Arial"/>
          <w:bCs/>
          <w:sz w:val="24"/>
          <w:szCs w:val="24"/>
        </w:rPr>
        <w:t xml:space="preserve">the residual balance in this account in previous proceeding. </w:t>
      </w:r>
      <w:r w:rsidR="005703ED">
        <w:rPr>
          <w:rFonts w:ascii="Arial" w:hAnsi="Arial" w:cs="Arial"/>
          <w:bCs/>
          <w:sz w:val="24"/>
          <w:szCs w:val="24"/>
        </w:rPr>
        <w:t xml:space="preserve">Please </w:t>
      </w:r>
      <w:r w:rsidR="00F5358F">
        <w:rPr>
          <w:rFonts w:ascii="Arial" w:hAnsi="Arial" w:cs="Arial"/>
          <w:bCs/>
          <w:sz w:val="24"/>
          <w:szCs w:val="24"/>
        </w:rPr>
        <w:t xml:space="preserve">confirm if Synergy North proposes to remove the balances in this account (and corresponding request for disposition). </w:t>
      </w:r>
      <w:r w:rsidRPr="00F5358F">
        <w:rPr>
          <w:rFonts w:ascii="Arial" w:hAnsi="Arial" w:cs="Arial"/>
          <w:bCs/>
          <w:sz w:val="24"/>
          <w:szCs w:val="24"/>
        </w:rPr>
        <w:t>If not, p</w:t>
      </w:r>
      <w:r w:rsidR="00D3291C" w:rsidRPr="00F5358F">
        <w:rPr>
          <w:rFonts w:ascii="Arial" w:hAnsi="Arial" w:cs="Arial"/>
          <w:bCs/>
          <w:sz w:val="24"/>
          <w:szCs w:val="24"/>
        </w:rPr>
        <w:t>lease explain why</w:t>
      </w:r>
      <w:r w:rsidR="00273084" w:rsidRPr="00F5358F">
        <w:rPr>
          <w:rFonts w:ascii="Arial" w:hAnsi="Arial" w:cs="Arial"/>
          <w:bCs/>
          <w:sz w:val="24"/>
          <w:szCs w:val="24"/>
        </w:rPr>
        <w:t>.</w:t>
      </w:r>
    </w:p>
    <w:p w14:paraId="21FF6A57" w14:textId="3AEC821C" w:rsidR="000920C4" w:rsidRDefault="000920C4" w:rsidP="000920C4">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5</w:t>
      </w:r>
    </w:p>
    <w:p w14:paraId="04B39A48" w14:textId="4E40B966" w:rsidR="00273084" w:rsidRDefault="00701F1D" w:rsidP="000920C4">
      <w:pPr>
        <w:rPr>
          <w:rFonts w:ascii="Arial" w:hAnsi="Arial" w:cs="Arial"/>
          <w:b/>
          <w:sz w:val="24"/>
          <w:szCs w:val="24"/>
        </w:rPr>
      </w:pPr>
      <w:r>
        <w:rPr>
          <w:rFonts w:ascii="Arial" w:hAnsi="Arial" w:cs="Arial"/>
          <w:b/>
          <w:bCs/>
          <w:sz w:val="24"/>
          <w:szCs w:val="24"/>
        </w:rPr>
        <w:lastRenderedPageBreak/>
        <w:t>Ref:</w:t>
      </w:r>
      <w:r w:rsidR="006D3D07">
        <w:rPr>
          <w:rFonts w:ascii="Arial" w:hAnsi="Arial" w:cs="Arial"/>
          <w:b/>
          <w:bCs/>
          <w:sz w:val="24"/>
          <w:szCs w:val="24"/>
        </w:rPr>
        <w:tab/>
      </w:r>
      <w:r>
        <w:rPr>
          <w:rFonts w:ascii="Arial" w:hAnsi="Arial" w:cs="Arial"/>
          <w:b/>
          <w:bCs/>
          <w:sz w:val="24"/>
          <w:szCs w:val="24"/>
        </w:rPr>
        <w:t xml:space="preserve">Thunder Bay RZ, Rate </w:t>
      </w:r>
      <w:r w:rsidRPr="00701F1D">
        <w:rPr>
          <w:rFonts w:ascii="Arial" w:hAnsi="Arial" w:cs="Arial"/>
          <w:b/>
          <w:bCs/>
          <w:sz w:val="24"/>
          <w:szCs w:val="24"/>
        </w:rPr>
        <w:t>Generator Model, Tab 3 Continuity Schedule</w:t>
      </w:r>
      <w:r w:rsidR="006D3D07">
        <w:rPr>
          <w:rFonts w:ascii="Arial" w:hAnsi="Arial" w:cs="Arial"/>
          <w:b/>
          <w:bCs/>
          <w:sz w:val="24"/>
          <w:szCs w:val="24"/>
        </w:rPr>
        <w:t>, Account 1595 (2022)</w:t>
      </w:r>
    </w:p>
    <w:p w14:paraId="0E424FF4" w14:textId="03F5818B" w:rsidR="00701F1D" w:rsidRDefault="00701F1D" w:rsidP="00701F1D">
      <w:pPr>
        <w:rPr>
          <w:rFonts w:ascii="Arial" w:hAnsi="Arial" w:cs="Arial"/>
          <w:sz w:val="24"/>
          <w:szCs w:val="24"/>
        </w:rPr>
      </w:pPr>
      <w:r>
        <w:rPr>
          <w:rFonts w:ascii="Arial" w:hAnsi="Arial" w:cs="Arial"/>
          <w:sz w:val="24"/>
          <w:szCs w:val="24"/>
        </w:rPr>
        <w:t xml:space="preserve">Account 1595 (2022) has a balance of ($257,504) as </w:t>
      </w:r>
      <w:proofErr w:type="gramStart"/>
      <w:r>
        <w:rPr>
          <w:rFonts w:ascii="Arial" w:hAnsi="Arial" w:cs="Arial"/>
          <w:sz w:val="24"/>
          <w:szCs w:val="24"/>
        </w:rPr>
        <w:t>at</w:t>
      </w:r>
      <w:proofErr w:type="gramEnd"/>
      <w:r>
        <w:rPr>
          <w:rFonts w:ascii="Arial" w:hAnsi="Arial" w:cs="Arial"/>
          <w:sz w:val="24"/>
          <w:szCs w:val="24"/>
        </w:rPr>
        <w:t xml:space="preserve"> December 31, 2021 and a variance of the Account 1595 (2022) in cell BW37. </w:t>
      </w:r>
    </w:p>
    <w:p w14:paraId="77905E66" w14:textId="46445994" w:rsidR="006D3D07" w:rsidRPr="006D3D07" w:rsidRDefault="006D3D07" w:rsidP="0044682C">
      <w:pPr>
        <w:pStyle w:val="ListParagraph"/>
        <w:numPr>
          <w:ilvl w:val="0"/>
          <w:numId w:val="4"/>
        </w:numPr>
        <w:contextualSpacing w:val="0"/>
        <w:rPr>
          <w:rFonts w:ascii="Arial" w:hAnsi="Arial" w:cs="Arial"/>
          <w:sz w:val="24"/>
          <w:szCs w:val="24"/>
        </w:rPr>
      </w:pPr>
      <w:r>
        <w:rPr>
          <w:rFonts w:ascii="Arial" w:hAnsi="Arial" w:cs="Arial"/>
          <w:sz w:val="24"/>
          <w:szCs w:val="24"/>
        </w:rPr>
        <w:t>In columns BM and BN, Synergy North entered the total disposition amounts (for principal and interest) in row 37. These total disposition balances should be recorded in 1595 sub-account with a reversed sign. Please review and make necessary revisions.</w:t>
      </w:r>
    </w:p>
    <w:p w14:paraId="6E4AEA30" w14:textId="449A8941" w:rsidR="00701F1D" w:rsidRDefault="00701F1D" w:rsidP="0044682C">
      <w:pPr>
        <w:pStyle w:val="ListParagraph"/>
        <w:numPr>
          <w:ilvl w:val="0"/>
          <w:numId w:val="4"/>
        </w:numPr>
        <w:spacing w:after="160" w:line="257" w:lineRule="auto"/>
        <w:contextualSpacing w:val="0"/>
        <w:rPr>
          <w:rFonts w:ascii="Arial" w:hAnsi="Arial" w:cs="Arial"/>
          <w:sz w:val="24"/>
          <w:szCs w:val="24"/>
        </w:rPr>
      </w:pPr>
      <w:r>
        <w:rPr>
          <w:rFonts w:ascii="Arial" w:hAnsi="Arial" w:cs="Arial"/>
          <w:sz w:val="24"/>
          <w:szCs w:val="24"/>
        </w:rPr>
        <w:t>Please explain why there is balance in 2021 for Account 1595 (2022) and explain the variance noted above and revise the evidence as needed.</w:t>
      </w:r>
    </w:p>
    <w:p w14:paraId="3DE30731" w14:textId="6344F2F7" w:rsidR="00F72718" w:rsidRDefault="00F72718" w:rsidP="00F72718">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6</w:t>
      </w:r>
    </w:p>
    <w:p w14:paraId="0A1FBE70" w14:textId="5D71586E" w:rsidR="00842C4E" w:rsidRDefault="00842C4E" w:rsidP="00842C4E">
      <w:pPr>
        <w:spacing w:after="0"/>
        <w:rPr>
          <w:rFonts w:ascii="Arial" w:hAnsi="Arial" w:cs="Arial"/>
          <w:b/>
          <w:bCs/>
          <w:sz w:val="24"/>
          <w:szCs w:val="24"/>
        </w:rPr>
      </w:pPr>
      <w:r w:rsidRPr="001439F3">
        <w:rPr>
          <w:rFonts w:ascii="Arial" w:hAnsi="Arial" w:cs="Arial"/>
          <w:b/>
          <w:bCs/>
          <w:sz w:val="24"/>
          <w:szCs w:val="24"/>
        </w:rPr>
        <w:t xml:space="preserve">Ref 1: Thunder Bay </w:t>
      </w:r>
      <w:r>
        <w:rPr>
          <w:rFonts w:ascii="Arial" w:hAnsi="Arial" w:cs="Arial"/>
          <w:b/>
          <w:bCs/>
          <w:sz w:val="24"/>
          <w:szCs w:val="24"/>
        </w:rPr>
        <w:t xml:space="preserve">RZ, </w:t>
      </w:r>
      <w:r w:rsidRPr="001439F3">
        <w:rPr>
          <w:rFonts w:ascii="Arial" w:hAnsi="Arial" w:cs="Arial"/>
          <w:b/>
          <w:bCs/>
          <w:sz w:val="24"/>
          <w:szCs w:val="24"/>
        </w:rPr>
        <w:t xml:space="preserve">Rate Generator Model, Tab 3 Continuity Schedule </w:t>
      </w:r>
    </w:p>
    <w:p w14:paraId="7ED97798" w14:textId="678DD6CC" w:rsidR="00842C4E" w:rsidRDefault="00842C4E" w:rsidP="00842C4E">
      <w:pPr>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2</w:t>
      </w:r>
      <w:r w:rsidRPr="00CC2285">
        <w:rPr>
          <w:rFonts w:ascii="Arial" w:hAnsi="Arial" w:cs="Arial"/>
          <w:b/>
          <w:bCs/>
          <w:sz w:val="24"/>
          <w:szCs w:val="24"/>
        </w:rPr>
        <w:t xml:space="preserve">: </w:t>
      </w:r>
      <w:r>
        <w:rPr>
          <w:rFonts w:ascii="Arial" w:hAnsi="Arial" w:cs="Arial"/>
          <w:b/>
          <w:bCs/>
          <w:sz w:val="24"/>
          <w:szCs w:val="24"/>
        </w:rPr>
        <w:t xml:space="preserve">Thunder Bay RZ, GA Analysis </w:t>
      </w:r>
      <w:proofErr w:type="spellStart"/>
      <w:r>
        <w:rPr>
          <w:rFonts w:ascii="Arial" w:hAnsi="Arial" w:cs="Arial"/>
          <w:b/>
          <w:bCs/>
          <w:sz w:val="24"/>
          <w:szCs w:val="24"/>
        </w:rPr>
        <w:t>Workform</w:t>
      </w:r>
      <w:proofErr w:type="spellEnd"/>
      <w:r>
        <w:rPr>
          <w:rFonts w:ascii="Arial" w:hAnsi="Arial" w:cs="Arial"/>
          <w:b/>
          <w:bCs/>
          <w:sz w:val="24"/>
          <w:szCs w:val="24"/>
        </w:rPr>
        <w:t xml:space="preserve"> – Tab GA 2021 </w:t>
      </w:r>
    </w:p>
    <w:p w14:paraId="77CE0929" w14:textId="35B52FE9" w:rsidR="00842C4E" w:rsidRDefault="00842C4E" w:rsidP="00842C4E">
      <w:pPr>
        <w:rPr>
          <w:rFonts w:ascii="Arial" w:hAnsi="Arial" w:cs="Arial"/>
          <w:sz w:val="24"/>
          <w:szCs w:val="24"/>
        </w:rPr>
      </w:pPr>
      <w:r w:rsidRPr="001753B6">
        <w:rPr>
          <w:rFonts w:ascii="Arial" w:hAnsi="Arial" w:cs="Arial"/>
          <w:sz w:val="24"/>
          <w:szCs w:val="24"/>
        </w:rPr>
        <w:t>Net Change in Principal Balance in the GL (</w:t>
      </w:r>
      <w:r>
        <w:rPr>
          <w:rFonts w:ascii="Arial" w:hAnsi="Arial" w:cs="Arial"/>
          <w:sz w:val="24"/>
          <w:szCs w:val="24"/>
        </w:rPr>
        <w:t xml:space="preserve">cell C75) of ($480,884) in Reference 2 does not agree to the transaction debit/credit (cell BD29) during 2021 of $(996,194) in Reference 1 as ($480,884) appears to include the amount approved for disposition. </w:t>
      </w:r>
    </w:p>
    <w:p w14:paraId="36426F58" w14:textId="77777777" w:rsidR="00842C4E" w:rsidRPr="004F262F" w:rsidRDefault="00842C4E" w:rsidP="004F262F">
      <w:pPr>
        <w:pStyle w:val="ListParagraph"/>
        <w:numPr>
          <w:ilvl w:val="0"/>
          <w:numId w:val="31"/>
        </w:numPr>
        <w:rPr>
          <w:rFonts w:ascii="Arial" w:hAnsi="Arial" w:cs="Arial"/>
          <w:sz w:val="24"/>
          <w:szCs w:val="24"/>
        </w:rPr>
      </w:pPr>
      <w:r w:rsidRPr="004F262F">
        <w:rPr>
          <w:rFonts w:ascii="Arial" w:hAnsi="Arial" w:cs="Arial"/>
          <w:sz w:val="24"/>
          <w:szCs w:val="24"/>
        </w:rPr>
        <w:t xml:space="preserve">Please revise the evidence as needed so that the Net Change in Principal Balance in the GL (cell C75) in Reference 2 represents the only transactions in 2021. Please reassess the results of the GA 2021 tab. </w:t>
      </w:r>
    </w:p>
    <w:p w14:paraId="2BB534B1" w14:textId="71BA0EAE" w:rsidR="00842C4E" w:rsidRPr="00842C4E" w:rsidRDefault="00842C4E" w:rsidP="00842C4E">
      <w:pPr>
        <w:contextualSpacing/>
        <w:rPr>
          <w:rFonts w:ascii="Arial" w:hAnsi="Arial" w:cs="Arial"/>
          <w:b/>
          <w:sz w:val="24"/>
          <w:szCs w:val="24"/>
        </w:rPr>
      </w:pPr>
      <w:r>
        <w:rPr>
          <w:rFonts w:ascii="Arial" w:hAnsi="Arial" w:cs="Arial"/>
          <w:b/>
          <w:sz w:val="24"/>
          <w:szCs w:val="24"/>
        </w:rPr>
        <w:t>Staff Question-7</w:t>
      </w:r>
    </w:p>
    <w:p w14:paraId="7E52E539" w14:textId="4AF33B05" w:rsidR="00842C4E" w:rsidRDefault="00842C4E" w:rsidP="00842C4E">
      <w:pPr>
        <w:rPr>
          <w:rFonts w:ascii="Arial" w:hAnsi="Arial" w:cs="Arial"/>
          <w:b/>
          <w:bCs/>
          <w:sz w:val="24"/>
          <w:szCs w:val="24"/>
        </w:rPr>
      </w:pPr>
      <w:proofErr w:type="gramStart"/>
      <w:r w:rsidRPr="00CC2285">
        <w:rPr>
          <w:rFonts w:ascii="Arial" w:hAnsi="Arial" w:cs="Arial"/>
          <w:b/>
          <w:bCs/>
          <w:sz w:val="24"/>
          <w:szCs w:val="24"/>
        </w:rPr>
        <w:t>Ref</w:t>
      </w:r>
      <w:r>
        <w:rPr>
          <w:rFonts w:ascii="Arial" w:hAnsi="Arial" w:cs="Arial"/>
          <w:b/>
          <w:bCs/>
          <w:sz w:val="24"/>
          <w:szCs w:val="24"/>
        </w:rPr>
        <w:t xml:space="preserve"> </w:t>
      </w:r>
      <w:r w:rsidRPr="00CC2285">
        <w:rPr>
          <w:rFonts w:ascii="Arial" w:hAnsi="Arial" w:cs="Arial"/>
          <w:b/>
          <w:bCs/>
          <w:sz w:val="24"/>
          <w:szCs w:val="24"/>
        </w:rPr>
        <w:t>:</w:t>
      </w:r>
      <w:proofErr w:type="gramEnd"/>
      <w:r w:rsidRPr="00CC2285">
        <w:rPr>
          <w:rFonts w:ascii="Arial" w:hAnsi="Arial" w:cs="Arial"/>
          <w:b/>
          <w:bCs/>
          <w:sz w:val="24"/>
          <w:szCs w:val="24"/>
        </w:rPr>
        <w:t xml:space="preserve"> </w:t>
      </w:r>
      <w:r>
        <w:rPr>
          <w:rFonts w:ascii="Arial" w:hAnsi="Arial" w:cs="Arial"/>
          <w:b/>
          <w:bCs/>
          <w:sz w:val="24"/>
          <w:szCs w:val="24"/>
        </w:rPr>
        <w:t xml:space="preserve">Thunder Bay RZ, GA Analysis </w:t>
      </w:r>
      <w:proofErr w:type="spellStart"/>
      <w:r>
        <w:rPr>
          <w:rFonts w:ascii="Arial" w:hAnsi="Arial" w:cs="Arial"/>
          <w:b/>
          <w:bCs/>
          <w:sz w:val="24"/>
          <w:szCs w:val="24"/>
        </w:rPr>
        <w:t>Workform</w:t>
      </w:r>
      <w:proofErr w:type="spellEnd"/>
      <w:r>
        <w:rPr>
          <w:rFonts w:ascii="Arial" w:hAnsi="Arial" w:cs="Arial"/>
          <w:b/>
          <w:bCs/>
          <w:sz w:val="24"/>
          <w:szCs w:val="24"/>
        </w:rPr>
        <w:t xml:space="preserve"> – Tab GA 2021</w:t>
      </w:r>
    </w:p>
    <w:p w14:paraId="4D30C75F" w14:textId="77777777" w:rsidR="00842C4E" w:rsidRDefault="00842C4E" w:rsidP="00842C4E">
      <w:pPr>
        <w:rPr>
          <w:rFonts w:ascii="Arial" w:hAnsi="Arial" w:cs="Arial"/>
          <w:sz w:val="24"/>
          <w:szCs w:val="24"/>
        </w:rPr>
      </w:pPr>
      <w:r>
        <w:rPr>
          <w:rFonts w:ascii="Arial" w:hAnsi="Arial" w:cs="Arial"/>
          <w:sz w:val="24"/>
          <w:szCs w:val="24"/>
        </w:rPr>
        <w:t>Ref h</w:t>
      </w:r>
      <w:r w:rsidRPr="00AC37A6">
        <w:rPr>
          <w:rFonts w:ascii="Arial" w:hAnsi="Arial" w:cs="Arial"/>
          <w:sz w:val="24"/>
          <w:szCs w:val="24"/>
        </w:rPr>
        <w:t xml:space="preserve">as </w:t>
      </w:r>
      <w:r>
        <w:rPr>
          <w:rFonts w:ascii="Arial" w:hAnsi="Arial" w:cs="Arial"/>
          <w:sz w:val="24"/>
          <w:szCs w:val="24"/>
        </w:rPr>
        <w:t>one</w:t>
      </w:r>
      <w:r w:rsidRPr="00AC37A6">
        <w:rPr>
          <w:rFonts w:ascii="Arial" w:hAnsi="Arial" w:cs="Arial"/>
          <w:sz w:val="24"/>
          <w:szCs w:val="24"/>
        </w:rPr>
        <w:t xml:space="preserve"> reconciling item: </w:t>
      </w:r>
      <w:r>
        <w:rPr>
          <w:rFonts w:ascii="Arial" w:hAnsi="Arial" w:cs="Arial"/>
          <w:sz w:val="24"/>
          <w:szCs w:val="24"/>
        </w:rPr>
        <w:t>#5 “Impacts of GA deferral/recovery” of $361,454 (Cell C83).</w:t>
      </w:r>
    </w:p>
    <w:p w14:paraId="635D7787" w14:textId="77777777" w:rsidR="00842C4E" w:rsidRPr="001439F3" w:rsidRDefault="00842C4E" w:rsidP="0044682C">
      <w:pPr>
        <w:pStyle w:val="ListParagraph"/>
        <w:numPr>
          <w:ilvl w:val="0"/>
          <w:numId w:val="5"/>
        </w:numPr>
        <w:contextualSpacing w:val="0"/>
        <w:rPr>
          <w:rFonts w:ascii="Arial" w:hAnsi="Arial" w:cs="Arial"/>
          <w:sz w:val="24"/>
          <w:szCs w:val="24"/>
        </w:rPr>
      </w:pPr>
      <w:r w:rsidRPr="001439F3">
        <w:rPr>
          <w:rFonts w:ascii="Arial" w:hAnsi="Arial" w:cs="Arial"/>
          <w:sz w:val="24"/>
          <w:szCs w:val="24"/>
        </w:rPr>
        <w:t>Please quantify the reconciling item #5.</w:t>
      </w:r>
    </w:p>
    <w:p w14:paraId="13BF6517" w14:textId="77777777" w:rsidR="00842C4E" w:rsidRPr="001439F3" w:rsidRDefault="00842C4E" w:rsidP="0044682C">
      <w:pPr>
        <w:pStyle w:val="ListParagraph"/>
        <w:numPr>
          <w:ilvl w:val="0"/>
          <w:numId w:val="5"/>
        </w:numPr>
        <w:contextualSpacing w:val="0"/>
        <w:rPr>
          <w:rFonts w:ascii="Arial" w:hAnsi="Arial" w:cs="Arial"/>
          <w:sz w:val="24"/>
          <w:szCs w:val="24"/>
        </w:rPr>
      </w:pPr>
      <w:r w:rsidRPr="001439F3">
        <w:rPr>
          <w:rFonts w:ascii="Arial" w:hAnsi="Arial" w:cs="Arial"/>
          <w:sz w:val="24"/>
          <w:szCs w:val="24"/>
        </w:rPr>
        <w:t xml:space="preserve">Please complete the volume variance table (Cell G55:K57) </w:t>
      </w:r>
    </w:p>
    <w:p w14:paraId="3095DE2D" w14:textId="77777777" w:rsidR="00842C4E" w:rsidRPr="001439F3" w:rsidRDefault="00842C4E" w:rsidP="0044682C">
      <w:pPr>
        <w:pStyle w:val="ListParagraph"/>
        <w:numPr>
          <w:ilvl w:val="0"/>
          <w:numId w:val="5"/>
        </w:numPr>
        <w:contextualSpacing w:val="0"/>
        <w:rPr>
          <w:rFonts w:ascii="Arial" w:hAnsi="Arial" w:cs="Arial"/>
          <w:sz w:val="24"/>
          <w:szCs w:val="24"/>
        </w:rPr>
      </w:pPr>
      <w:r w:rsidRPr="001439F3">
        <w:rPr>
          <w:rFonts w:ascii="Arial" w:hAnsi="Arial" w:cs="Arial"/>
          <w:sz w:val="24"/>
          <w:szCs w:val="24"/>
        </w:rPr>
        <w:t>Please explain the difference in loss factor (Cell K63)</w:t>
      </w:r>
      <w:r>
        <w:rPr>
          <w:rFonts w:ascii="Arial" w:hAnsi="Arial" w:cs="Arial"/>
          <w:sz w:val="24"/>
          <w:szCs w:val="24"/>
        </w:rPr>
        <w:t xml:space="preserve"> as it is greater than 1%</w:t>
      </w:r>
      <w:r w:rsidRPr="001439F3">
        <w:rPr>
          <w:rFonts w:ascii="Arial" w:hAnsi="Arial" w:cs="Arial"/>
          <w:sz w:val="24"/>
          <w:szCs w:val="24"/>
        </w:rPr>
        <w:t>.</w:t>
      </w:r>
    </w:p>
    <w:p w14:paraId="03382EC4" w14:textId="5A1C90E1" w:rsidR="00842C4E" w:rsidRPr="00842C4E" w:rsidRDefault="00842C4E" w:rsidP="00842C4E">
      <w:pPr>
        <w:contextualSpacing/>
        <w:rPr>
          <w:rFonts w:ascii="Arial" w:hAnsi="Arial" w:cs="Arial"/>
          <w:b/>
          <w:sz w:val="24"/>
          <w:szCs w:val="24"/>
        </w:rPr>
      </w:pPr>
      <w:r>
        <w:rPr>
          <w:rFonts w:ascii="Arial" w:hAnsi="Arial" w:cs="Arial"/>
          <w:b/>
          <w:sz w:val="24"/>
          <w:szCs w:val="24"/>
        </w:rPr>
        <w:t>Staff Question-8</w:t>
      </w:r>
    </w:p>
    <w:p w14:paraId="7DF94030" w14:textId="77777777" w:rsidR="00842C4E" w:rsidRDefault="00842C4E" w:rsidP="00842C4E">
      <w:pPr>
        <w:contextualSpacing/>
        <w:rPr>
          <w:rFonts w:ascii="Arial" w:hAnsi="Arial" w:cs="Arial"/>
          <w:b/>
          <w:bCs/>
          <w:sz w:val="24"/>
          <w:szCs w:val="24"/>
        </w:rPr>
      </w:pPr>
      <w:r w:rsidRPr="005D375B">
        <w:rPr>
          <w:rFonts w:ascii="Arial" w:hAnsi="Arial" w:cs="Arial"/>
          <w:b/>
          <w:bCs/>
          <w:sz w:val="24"/>
          <w:szCs w:val="24"/>
        </w:rPr>
        <w:t xml:space="preserve">Ref 1: Manager’s Summary, page </w:t>
      </w:r>
      <w:r>
        <w:rPr>
          <w:rFonts w:ascii="Arial" w:hAnsi="Arial" w:cs="Arial"/>
          <w:b/>
          <w:bCs/>
          <w:sz w:val="24"/>
          <w:szCs w:val="24"/>
        </w:rPr>
        <w:t>20</w:t>
      </w:r>
    </w:p>
    <w:p w14:paraId="5E206A38" w14:textId="676EEF02" w:rsidR="00842C4E" w:rsidRDefault="00842C4E" w:rsidP="00842C4E">
      <w:pPr>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2</w:t>
      </w:r>
      <w:r w:rsidRPr="00CC2285">
        <w:rPr>
          <w:rFonts w:ascii="Arial" w:hAnsi="Arial" w:cs="Arial"/>
          <w:b/>
          <w:bCs/>
          <w:sz w:val="24"/>
          <w:szCs w:val="24"/>
        </w:rPr>
        <w:t xml:space="preserve">: </w:t>
      </w:r>
      <w:r>
        <w:rPr>
          <w:rFonts w:ascii="Arial" w:hAnsi="Arial" w:cs="Arial"/>
          <w:b/>
          <w:bCs/>
          <w:sz w:val="24"/>
          <w:szCs w:val="24"/>
        </w:rPr>
        <w:t xml:space="preserve">Thunder Bay RZ, GA Analysis </w:t>
      </w:r>
      <w:proofErr w:type="spellStart"/>
      <w:r>
        <w:rPr>
          <w:rFonts w:ascii="Arial" w:hAnsi="Arial" w:cs="Arial"/>
          <w:b/>
          <w:bCs/>
          <w:sz w:val="24"/>
          <w:szCs w:val="24"/>
        </w:rPr>
        <w:t>Workform</w:t>
      </w:r>
      <w:proofErr w:type="spellEnd"/>
      <w:r>
        <w:rPr>
          <w:rFonts w:ascii="Arial" w:hAnsi="Arial" w:cs="Arial"/>
          <w:b/>
          <w:bCs/>
          <w:sz w:val="24"/>
          <w:szCs w:val="24"/>
        </w:rPr>
        <w:t xml:space="preserve"> – Tab Account 1588</w:t>
      </w:r>
    </w:p>
    <w:p w14:paraId="1C97DF0E" w14:textId="77777777" w:rsidR="00842C4E" w:rsidRDefault="00842C4E" w:rsidP="00842C4E">
      <w:pPr>
        <w:rPr>
          <w:rFonts w:ascii="Arial" w:hAnsi="Arial" w:cs="Arial"/>
          <w:sz w:val="24"/>
          <w:szCs w:val="24"/>
        </w:rPr>
      </w:pPr>
      <w:r>
        <w:rPr>
          <w:rFonts w:ascii="Arial" w:hAnsi="Arial" w:cs="Arial"/>
          <w:sz w:val="24"/>
          <w:szCs w:val="24"/>
        </w:rPr>
        <w:t>Reference 1 states that “</w:t>
      </w:r>
      <w:r w:rsidRPr="00E37FF3">
        <w:rPr>
          <w:rFonts w:ascii="Arial" w:hAnsi="Arial" w:cs="Arial"/>
          <w:sz w:val="24"/>
          <w:szCs w:val="24"/>
        </w:rPr>
        <w:t xml:space="preserve">There is a variance in the Thunder Bay Zone in the GA Analysis </w:t>
      </w:r>
      <w:proofErr w:type="spellStart"/>
      <w:r w:rsidRPr="00E37FF3">
        <w:rPr>
          <w:rFonts w:ascii="Arial" w:hAnsi="Arial" w:cs="Arial"/>
          <w:sz w:val="24"/>
          <w:szCs w:val="24"/>
        </w:rPr>
        <w:t>Workform</w:t>
      </w:r>
      <w:proofErr w:type="spellEnd"/>
      <w:r w:rsidRPr="00E37FF3">
        <w:rPr>
          <w:rFonts w:ascii="Arial" w:hAnsi="Arial" w:cs="Arial"/>
          <w:sz w:val="24"/>
          <w:szCs w:val="24"/>
        </w:rPr>
        <w:t xml:space="preserve"> of (1.5%). This variance is the result of fluctuating loss factor </w:t>
      </w:r>
      <w:r w:rsidRPr="00E37FF3">
        <w:rPr>
          <w:rFonts w:ascii="Arial" w:hAnsi="Arial" w:cs="Arial"/>
          <w:sz w:val="24"/>
          <w:szCs w:val="24"/>
        </w:rPr>
        <w:lastRenderedPageBreak/>
        <w:t>impacts.</w:t>
      </w:r>
      <w:r>
        <w:rPr>
          <w:rFonts w:ascii="Arial" w:hAnsi="Arial" w:cs="Arial"/>
          <w:sz w:val="24"/>
          <w:szCs w:val="24"/>
        </w:rPr>
        <w:t>”  Reference 2 also states that “</w:t>
      </w:r>
      <w:r w:rsidRPr="009B2BAA">
        <w:rPr>
          <w:rFonts w:ascii="Arial" w:hAnsi="Arial" w:cs="Arial"/>
          <w:sz w:val="24"/>
          <w:szCs w:val="24"/>
        </w:rPr>
        <w:t>Total variance of 1.50% is likely due to difference between billed losses and actual losses</w:t>
      </w:r>
      <w:r>
        <w:rPr>
          <w:rFonts w:ascii="Arial" w:hAnsi="Arial" w:cs="Arial"/>
          <w:sz w:val="24"/>
          <w:szCs w:val="24"/>
        </w:rPr>
        <w:t xml:space="preserve">” </w:t>
      </w:r>
    </w:p>
    <w:p w14:paraId="0954E778" w14:textId="77777777" w:rsidR="00842C4E" w:rsidRPr="004F262F" w:rsidRDefault="00842C4E" w:rsidP="004F262F">
      <w:pPr>
        <w:pStyle w:val="ListParagraph"/>
        <w:numPr>
          <w:ilvl w:val="0"/>
          <w:numId w:val="32"/>
        </w:numPr>
        <w:rPr>
          <w:rFonts w:ascii="Arial" w:hAnsi="Arial" w:cs="Arial"/>
          <w:sz w:val="24"/>
          <w:szCs w:val="24"/>
        </w:rPr>
      </w:pPr>
      <w:r w:rsidRPr="004F262F">
        <w:rPr>
          <w:rFonts w:ascii="Arial" w:hAnsi="Arial" w:cs="Arial"/>
          <w:sz w:val="24"/>
          <w:szCs w:val="24"/>
        </w:rPr>
        <w:t>Please elaborate further of the causes of variance and provide an analysis showing the impact of the difference between billed and actual losses to Account 1588.</w:t>
      </w:r>
    </w:p>
    <w:p w14:paraId="3BAB915F" w14:textId="1F051291" w:rsidR="00842C4E" w:rsidRPr="00842C4E" w:rsidRDefault="00842C4E" w:rsidP="00842C4E">
      <w:pPr>
        <w:contextualSpacing/>
        <w:rPr>
          <w:rFonts w:ascii="Arial" w:hAnsi="Arial" w:cs="Arial"/>
          <w:b/>
          <w:sz w:val="24"/>
          <w:szCs w:val="24"/>
        </w:rPr>
      </w:pPr>
      <w:r>
        <w:rPr>
          <w:rFonts w:ascii="Arial" w:hAnsi="Arial" w:cs="Arial"/>
          <w:b/>
          <w:sz w:val="24"/>
          <w:szCs w:val="24"/>
        </w:rPr>
        <w:t>Staff Question-</w:t>
      </w:r>
      <w:r w:rsidR="00EC68F3">
        <w:rPr>
          <w:rFonts w:ascii="Arial" w:hAnsi="Arial" w:cs="Arial"/>
          <w:b/>
          <w:sz w:val="24"/>
          <w:szCs w:val="24"/>
        </w:rPr>
        <w:t>9</w:t>
      </w:r>
    </w:p>
    <w:p w14:paraId="46F028D3" w14:textId="77777777" w:rsidR="00842C4E" w:rsidRDefault="00842C4E" w:rsidP="00842C4E">
      <w:pPr>
        <w:contextualSpacing/>
        <w:rPr>
          <w:rFonts w:ascii="Arial" w:hAnsi="Arial" w:cs="Arial"/>
          <w:b/>
          <w:bCs/>
          <w:sz w:val="24"/>
          <w:szCs w:val="24"/>
        </w:rPr>
      </w:pPr>
      <w:r w:rsidRPr="005D375B">
        <w:rPr>
          <w:rFonts w:ascii="Arial" w:hAnsi="Arial" w:cs="Arial"/>
          <w:b/>
          <w:bCs/>
          <w:sz w:val="24"/>
          <w:szCs w:val="24"/>
        </w:rPr>
        <w:t xml:space="preserve">Ref 1: Manager’s Summary, page </w:t>
      </w:r>
      <w:r>
        <w:rPr>
          <w:rFonts w:ascii="Arial" w:hAnsi="Arial" w:cs="Arial"/>
          <w:b/>
          <w:bCs/>
          <w:sz w:val="24"/>
          <w:szCs w:val="24"/>
        </w:rPr>
        <w:t>19</w:t>
      </w:r>
    </w:p>
    <w:p w14:paraId="065AF3E8" w14:textId="77777777" w:rsidR="00842C4E" w:rsidRDefault="00842C4E" w:rsidP="00842C4E">
      <w:pPr>
        <w:contextualSpacing/>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2</w:t>
      </w:r>
      <w:r w:rsidRPr="00CC2285">
        <w:rPr>
          <w:rFonts w:ascii="Arial" w:hAnsi="Arial" w:cs="Arial"/>
          <w:b/>
          <w:bCs/>
          <w:sz w:val="24"/>
          <w:szCs w:val="24"/>
        </w:rPr>
        <w:t xml:space="preserve">: </w:t>
      </w:r>
      <w:r>
        <w:rPr>
          <w:rFonts w:ascii="Arial" w:hAnsi="Arial" w:cs="Arial"/>
          <w:b/>
          <w:bCs/>
          <w:sz w:val="24"/>
          <w:szCs w:val="24"/>
        </w:rPr>
        <w:t xml:space="preserve">Thunder Bay GA Analysis </w:t>
      </w:r>
      <w:proofErr w:type="spellStart"/>
      <w:r>
        <w:rPr>
          <w:rFonts w:ascii="Arial" w:hAnsi="Arial" w:cs="Arial"/>
          <w:b/>
          <w:bCs/>
          <w:sz w:val="24"/>
          <w:szCs w:val="24"/>
        </w:rPr>
        <w:t>Workform</w:t>
      </w:r>
      <w:proofErr w:type="spellEnd"/>
      <w:r>
        <w:rPr>
          <w:rFonts w:ascii="Arial" w:hAnsi="Arial" w:cs="Arial"/>
          <w:b/>
          <w:bCs/>
          <w:sz w:val="24"/>
          <w:szCs w:val="24"/>
        </w:rPr>
        <w:t xml:space="preserve"> – Tab GA 2021</w:t>
      </w:r>
    </w:p>
    <w:p w14:paraId="6A4BC92B" w14:textId="77777777" w:rsidR="00842C4E" w:rsidRDefault="00842C4E" w:rsidP="00842C4E">
      <w:pPr>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3</w:t>
      </w:r>
      <w:r w:rsidRPr="00CC2285">
        <w:rPr>
          <w:rFonts w:ascii="Arial" w:hAnsi="Arial" w:cs="Arial"/>
          <w:b/>
          <w:bCs/>
          <w:sz w:val="24"/>
          <w:szCs w:val="24"/>
        </w:rPr>
        <w:t xml:space="preserve">: </w:t>
      </w:r>
      <w:r>
        <w:rPr>
          <w:rFonts w:ascii="Arial" w:hAnsi="Arial" w:cs="Arial"/>
          <w:b/>
          <w:bCs/>
          <w:sz w:val="24"/>
          <w:szCs w:val="24"/>
        </w:rPr>
        <w:t xml:space="preserve">Kenora GA Analysis </w:t>
      </w:r>
      <w:proofErr w:type="spellStart"/>
      <w:r>
        <w:rPr>
          <w:rFonts w:ascii="Arial" w:hAnsi="Arial" w:cs="Arial"/>
          <w:b/>
          <w:bCs/>
          <w:sz w:val="24"/>
          <w:szCs w:val="24"/>
        </w:rPr>
        <w:t>Workform</w:t>
      </w:r>
      <w:proofErr w:type="spellEnd"/>
      <w:r>
        <w:rPr>
          <w:rFonts w:ascii="Arial" w:hAnsi="Arial" w:cs="Arial"/>
          <w:b/>
          <w:bCs/>
          <w:sz w:val="24"/>
          <w:szCs w:val="24"/>
        </w:rPr>
        <w:t xml:space="preserve"> – Tab GA 2021</w:t>
      </w:r>
    </w:p>
    <w:p w14:paraId="7871782B" w14:textId="77777777" w:rsidR="00842C4E" w:rsidRDefault="00842C4E" w:rsidP="00842C4E">
      <w:pPr>
        <w:rPr>
          <w:rFonts w:ascii="Arial" w:hAnsi="Arial" w:cs="Arial"/>
          <w:sz w:val="24"/>
          <w:szCs w:val="24"/>
        </w:rPr>
      </w:pPr>
      <w:r>
        <w:rPr>
          <w:rFonts w:ascii="Arial" w:hAnsi="Arial" w:cs="Arial"/>
          <w:sz w:val="24"/>
          <w:szCs w:val="24"/>
        </w:rPr>
        <w:t>Reference 1 states that “</w:t>
      </w:r>
      <w:r w:rsidRPr="0068746B">
        <w:rPr>
          <w:rFonts w:ascii="Arial" w:hAnsi="Arial" w:cs="Arial"/>
          <w:sz w:val="24"/>
          <w:szCs w:val="24"/>
        </w:rPr>
        <w:t>SYNERGY NORTH confirms that it uses the first estimate of global adjustment to bill its customers for both of its</w:t>
      </w:r>
      <w:r>
        <w:rPr>
          <w:rFonts w:ascii="Arial" w:hAnsi="Arial" w:cs="Arial"/>
          <w:sz w:val="24"/>
          <w:szCs w:val="24"/>
        </w:rPr>
        <w:t xml:space="preserve"> </w:t>
      </w:r>
      <w:r w:rsidRPr="0068746B">
        <w:rPr>
          <w:rFonts w:ascii="Arial" w:hAnsi="Arial" w:cs="Arial"/>
          <w:sz w:val="24"/>
          <w:szCs w:val="24"/>
        </w:rPr>
        <w:t>Rate Zones.</w:t>
      </w:r>
      <w:r>
        <w:rPr>
          <w:rFonts w:ascii="Arial" w:hAnsi="Arial" w:cs="Arial"/>
          <w:sz w:val="24"/>
          <w:szCs w:val="24"/>
        </w:rPr>
        <w:t>”. Reference 2 &amp; 3 state that “GA is billed on the second estimate”.</w:t>
      </w:r>
    </w:p>
    <w:p w14:paraId="341C0BFF" w14:textId="77777777" w:rsidR="00842C4E" w:rsidRPr="004F262F" w:rsidRDefault="00842C4E" w:rsidP="004F262F">
      <w:pPr>
        <w:pStyle w:val="ListParagraph"/>
        <w:numPr>
          <w:ilvl w:val="0"/>
          <w:numId w:val="33"/>
        </w:numPr>
        <w:rPr>
          <w:rFonts w:ascii="Arial" w:hAnsi="Arial" w:cs="Arial"/>
          <w:sz w:val="24"/>
          <w:szCs w:val="24"/>
        </w:rPr>
      </w:pPr>
      <w:r w:rsidRPr="004F262F">
        <w:rPr>
          <w:rFonts w:ascii="Arial" w:hAnsi="Arial" w:cs="Arial"/>
          <w:sz w:val="24"/>
          <w:szCs w:val="24"/>
        </w:rPr>
        <w:t xml:space="preserve">Please clarify and revise both GA Analysis </w:t>
      </w:r>
      <w:proofErr w:type="spellStart"/>
      <w:r w:rsidRPr="004F262F">
        <w:rPr>
          <w:rFonts w:ascii="Arial" w:hAnsi="Arial" w:cs="Arial"/>
          <w:sz w:val="24"/>
          <w:szCs w:val="24"/>
        </w:rPr>
        <w:t>Workforms</w:t>
      </w:r>
      <w:proofErr w:type="spellEnd"/>
      <w:r w:rsidRPr="004F262F">
        <w:rPr>
          <w:rFonts w:ascii="Arial" w:hAnsi="Arial" w:cs="Arial"/>
          <w:sz w:val="24"/>
          <w:szCs w:val="24"/>
        </w:rPr>
        <w:t xml:space="preserve"> or the Manager’s Summary as needed.</w:t>
      </w:r>
    </w:p>
    <w:p w14:paraId="78C214A4" w14:textId="3CF68C26" w:rsidR="00842C4E" w:rsidRPr="00842C4E" w:rsidRDefault="00842C4E" w:rsidP="00842C4E">
      <w:pPr>
        <w:contextualSpacing/>
        <w:rPr>
          <w:rFonts w:ascii="Arial" w:hAnsi="Arial" w:cs="Arial"/>
          <w:b/>
          <w:sz w:val="24"/>
          <w:szCs w:val="24"/>
        </w:rPr>
      </w:pPr>
      <w:r>
        <w:rPr>
          <w:rFonts w:ascii="Arial" w:hAnsi="Arial" w:cs="Arial"/>
          <w:b/>
          <w:sz w:val="24"/>
          <w:szCs w:val="24"/>
        </w:rPr>
        <w:t>Staff Question-</w:t>
      </w:r>
      <w:r w:rsidR="00EC68F3">
        <w:rPr>
          <w:rFonts w:ascii="Arial" w:hAnsi="Arial" w:cs="Arial"/>
          <w:b/>
          <w:sz w:val="24"/>
          <w:szCs w:val="24"/>
        </w:rPr>
        <w:t>10</w:t>
      </w:r>
    </w:p>
    <w:p w14:paraId="6480095E" w14:textId="3D891A04" w:rsidR="00842C4E" w:rsidRDefault="00842C4E" w:rsidP="00842C4E">
      <w:pPr>
        <w:rPr>
          <w:rFonts w:ascii="Arial" w:hAnsi="Arial" w:cs="Arial"/>
          <w:b/>
          <w:bCs/>
          <w:sz w:val="24"/>
          <w:szCs w:val="24"/>
        </w:rPr>
      </w:pPr>
      <w:r w:rsidRPr="00560CB7">
        <w:rPr>
          <w:rFonts w:ascii="Arial" w:hAnsi="Arial" w:cs="Arial"/>
          <w:b/>
          <w:bCs/>
          <w:sz w:val="24"/>
          <w:szCs w:val="24"/>
        </w:rPr>
        <w:t>Ref:</w:t>
      </w:r>
      <w:r>
        <w:rPr>
          <w:rFonts w:ascii="Arial" w:hAnsi="Arial" w:cs="Arial"/>
          <w:b/>
          <w:bCs/>
          <w:sz w:val="24"/>
          <w:szCs w:val="24"/>
        </w:rPr>
        <w:tab/>
      </w:r>
      <w:r w:rsidRPr="00560CB7">
        <w:rPr>
          <w:rFonts w:ascii="Arial" w:hAnsi="Arial" w:cs="Arial"/>
          <w:b/>
          <w:bCs/>
          <w:sz w:val="24"/>
          <w:szCs w:val="24"/>
        </w:rPr>
        <w:t xml:space="preserve">Kenora </w:t>
      </w:r>
      <w:r>
        <w:rPr>
          <w:rFonts w:ascii="Arial" w:hAnsi="Arial" w:cs="Arial"/>
          <w:b/>
          <w:bCs/>
          <w:sz w:val="24"/>
          <w:szCs w:val="24"/>
        </w:rPr>
        <w:t xml:space="preserve">RZ, </w:t>
      </w:r>
      <w:r w:rsidRPr="00560CB7">
        <w:rPr>
          <w:rFonts w:ascii="Arial" w:hAnsi="Arial" w:cs="Arial"/>
          <w:b/>
          <w:bCs/>
          <w:sz w:val="24"/>
          <w:szCs w:val="24"/>
        </w:rPr>
        <w:t xml:space="preserve">GA Analysis </w:t>
      </w:r>
      <w:proofErr w:type="spellStart"/>
      <w:r w:rsidRPr="00560CB7">
        <w:rPr>
          <w:rFonts w:ascii="Arial" w:hAnsi="Arial" w:cs="Arial"/>
          <w:b/>
          <w:bCs/>
          <w:sz w:val="24"/>
          <w:szCs w:val="24"/>
        </w:rPr>
        <w:t>Workform</w:t>
      </w:r>
      <w:proofErr w:type="spellEnd"/>
      <w:r w:rsidRPr="00560CB7">
        <w:rPr>
          <w:rFonts w:ascii="Arial" w:hAnsi="Arial" w:cs="Arial"/>
          <w:b/>
          <w:bCs/>
          <w:sz w:val="24"/>
          <w:szCs w:val="24"/>
        </w:rPr>
        <w:t xml:space="preserve"> – </w:t>
      </w:r>
      <w:r>
        <w:rPr>
          <w:rFonts w:ascii="Arial" w:hAnsi="Arial" w:cs="Arial"/>
          <w:b/>
          <w:bCs/>
          <w:sz w:val="24"/>
          <w:szCs w:val="24"/>
        </w:rPr>
        <w:t xml:space="preserve">Tab </w:t>
      </w:r>
      <w:r w:rsidRPr="00560CB7">
        <w:rPr>
          <w:rFonts w:ascii="Arial" w:hAnsi="Arial" w:cs="Arial"/>
          <w:b/>
          <w:bCs/>
          <w:sz w:val="24"/>
          <w:szCs w:val="24"/>
        </w:rPr>
        <w:t xml:space="preserve">2021 GA </w:t>
      </w:r>
    </w:p>
    <w:p w14:paraId="1EF45A9B" w14:textId="55FD7745" w:rsidR="00842C4E" w:rsidRPr="00560CB7" w:rsidRDefault="00842C4E" w:rsidP="00842C4E">
      <w:pPr>
        <w:rPr>
          <w:rFonts w:ascii="Arial" w:hAnsi="Arial" w:cs="Arial"/>
          <w:sz w:val="24"/>
          <w:szCs w:val="24"/>
        </w:rPr>
      </w:pPr>
      <w:r w:rsidRPr="00560CB7">
        <w:rPr>
          <w:rFonts w:ascii="Arial" w:hAnsi="Arial" w:cs="Arial"/>
          <w:sz w:val="24"/>
          <w:szCs w:val="24"/>
        </w:rPr>
        <w:t xml:space="preserve">OEB staff calculated the actual loss factor below based on information in the GA Analysis </w:t>
      </w:r>
      <w:proofErr w:type="spellStart"/>
      <w:r w:rsidRPr="00560CB7">
        <w:rPr>
          <w:rFonts w:ascii="Arial" w:hAnsi="Arial" w:cs="Arial"/>
          <w:sz w:val="24"/>
          <w:szCs w:val="24"/>
        </w:rPr>
        <w:t>Workform</w:t>
      </w:r>
      <w:proofErr w:type="spellEnd"/>
      <w:r w:rsidRPr="00560CB7">
        <w:rPr>
          <w:rFonts w:ascii="Arial" w:hAnsi="Arial" w:cs="Arial"/>
          <w:sz w:val="24"/>
          <w:szCs w:val="24"/>
        </w:rPr>
        <w:t xml:space="preserve">. Please comment on the reasonability of the calculated actual loss factor as compared to the actual losses that Synergy North Kenora </w:t>
      </w:r>
      <w:r>
        <w:rPr>
          <w:rFonts w:ascii="Arial" w:hAnsi="Arial" w:cs="Arial"/>
          <w:sz w:val="24"/>
          <w:szCs w:val="24"/>
        </w:rPr>
        <w:t xml:space="preserve">RZ </w:t>
      </w:r>
      <w:r w:rsidRPr="00560CB7">
        <w:rPr>
          <w:rFonts w:ascii="Arial" w:hAnsi="Arial" w:cs="Arial"/>
          <w:sz w:val="24"/>
          <w:szCs w:val="24"/>
        </w:rPr>
        <w:t xml:space="preserve">experiences. </w:t>
      </w:r>
    </w:p>
    <w:tbl>
      <w:tblPr>
        <w:tblW w:w="0" w:type="auto"/>
        <w:tblCellMar>
          <w:left w:w="0" w:type="dxa"/>
          <w:right w:w="0" w:type="dxa"/>
        </w:tblCellMar>
        <w:tblLook w:val="04A0" w:firstRow="1" w:lastRow="0" w:firstColumn="1" w:lastColumn="0" w:noHBand="0" w:noVBand="1"/>
      </w:tblPr>
      <w:tblGrid>
        <w:gridCol w:w="5030"/>
        <w:gridCol w:w="4230"/>
      </w:tblGrid>
      <w:tr w:rsidR="00842C4E" w:rsidRPr="00560CB7" w14:paraId="3A843255" w14:textId="77777777" w:rsidTr="00454043">
        <w:tc>
          <w:tcPr>
            <w:tcW w:w="50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49EAA" w14:textId="77777777" w:rsidR="00842C4E" w:rsidRPr="00560CB7" w:rsidRDefault="00842C4E" w:rsidP="00454043">
            <w:pPr>
              <w:spacing w:line="264" w:lineRule="auto"/>
              <w:rPr>
                <w:rFonts w:ascii="Arial" w:hAnsi="Arial" w:cs="Arial"/>
                <w:sz w:val="24"/>
                <w:szCs w:val="24"/>
                <w:highlight w:val="yellow"/>
              </w:rPr>
            </w:pP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795A2" w14:textId="77777777" w:rsidR="00842C4E" w:rsidRPr="00560CB7" w:rsidRDefault="00842C4E" w:rsidP="00454043">
            <w:pPr>
              <w:spacing w:line="264" w:lineRule="auto"/>
              <w:jc w:val="center"/>
              <w:rPr>
                <w:rFonts w:ascii="Arial" w:hAnsi="Arial" w:cs="Arial"/>
                <w:b/>
                <w:bCs/>
                <w:sz w:val="24"/>
                <w:szCs w:val="24"/>
              </w:rPr>
            </w:pPr>
            <w:r w:rsidRPr="00560CB7">
              <w:rPr>
                <w:rFonts w:ascii="Arial" w:hAnsi="Arial" w:cs="Arial"/>
                <w:b/>
                <w:bCs/>
                <w:sz w:val="24"/>
                <w:szCs w:val="24"/>
              </w:rPr>
              <w:t>2021</w:t>
            </w:r>
          </w:p>
        </w:tc>
      </w:tr>
      <w:tr w:rsidR="00842C4E" w:rsidRPr="00560CB7" w14:paraId="1ADB927E" w14:textId="77777777" w:rsidTr="00454043">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BAF7B" w14:textId="77777777" w:rsidR="00842C4E" w:rsidRPr="00560CB7" w:rsidRDefault="00842C4E" w:rsidP="00454043">
            <w:pPr>
              <w:spacing w:line="264" w:lineRule="auto"/>
              <w:rPr>
                <w:rFonts w:ascii="Arial" w:hAnsi="Arial" w:cs="Arial"/>
                <w:sz w:val="24"/>
                <w:szCs w:val="24"/>
                <w:highlight w:val="yellow"/>
              </w:rPr>
            </w:pPr>
            <w:r w:rsidRPr="00560CB7">
              <w:rPr>
                <w:rFonts w:ascii="Arial" w:hAnsi="Arial" w:cs="Arial"/>
                <w:sz w:val="24"/>
                <w:szCs w:val="24"/>
              </w:rPr>
              <w:t>Non-RPP retail kWh, including loss (A)</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15D80243" w14:textId="77777777" w:rsidR="00842C4E" w:rsidRPr="00560CB7" w:rsidRDefault="00842C4E" w:rsidP="00454043">
            <w:pPr>
              <w:spacing w:line="264" w:lineRule="auto"/>
              <w:jc w:val="center"/>
              <w:rPr>
                <w:rFonts w:ascii="Arial" w:hAnsi="Arial" w:cs="Arial"/>
                <w:sz w:val="24"/>
                <w:szCs w:val="24"/>
              </w:rPr>
            </w:pPr>
            <w:r w:rsidRPr="00560CB7">
              <w:rPr>
                <w:rFonts w:ascii="Arial" w:hAnsi="Arial" w:cs="Arial"/>
                <w:sz w:val="24"/>
                <w:szCs w:val="24"/>
              </w:rPr>
              <w:t>35,871,717</w:t>
            </w:r>
          </w:p>
        </w:tc>
      </w:tr>
      <w:tr w:rsidR="00842C4E" w:rsidRPr="00560CB7" w14:paraId="757462F0" w14:textId="77777777" w:rsidTr="00454043">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FB08E" w14:textId="77777777" w:rsidR="00842C4E" w:rsidRPr="00560CB7" w:rsidRDefault="00842C4E" w:rsidP="00454043">
            <w:pPr>
              <w:spacing w:line="264" w:lineRule="auto"/>
              <w:rPr>
                <w:rFonts w:ascii="Arial" w:hAnsi="Arial" w:cs="Arial"/>
                <w:sz w:val="24"/>
                <w:szCs w:val="24"/>
                <w:highlight w:val="yellow"/>
              </w:rPr>
            </w:pPr>
            <w:r w:rsidRPr="00560CB7">
              <w:rPr>
                <w:rFonts w:ascii="Arial" w:hAnsi="Arial" w:cs="Arial"/>
                <w:sz w:val="24"/>
                <w:szCs w:val="24"/>
              </w:rPr>
              <w:t>Approved loss factor (B)</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47752E0C" w14:textId="77777777" w:rsidR="00842C4E" w:rsidRPr="00560CB7" w:rsidRDefault="00842C4E" w:rsidP="00454043">
            <w:pPr>
              <w:spacing w:line="264" w:lineRule="auto"/>
              <w:jc w:val="center"/>
              <w:rPr>
                <w:rFonts w:ascii="Arial" w:hAnsi="Arial" w:cs="Arial"/>
                <w:sz w:val="24"/>
                <w:szCs w:val="24"/>
              </w:rPr>
            </w:pPr>
            <w:r w:rsidRPr="00560CB7">
              <w:rPr>
                <w:rFonts w:ascii="Arial" w:hAnsi="Arial" w:cs="Arial"/>
                <w:sz w:val="24"/>
                <w:szCs w:val="24"/>
              </w:rPr>
              <w:t>1.043</w:t>
            </w:r>
          </w:p>
        </w:tc>
      </w:tr>
      <w:tr w:rsidR="00842C4E" w:rsidRPr="00560CB7" w14:paraId="145812D9" w14:textId="77777777" w:rsidTr="00454043">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49690" w14:textId="77777777" w:rsidR="00842C4E" w:rsidRPr="00560CB7" w:rsidRDefault="00842C4E" w:rsidP="00454043">
            <w:pPr>
              <w:spacing w:line="264" w:lineRule="auto"/>
              <w:rPr>
                <w:rFonts w:ascii="Arial" w:hAnsi="Arial" w:cs="Arial"/>
                <w:sz w:val="24"/>
                <w:szCs w:val="24"/>
              </w:rPr>
            </w:pPr>
            <w:r w:rsidRPr="00560CB7">
              <w:rPr>
                <w:rFonts w:ascii="Arial" w:hAnsi="Arial" w:cs="Arial"/>
                <w:sz w:val="24"/>
                <w:szCs w:val="24"/>
              </w:rPr>
              <w:t>Non-RPP retail kWh excluding loss (C = A/B)</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410D215" w14:textId="77777777" w:rsidR="00842C4E" w:rsidRPr="00560CB7" w:rsidRDefault="00842C4E" w:rsidP="00454043">
            <w:pPr>
              <w:jc w:val="center"/>
              <w:rPr>
                <w:rFonts w:ascii="Arial" w:hAnsi="Arial" w:cs="Arial"/>
                <w:sz w:val="24"/>
                <w:szCs w:val="24"/>
              </w:rPr>
            </w:pPr>
            <w:r w:rsidRPr="00560CB7">
              <w:rPr>
                <w:rFonts w:ascii="Arial" w:hAnsi="Arial" w:cs="Arial"/>
                <w:sz w:val="24"/>
                <w:szCs w:val="24"/>
              </w:rPr>
              <w:t>34,392,826</w:t>
            </w:r>
          </w:p>
        </w:tc>
      </w:tr>
      <w:tr w:rsidR="00842C4E" w:rsidRPr="00560CB7" w14:paraId="7EE40720" w14:textId="77777777" w:rsidTr="00454043">
        <w:trPr>
          <w:trHeight w:val="394"/>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7D08C" w14:textId="77777777" w:rsidR="00842C4E" w:rsidRPr="00560CB7" w:rsidRDefault="00842C4E" w:rsidP="00454043">
            <w:pPr>
              <w:spacing w:line="264" w:lineRule="auto"/>
              <w:rPr>
                <w:rFonts w:ascii="Arial" w:hAnsi="Arial" w:cs="Arial"/>
                <w:sz w:val="24"/>
                <w:szCs w:val="24"/>
              </w:rPr>
            </w:pPr>
            <w:r w:rsidRPr="00560CB7">
              <w:rPr>
                <w:rFonts w:ascii="Arial" w:hAnsi="Arial" w:cs="Arial"/>
                <w:sz w:val="24"/>
                <w:szCs w:val="24"/>
              </w:rPr>
              <w:t>Non-RPP wholesale kWh (D)</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1F6849CD" w14:textId="77777777" w:rsidR="00842C4E" w:rsidRPr="00560CB7" w:rsidRDefault="00842C4E" w:rsidP="00454043">
            <w:pPr>
              <w:jc w:val="center"/>
              <w:rPr>
                <w:rFonts w:ascii="Arial" w:hAnsi="Arial" w:cs="Arial"/>
                <w:sz w:val="24"/>
                <w:szCs w:val="24"/>
              </w:rPr>
            </w:pPr>
            <w:r w:rsidRPr="00560CB7">
              <w:rPr>
                <w:rFonts w:ascii="Arial" w:hAnsi="Arial" w:cs="Arial"/>
                <w:sz w:val="24"/>
                <w:szCs w:val="24"/>
              </w:rPr>
              <w:t>34,634,598</w:t>
            </w:r>
          </w:p>
        </w:tc>
      </w:tr>
      <w:tr w:rsidR="00842C4E" w:rsidRPr="00560CB7" w14:paraId="316A441C" w14:textId="77777777" w:rsidTr="00454043">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245AC" w14:textId="77777777" w:rsidR="00842C4E" w:rsidRPr="00560CB7" w:rsidRDefault="00842C4E" w:rsidP="00454043">
            <w:pPr>
              <w:spacing w:line="264" w:lineRule="auto"/>
              <w:rPr>
                <w:rFonts w:ascii="Arial" w:hAnsi="Arial" w:cs="Arial"/>
                <w:sz w:val="24"/>
                <w:szCs w:val="24"/>
              </w:rPr>
            </w:pPr>
            <w:r w:rsidRPr="00560CB7">
              <w:rPr>
                <w:rFonts w:ascii="Arial" w:hAnsi="Arial" w:cs="Arial"/>
                <w:sz w:val="24"/>
                <w:szCs w:val="24"/>
              </w:rPr>
              <w:t>Calculated actual loss factor (=D/C)</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45679274" w14:textId="77777777" w:rsidR="00842C4E" w:rsidRPr="00560CB7" w:rsidRDefault="00842C4E" w:rsidP="00454043">
            <w:pPr>
              <w:spacing w:line="264" w:lineRule="auto"/>
              <w:jc w:val="center"/>
              <w:rPr>
                <w:rFonts w:ascii="Arial" w:hAnsi="Arial" w:cs="Arial"/>
                <w:sz w:val="24"/>
                <w:szCs w:val="24"/>
              </w:rPr>
            </w:pPr>
            <w:r w:rsidRPr="00560CB7">
              <w:rPr>
                <w:rFonts w:ascii="Arial" w:hAnsi="Arial" w:cs="Arial"/>
                <w:sz w:val="24"/>
                <w:szCs w:val="24"/>
              </w:rPr>
              <w:t>1.00704</w:t>
            </w:r>
          </w:p>
        </w:tc>
      </w:tr>
    </w:tbl>
    <w:p w14:paraId="54C3A316" w14:textId="77777777" w:rsidR="00842C4E" w:rsidRDefault="00842C4E" w:rsidP="00842C4E">
      <w:pPr>
        <w:rPr>
          <w:sz w:val="24"/>
          <w:szCs w:val="24"/>
        </w:rPr>
      </w:pPr>
    </w:p>
    <w:p w14:paraId="52544C8C" w14:textId="05C3858E" w:rsidR="00842C4E" w:rsidRPr="00842C4E" w:rsidRDefault="00842C4E" w:rsidP="00842C4E">
      <w:pPr>
        <w:contextualSpacing/>
        <w:rPr>
          <w:rFonts w:ascii="Arial" w:hAnsi="Arial" w:cs="Arial"/>
          <w:b/>
          <w:sz w:val="24"/>
          <w:szCs w:val="24"/>
        </w:rPr>
      </w:pPr>
      <w:r>
        <w:rPr>
          <w:rFonts w:ascii="Arial" w:hAnsi="Arial" w:cs="Arial"/>
          <w:b/>
          <w:sz w:val="24"/>
          <w:szCs w:val="24"/>
        </w:rPr>
        <w:t>Staff Question-1</w:t>
      </w:r>
      <w:r w:rsidR="00EC68F3">
        <w:rPr>
          <w:rFonts w:ascii="Arial" w:hAnsi="Arial" w:cs="Arial"/>
          <w:b/>
          <w:sz w:val="24"/>
          <w:szCs w:val="24"/>
        </w:rPr>
        <w:t>1</w:t>
      </w:r>
    </w:p>
    <w:p w14:paraId="7359DC6E" w14:textId="421FD04C" w:rsidR="00842C4E" w:rsidRDefault="00842C4E" w:rsidP="00842C4E">
      <w:pPr>
        <w:contextualSpacing/>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1</w:t>
      </w:r>
      <w:r w:rsidRPr="00CC2285">
        <w:rPr>
          <w:rFonts w:ascii="Arial" w:hAnsi="Arial" w:cs="Arial"/>
          <w:b/>
          <w:bCs/>
          <w:sz w:val="24"/>
          <w:szCs w:val="24"/>
        </w:rPr>
        <w:t xml:space="preserve">: </w:t>
      </w:r>
      <w:r>
        <w:rPr>
          <w:rFonts w:ascii="Arial" w:hAnsi="Arial" w:cs="Arial"/>
          <w:b/>
          <w:bCs/>
          <w:sz w:val="24"/>
          <w:szCs w:val="24"/>
        </w:rPr>
        <w:t xml:space="preserve">Kenora RZ, GA Analysis </w:t>
      </w:r>
      <w:proofErr w:type="spellStart"/>
      <w:r>
        <w:rPr>
          <w:rFonts w:ascii="Arial" w:hAnsi="Arial" w:cs="Arial"/>
          <w:b/>
          <w:bCs/>
          <w:sz w:val="24"/>
          <w:szCs w:val="24"/>
        </w:rPr>
        <w:t>Workform</w:t>
      </w:r>
      <w:proofErr w:type="spellEnd"/>
      <w:r>
        <w:rPr>
          <w:rFonts w:ascii="Arial" w:hAnsi="Arial" w:cs="Arial"/>
          <w:b/>
          <w:bCs/>
          <w:sz w:val="24"/>
          <w:szCs w:val="24"/>
        </w:rPr>
        <w:t xml:space="preserve"> – Tab Principal Adjustments</w:t>
      </w:r>
    </w:p>
    <w:p w14:paraId="596A6577" w14:textId="0B3AFE7B" w:rsidR="00842C4E" w:rsidRDefault="00842C4E" w:rsidP="00842C4E">
      <w:pPr>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2</w:t>
      </w:r>
      <w:r w:rsidRPr="00CC2285">
        <w:rPr>
          <w:rFonts w:ascii="Arial" w:hAnsi="Arial" w:cs="Arial"/>
          <w:b/>
          <w:bCs/>
          <w:sz w:val="24"/>
          <w:szCs w:val="24"/>
        </w:rPr>
        <w:t xml:space="preserve">: </w:t>
      </w:r>
      <w:r>
        <w:rPr>
          <w:rFonts w:ascii="Arial" w:hAnsi="Arial" w:cs="Arial"/>
          <w:b/>
          <w:bCs/>
          <w:sz w:val="24"/>
          <w:szCs w:val="24"/>
        </w:rPr>
        <w:t>EB-2021-0058, Kenora RZ, GA Analysis WorkformV2 – Tab Principal Adjustments</w:t>
      </w:r>
    </w:p>
    <w:p w14:paraId="61C369A9" w14:textId="77777777" w:rsidR="00842C4E" w:rsidRDefault="00842C4E" w:rsidP="00842C4E">
      <w:pPr>
        <w:rPr>
          <w:rFonts w:ascii="Arial" w:hAnsi="Arial" w:cs="Arial"/>
          <w:sz w:val="24"/>
          <w:szCs w:val="24"/>
        </w:rPr>
      </w:pPr>
      <w:r>
        <w:rPr>
          <w:rFonts w:ascii="Arial" w:hAnsi="Arial" w:cs="Arial"/>
          <w:sz w:val="24"/>
          <w:szCs w:val="24"/>
        </w:rPr>
        <w:lastRenderedPageBreak/>
        <w:t>In Reference 2 Cell V57, there is a principal adjustment of $(455,504) which is to “</w:t>
      </w:r>
      <w:r w:rsidRPr="0002695C">
        <w:rPr>
          <w:rFonts w:ascii="Arial" w:hAnsi="Arial" w:cs="Arial"/>
          <w:sz w:val="24"/>
          <w:szCs w:val="24"/>
        </w:rPr>
        <w:t>Correct Error in 2020 1598 FR Filings</w:t>
      </w:r>
      <w:r>
        <w:rPr>
          <w:rFonts w:ascii="Arial" w:hAnsi="Arial" w:cs="Arial"/>
          <w:sz w:val="24"/>
          <w:szCs w:val="24"/>
        </w:rPr>
        <w:t>” and is recorded in the 2021 GL.</w:t>
      </w:r>
    </w:p>
    <w:p w14:paraId="04BA6AFD" w14:textId="00E2835F" w:rsidR="00724D02" w:rsidRPr="004F262F" w:rsidRDefault="00842C4E" w:rsidP="004F262F">
      <w:pPr>
        <w:pStyle w:val="ListParagraph"/>
        <w:numPr>
          <w:ilvl w:val="0"/>
          <w:numId w:val="34"/>
        </w:numPr>
        <w:rPr>
          <w:rFonts w:ascii="Arial" w:hAnsi="Arial" w:cs="Arial"/>
          <w:sz w:val="24"/>
          <w:szCs w:val="24"/>
        </w:rPr>
      </w:pPr>
      <w:r w:rsidRPr="004F262F">
        <w:rPr>
          <w:rFonts w:ascii="Arial" w:hAnsi="Arial" w:cs="Arial"/>
          <w:sz w:val="24"/>
          <w:szCs w:val="24"/>
        </w:rPr>
        <w:t xml:space="preserve">Please include this amount in the first table and reverse the same amount in the second table of Reference 1. Please also revise the Principal Adjustment tab and 1588 tab in the GA Analysis </w:t>
      </w:r>
      <w:proofErr w:type="spellStart"/>
      <w:r w:rsidRPr="004F262F">
        <w:rPr>
          <w:rFonts w:ascii="Arial" w:hAnsi="Arial" w:cs="Arial"/>
          <w:sz w:val="24"/>
          <w:szCs w:val="24"/>
        </w:rPr>
        <w:t>Workform</w:t>
      </w:r>
      <w:proofErr w:type="spellEnd"/>
      <w:r w:rsidRPr="004F262F">
        <w:rPr>
          <w:rFonts w:ascii="Arial" w:hAnsi="Arial" w:cs="Arial"/>
          <w:sz w:val="24"/>
          <w:szCs w:val="24"/>
        </w:rPr>
        <w:t xml:space="preserve"> and the Continuity Schedule Tab 3 Cell BF28. If a reversal is not needed, please explain why. </w:t>
      </w:r>
    </w:p>
    <w:p w14:paraId="3893DF78" w14:textId="79143D50" w:rsidR="00B27237" w:rsidRPr="001612E4" w:rsidRDefault="00B27237" w:rsidP="00B27237">
      <w:pPr>
        <w:spacing w:after="0"/>
        <w:rPr>
          <w:rFonts w:ascii="Arial" w:hAnsi="Arial" w:cs="Arial"/>
          <w:b/>
          <w:bCs/>
          <w:sz w:val="24"/>
          <w:szCs w:val="24"/>
        </w:rPr>
      </w:pPr>
      <w:r w:rsidRPr="001612E4">
        <w:rPr>
          <w:rFonts w:ascii="Arial" w:hAnsi="Arial" w:cs="Arial"/>
          <w:b/>
          <w:bCs/>
          <w:sz w:val="24"/>
          <w:szCs w:val="24"/>
        </w:rPr>
        <w:t>Staff Question-1</w:t>
      </w:r>
      <w:r w:rsidR="00EC68F3">
        <w:rPr>
          <w:rFonts w:ascii="Arial" w:hAnsi="Arial" w:cs="Arial"/>
          <w:b/>
          <w:bCs/>
          <w:sz w:val="24"/>
          <w:szCs w:val="24"/>
        </w:rPr>
        <w:t>2</w:t>
      </w:r>
      <w:r w:rsidRPr="001612E4">
        <w:rPr>
          <w:rFonts w:ascii="Arial" w:hAnsi="Arial" w:cs="Arial"/>
          <w:b/>
          <w:bCs/>
          <w:sz w:val="24"/>
          <w:szCs w:val="24"/>
        </w:rPr>
        <w:t xml:space="preserve"> </w:t>
      </w:r>
    </w:p>
    <w:p w14:paraId="1BF0DD75" w14:textId="77777777" w:rsidR="00B27237" w:rsidRPr="001C50DF" w:rsidRDefault="00B27237" w:rsidP="00B27237">
      <w:pPr>
        <w:spacing w:after="0"/>
        <w:rPr>
          <w:rFonts w:ascii="Arial" w:hAnsi="Arial" w:cs="Arial"/>
          <w:sz w:val="24"/>
          <w:szCs w:val="24"/>
        </w:rPr>
      </w:pPr>
      <w:r w:rsidRPr="001C50DF">
        <w:rPr>
          <w:rFonts w:ascii="Arial" w:hAnsi="Arial" w:cs="Arial"/>
          <w:sz w:val="24"/>
          <w:szCs w:val="24"/>
        </w:rPr>
        <w:t xml:space="preserve">LRAMVA </w:t>
      </w:r>
      <w:r>
        <w:rPr>
          <w:rFonts w:ascii="Arial" w:hAnsi="Arial" w:cs="Arial"/>
          <w:sz w:val="24"/>
          <w:szCs w:val="24"/>
        </w:rPr>
        <w:t>– Thunder Bay RZ</w:t>
      </w:r>
    </w:p>
    <w:p w14:paraId="026C8356" w14:textId="77777777" w:rsidR="00B27237" w:rsidRPr="00065966" w:rsidRDefault="00B27237" w:rsidP="00B27237">
      <w:pPr>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w:t>
      </w:r>
      <w:r>
        <w:rPr>
          <w:rFonts w:ascii="Arial" w:hAnsi="Arial" w:cs="Arial"/>
          <w:sz w:val="24"/>
          <w:szCs w:val="24"/>
        </w:rPr>
        <w:tab/>
      </w:r>
      <w:r w:rsidRPr="001C50DF">
        <w:rPr>
          <w:rFonts w:ascii="Arial" w:hAnsi="Arial" w:cs="Arial"/>
          <w:sz w:val="24"/>
          <w:szCs w:val="24"/>
        </w:rPr>
        <w:t xml:space="preserve">LRAMVA </w:t>
      </w:r>
      <w:proofErr w:type="spellStart"/>
      <w:r w:rsidRPr="001C50DF">
        <w:rPr>
          <w:rFonts w:ascii="Arial" w:hAnsi="Arial" w:cs="Arial"/>
          <w:sz w:val="24"/>
          <w:szCs w:val="24"/>
        </w:rPr>
        <w:t>Workform</w:t>
      </w:r>
      <w:proofErr w:type="spellEnd"/>
      <w:r w:rsidRPr="001C50DF">
        <w:rPr>
          <w:rFonts w:ascii="Arial" w:hAnsi="Arial" w:cs="Arial"/>
          <w:sz w:val="24"/>
          <w:szCs w:val="24"/>
        </w:rPr>
        <w:t xml:space="preserve">, Tab 5 </w:t>
      </w:r>
      <w:r>
        <w:rPr>
          <w:rFonts w:ascii="Arial" w:hAnsi="Arial" w:cs="Arial"/>
          <w:sz w:val="24"/>
          <w:szCs w:val="24"/>
        </w:rPr>
        <w:t xml:space="preserve">2015-2027 LRAM </w:t>
      </w:r>
      <w:r w:rsidRPr="001C50DF">
        <w:rPr>
          <w:rFonts w:ascii="Arial" w:hAnsi="Arial" w:cs="Arial"/>
          <w:sz w:val="24"/>
          <w:szCs w:val="24"/>
        </w:rPr>
        <w:t>Formula Error Correction</w:t>
      </w:r>
    </w:p>
    <w:p w14:paraId="17F725B4" w14:textId="77777777" w:rsidR="00B27237" w:rsidRDefault="00B27237" w:rsidP="00B27237">
      <w:pPr>
        <w:rPr>
          <w:rFonts w:ascii="Arial" w:hAnsi="Arial" w:cs="Arial"/>
          <w:sz w:val="24"/>
          <w:szCs w:val="24"/>
        </w:rPr>
      </w:pPr>
      <w:r w:rsidRPr="0248255D">
        <w:rPr>
          <w:rFonts w:ascii="Arial" w:hAnsi="Arial" w:cs="Arial"/>
          <w:sz w:val="24"/>
          <w:szCs w:val="24"/>
        </w:rPr>
        <w:t xml:space="preserve">An additional formula error was identified in version 1.2 of the updated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Cell AF960 in Tab 5 incorrectly referenced column E instead of column D. By updating the formula in Cell AF960 to correctly reference column D, the LRAMVA balance changes from $557,990 to $557,802. </w:t>
      </w:r>
    </w:p>
    <w:p w14:paraId="7F6E2B5A" w14:textId="77777777" w:rsidR="00B27237" w:rsidRPr="00065966" w:rsidRDefault="00B27237" w:rsidP="0044682C">
      <w:pPr>
        <w:pStyle w:val="ListParagraph"/>
        <w:numPr>
          <w:ilvl w:val="0"/>
          <w:numId w:val="6"/>
        </w:numPr>
        <w:contextualSpacing w:val="0"/>
        <w:rPr>
          <w:rFonts w:ascii="Arial" w:hAnsi="Arial" w:cs="Arial"/>
          <w:sz w:val="24"/>
          <w:szCs w:val="24"/>
        </w:rPr>
      </w:pPr>
      <w:r w:rsidRPr="0248255D">
        <w:rPr>
          <w:rFonts w:ascii="Arial" w:hAnsi="Arial" w:cs="Arial"/>
          <w:sz w:val="24"/>
          <w:szCs w:val="24"/>
        </w:rPr>
        <w:t xml:space="preserve">Please update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with the formula change referenced above and refile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at the updated LRAMVA amount </w:t>
      </w:r>
    </w:p>
    <w:p w14:paraId="40821F0B" w14:textId="18811F60" w:rsidR="00B27237" w:rsidRDefault="00B27237" w:rsidP="00B27237">
      <w:pPr>
        <w:spacing w:after="0"/>
        <w:rPr>
          <w:rFonts w:ascii="Arial" w:hAnsi="Arial" w:cs="Arial"/>
          <w:b/>
          <w:bCs/>
          <w:sz w:val="24"/>
          <w:szCs w:val="24"/>
        </w:rPr>
      </w:pPr>
      <w:r w:rsidRPr="001612E4">
        <w:rPr>
          <w:rFonts w:ascii="Arial" w:hAnsi="Arial" w:cs="Arial"/>
          <w:b/>
          <w:bCs/>
          <w:sz w:val="24"/>
          <w:szCs w:val="24"/>
        </w:rPr>
        <w:t>Staff Question-</w:t>
      </w:r>
      <w:r w:rsidR="00EC68F3">
        <w:rPr>
          <w:rFonts w:ascii="Arial" w:hAnsi="Arial" w:cs="Arial"/>
          <w:b/>
          <w:bCs/>
          <w:sz w:val="24"/>
          <w:szCs w:val="24"/>
        </w:rPr>
        <w:t>13</w:t>
      </w:r>
    </w:p>
    <w:p w14:paraId="5AEDD2DE" w14:textId="77777777" w:rsidR="00B27237" w:rsidRDefault="00B27237" w:rsidP="00B27237">
      <w:pPr>
        <w:spacing w:after="0"/>
        <w:rPr>
          <w:rFonts w:ascii="Arial" w:hAnsi="Arial" w:cs="Arial"/>
          <w:sz w:val="24"/>
          <w:szCs w:val="24"/>
        </w:rPr>
      </w:pPr>
      <w:r>
        <w:rPr>
          <w:rFonts w:ascii="Arial" w:hAnsi="Arial" w:cs="Arial"/>
          <w:sz w:val="24"/>
          <w:szCs w:val="24"/>
        </w:rPr>
        <w:t>LRAMVA – Thunder Bay RZ</w:t>
      </w:r>
    </w:p>
    <w:p w14:paraId="70BF81BC" w14:textId="77777777" w:rsidR="00B27237" w:rsidRDefault="00B27237" w:rsidP="00B27237">
      <w:pPr>
        <w:spacing w:after="0"/>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w:t>
      </w:r>
      <w:r w:rsidRPr="001C50DF">
        <w:rPr>
          <w:rFonts w:ascii="Arial" w:hAnsi="Arial" w:cs="Arial"/>
          <w:sz w:val="24"/>
          <w:szCs w:val="24"/>
        </w:rPr>
        <w:t xml:space="preserve"> LRAMVA </w:t>
      </w:r>
      <w:proofErr w:type="spellStart"/>
      <w:r w:rsidRPr="001C50DF">
        <w:rPr>
          <w:rFonts w:ascii="Arial" w:hAnsi="Arial" w:cs="Arial"/>
          <w:sz w:val="24"/>
          <w:szCs w:val="24"/>
        </w:rPr>
        <w:t>Workform</w:t>
      </w:r>
      <w:proofErr w:type="spellEnd"/>
      <w:r w:rsidRPr="001C50DF">
        <w:rPr>
          <w:rFonts w:ascii="Arial" w:hAnsi="Arial" w:cs="Arial"/>
          <w:sz w:val="24"/>
          <w:szCs w:val="24"/>
        </w:rPr>
        <w:t xml:space="preserve">, Tab 5 </w:t>
      </w:r>
      <w:r>
        <w:rPr>
          <w:rFonts w:ascii="Arial" w:hAnsi="Arial" w:cs="Arial"/>
          <w:sz w:val="24"/>
          <w:szCs w:val="24"/>
        </w:rPr>
        <w:t xml:space="preserve">2015-2027 LRAM, 2016 City of Thunder Bay Streetlight </w:t>
      </w:r>
    </w:p>
    <w:p w14:paraId="7DE1097F" w14:textId="77777777" w:rsidR="00B27237" w:rsidRDefault="00B27237" w:rsidP="00B27237">
      <w:pPr>
        <w:rPr>
          <w:rFonts w:ascii="Arial" w:hAnsi="Arial" w:cs="Arial"/>
          <w:sz w:val="24"/>
          <w:szCs w:val="24"/>
        </w:rPr>
      </w:pPr>
      <w:r w:rsidRPr="00065966">
        <w:rPr>
          <w:rFonts w:ascii="Arial" w:hAnsi="Arial" w:cs="Arial"/>
          <w:b/>
          <w:bCs/>
          <w:sz w:val="24"/>
          <w:szCs w:val="24"/>
        </w:rPr>
        <w:t>Ref 2</w:t>
      </w:r>
      <w:r>
        <w:rPr>
          <w:rFonts w:ascii="Arial" w:hAnsi="Arial" w:cs="Arial"/>
          <w:b/>
          <w:bCs/>
          <w:sz w:val="24"/>
          <w:szCs w:val="24"/>
        </w:rPr>
        <w:t xml:space="preserve">: </w:t>
      </w:r>
      <w:r>
        <w:rPr>
          <w:rFonts w:ascii="Arial" w:hAnsi="Arial" w:cs="Arial"/>
          <w:sz w:val="24"/>
          <w:szCs w:val="24"/>
        </w:rPr>
        <w:t xml:space="preserve">Synergy North 2023 Electricity Distribution Rate Application, PDF Page 26 of 35 </w:t>
      </w:r>
    </w:p>
    <w:p w14:paraId="3D36453F" w14:textId="77777777" w:rsidR="00B27237" w:rsidRDefault="00B27237" w:rsidP="00B27237">
      <w:pPr>
        <w:rPr>
          <w:rFonts w:ascii="Arial" w:hAnsi="Arial" w:cs="Arial"/>
          <w:sz w:val="24"/>
          <w:szCs w:val="24"/>
        </w:rPr>
      </w:pPr>
      <w:r w:rsidRPr="0248255D">
        <w:rPr>
          <w:rFonts w:ascii="Arial" w:hAnsi="Arial" w:cs="Arial"/>
          <w:sz w:val="24"/>
          <w:szCs w:val="24"/>
        </w:rPr>
        <w:t xml:space="preserve">Per Synergy North’s application, the kW savings the monthly bill was reduced by in 2016 is 320.63 kW. Per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the kW reported was 27 kW from cells R339 to AD339. </w:t>
      </w:r>
    </w:p>
    <w:p w14:paraId="660B6251" w14:textId="77777777" w:rsidR="00B27237" w:rsidRDefault="00B27237" w:rsidP="0044682C">
      <w:pPr>
        <w:pStyle w:val="ListParagraph"/>
        <w:numPr>
          <w:ilvl w:val="0"/>
          <w:numId w:val="7"/>
        </w:numPr>
        <w:contextualSpacing w:val="0"/>
        <w:rPr>
          <w:rFonts w:ascii="Arial" w:hAnsi="Arial" w:cs="Arial"/>
          <w:sz w:val="24"/>
          <w:szCs w:val="24"/>
        </w:rPr>
      </w:pPr>
      <w:r>
        <w:rPr>
          <w:rFonts w:ascii="Arial" w:hAnsi="Arial" w:cs="Arial"/>
          <w:sz w:val="24"/>
          <w:szCs w:val="24"/>
        </w:rPr>
        <w:t>Please confirm what the kW net peak demand savings persistence should be for 2016 City of Thunder Bay Streetlight (cells R339 to AD339) – 321 kW or 27 kW?</w:t>
      </w:r>
    </w:p>
    <w:p w14:paraId="5DC7B4DC" w14:textId="77777777" w:rsidR="00B27237" w:rsidRPr="00065966" w:rsidRDefault="00B27237" w:rsidP="0044682C">
      <w:pPr>
        <w:pStyle w:val="ListParagraph"/>
        <w:numPr>
          <w:ilvl w:val="0"/>
          <w:numId w:val="7"/>
        </w:numPr>
        <w:contextualSpacing w:val="0"/>
        <w:rPr>
          <w:rFonts w:ascii="Arial" w:hAnsi="Arial" w:cs="Arial"/>
          <w:sz w:val="24"/>
          <w:szCs w:val="24"/>
        </w:rPr>
      </w:pPr>
      <w:r w:rsidRPr="0248255D">
        <w:rPr>
          <w:rFonts w:ascii="Arial" w:hAnsi="Arial" w:cs="Arial"/>
          <w:sz w:val="24"/>
          <w:szCs w:val="24"/>
        </w:rPr>
        <w:t xml:space="preserve">If the confirmed amount in part a) above differs from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amount of 27 kW, please update the corresponding cells in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and refile the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t>
      </w:r>
    </w:p>
    <w:p w14:paraId="51724A4A" w14:textId="2C9D5C59" w:rsidR="00B27237" w:rsidRDefault="00B27237" w:rsidP="00B27237">
      <w:pPr>
        <w:spacing w:after="0"/>
        <w:rPr>
          <w:rFonts w:ascii="Arial" w:hAnsi="Arial" w:cs="Arial"/>
          <w:b/>
          <w:bCs/>
          <w:sz w:val="24"/>
          <w:szCs w:val="24"/>
        </w:rPr>
      </w:pPr>
      <w:r w:rsidRPr="001612E4">
        <w:rPr>
          <w:rFonts w:ascii="Arial" w:hAnsi="Arial" w:cs="Arial"/>
          <w:b/>
          <w:bCs/>
          <w:sz w:val="24"/>
          <w:szCs w:val="24"/>
        </w:rPr>
        <w:t>Staff Question-</w:t>
      </w:r>
      <w:r w:rsidR="00EC68F3">
        <w:rPr>
          <w:rFonts w:ascii="Arial" w:hAnsi="Arial" w:cs="Arial"/>
          <w:b/>
          <w:bCs/>
          <w:sz w:val="24"/>
          <w:szCs w:val="24"/>
        </w:rPr>
        <w:t>14</w:t>
      </w:r>
    </w:p>
    <w:p w14:paraId="2898E814" w14:textId="77777777" w:rsidR="00B27237" w:rsidRDefault="00B27237" w:rsidP="00B27237">
      <w:pPr>
        <w:spacing w:after="0"/>
        <w:rPr>
          <w:rFonts w:ascii="Arial" w:hAnsi="Arial" w:cs="Arial"/>
          <w:sz w:val="24"/>
          <w:szCs w:val="24"/>
        </w:rPr>
      </w:pPr>
      <w:r>
        <w:rPr>
          <w:rFonts w:ascii="Arial" w:hAnsi="Arial" w:cs="Arial"/>
          <w:sz w:val="24"/>
          <w:szCs w:val="24"/>
        </w:rPr>
        <w:t>LRAMVA – Thunder Bay RZ</w:t>
      </w:r>
    </w:p>
    <w:p w14:paraId="0D0C1006" w14:textId="77777777" w:rsidR="00B27237" w:rsidRDefault="00B27237" w:rsidP="00B27237">
      <w:pPr>
        <w:spacing w:after="0"/>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w:t>
      </w:r>
      <w:r w:rsidRPr="001C50DF">
        <w:rPr>
          <w:rFonts w:ascii="Arial" w:hAnsi="Arial" w:cs="Arial"/>
          <w:sz w:val="24"/>
          <w:szCs w:val="24"/>
        </w:rPr>
        <w:t xml:space="preserve"> LRAMVA </w:t>
      </w:r>
      <w:proofErr w:type="spellStart"/>
      <w:r w:rsidRPr="001C50DF">
        <w:rPr>
          <w:rFonts w:ascii="Arial" w:hAnsi="Arial" w:cs="Arial"/>
          <w:sz w:val="24"/>
          <w:szCs w:val="24"/>
        </w:rPr>
        <w:t>Workform</w:t>
      </w:r>
      <w:proofErr w:type="spellEnd"/>
      <w:r w:rsidRPr="001C50DF">
        <w:rPr>
          <w:rFonts w:ascii="Arial" w:hAnsi="Arial" w:cs="Arial"/>
          <w:sz w:val="24"/>
          <w:szCs w:val="24"/>
        </w:rPr>
        <w:t xml:space="preserve">, Tab 5 </w:t>
      </w:r>
      <w:r>
        <w:rPr>
          <w:rFonts w:ascii="Arial" w:hAnsi="Arial" w:cs="Arial"/>
          <w:sz w:val="24"/>
          <w:szCs w:val="24"/>
        </w:rPr>
        <w:t xml:space="preserve">2015-2027 LRAM, 2020 City of Thunder Bay Streetlight </w:t>
      </w:r>
    </w:p>
    <w:p w14:paraId="22CF77F8" w14:textId="77777777" w:rsidR="00B27237" w:rsidRDefault="00B27237" w:rsidP="00B27237">
      <w:pPr>
        <w:rPr>
          <w:rFonts w:ascii="Arial" w:hAnsi="Arial" w:cs="Arial"/>
          <w:sz w:val="24"/>
          <w:szCs w:val="24"/>
        </w:rPr>
      </w:pPr>
      <w:r w:rsidRPr="00065966">
        <w:rPr>
          <w:rFonts w:ascii="Arial" w:hAnsi="Arial" w:cs="Arial"/>
          <w:b/>
          <w:bCs/>
          <w:sz w:val="24"/>
          <w:szCs w:val="24"/>
        </w:rPr>
        <w:lastRenderedPageBreak/>
        <w:t>Ref 2</w:t>
      </w:r>
      <w:r>
        <w:rPr>
          <w:rFonts w:ascii="Arial" w:hAnsi="Arial" w:cs="Arial"/>
          <w:b/>
          <w:bCs/>
          <w:sz w:val="24"/>
          <w:szCs w:val="24"/>
        </w:rPr>
        <w:t>:</w:t>
      </w:r>
      <w:r>
        <w:rPr>
          <w:rFonts w:ascii="Arial" w:hAnsi="Arial" w:cs="Arial"/>
          <w:sz w:val="24"/>
          <w:szCs w:val="24"/>
        </w:rPr>
        <w:t xml:space="preserve"> Synergy North 2023 Electricity Distribution Rate Application, PDF Page 26 of 35 </w:t>
      </w:r>
      <w:r w:rsidRPr="00065966">
        <w:rPr>
          <w:rFonts w:ascii="Arial" w:hAnsi="Arial" w:cs="Arial"/>
          <w:b/>
          <w:bCs/>
          <w:sz w:val="24"/>
          <w:szCs w:val="24"/>
        </w:rPr>
        <w:t>Ref 3</w:t>
      </w:r>
      <w:r>
        <w:rPr>
          <w:rFonts w:ascii="Arial" w:hAnsi="Arial" w:cs="Arial"/>
          <w:b/>
          <w:bCs/>
          <w:sz w:val="24"/>
          <w:szCs w:val="24"/>
        </w:rPr>
        <w:t>:</w:t>
      </w:r>
      <w:r>
        <w:rPr>
          <w:rFonts w:ascii="Arial" w:hAnsi="Arial" w:cs="Arial"/>
          <w:sz w:val="24"/>
          <w:szCs w:val="24"/>
        </w:rPr>
        <w:t xml:space="preserve"> Synergy North Annual Report_2020 2021 2022_CDM Savings</w:t>
      </w:r>
    </w:p>
    <w:p w14:paraId="0C3A2B01" w14:textId="77777777" w:rsidR="00B27237" w:rsidRDefault="00B27237" w:rsidP="00B27237">
      <w:pPr>
        <w:rPr>
          <w:rFonts w:ascii="Arial" w:hAnsi="Arial" w:cs="Arial"/>
          <w:sz w:val="24"/>
          <w:szCs w:val="24"/>
        </w:rPr>
      </w:pPr>
      <w:r w:rsidRPr="0248255D">
        <w:rPr>
          <w:rFonts w:ascii="Arial" w:hAnsi="Arial" w:cs="Arial"/>
          <w:sz w:val="24"/>
          <w:szCs w:val="24"/>
        </w:rPr>
        <w:t xml:space="preserve">Per Synergy North’s application, the kW savings the monthly bill was reduced by in 2020 is 42.88 kW. This differs from the reported amount per Synergy North Annual Report_2020 2021 2022_CDM Savings working paper of 24 kW. However, it agrees with the </w:t>
      </w:r>
      <w:proofErr w:type="gramStart"/>
      <w:r w:rsidRPr="0248255D">
        <w:rPr>
          <w:rFonts w:ascii="Arial" w:hAnsi="Arial" w:cs="Arial"/>
          <w:sz w:val="24"/>
          <w:szCs w:val="24"/>
        </w:rPr>
        <w:t>43 kW</w:t>
      </w:r>
      <w:proofErr w:type="gramEnd"/>
      <w:r w:rsidRPr="0248255D">
        <w:rPr>
          <w:rFonts w:ascii="Arial" w:hAnsi="Arial" w:cs="Arial"/>
          <w:sz w:val="24"/>
          <w:szCs w:val="24"/>
        </w:rPr>
        <w:t xml:space="preserve"> savings reported per year per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from cells R1101 to AD1101. </w:t>
      </w:r>
    </w:p>
    <w:p w14:paraId="2E908AE6" w14:textId="77777777" w:rsidR="00B27237" w:rsidRDefault="00B27237" w:rsidP="0044682C">
      <w:pPr>
        <w:pStyle w:val="ListParagraph"/>
        <w:numPr>
          <w:ilvl w:val="0"/>
          <w:numId w:val="8"/>
        </w:numPr>
        <w:contextualSpacing w:val="0"/>
        <w:rPr>
          <w:rFonts w:ascii="Arial" w:hAnsi="Arial" w:cs="Arial"/>
          <w:sz w:val="24"/>
          <w:szCs w:val="24"/>
        </w:rPr>
      </w:pPr>
      <w:r>
        <w:rPr>
          <w:rFonts w:ascii="Arial" w:hAnsi="Arial" w:cs="Arial"/>
          <w:sz w:val="24"/>
          <w:szCs w:val="24"/>
        </w:rPr>
        <w:t>Please confirm what the kW net peak demand savings persistence should be for 2020 City of Thunder Bay Streetlight (cells R1101 to AD1101)?</w:t>
      </w:r>
    </w:p>
    <w:p w14:paraId="7A2D629B" w14:textId="77777777" w:rsidR="00B27237" w:rsidRPr="00065966" w:rsidRDefault="00B27237" w:rsidP="0044682C">
      <w:pPr>
        <w:pStyle w:val="ListParagraph"/>
        <w:numPr>
          <w:ilvl w:val="0"/>
          <w:numId w:val="8"/>
        </w:numPr>
        <w:contextualSpacing w:val="0"/>
        <w:rPr>
          <w:rFonts w:ascii="Arial" w:hAnsi="Arial" w:cs="Arial"/>
          <w:sz w:val="24"/>
          <w:szCs w:val="24"/>
        </w:rPr>
      </w:pPr>
      <w:r w:rsidRPr="0248255D">
        <w:rPr>
          <w:rFonts w:ascii="Arial" w:hAnsi="Arial" w:cs="Arial"/>
          <w:sz w:val="24"/>
          <w:szCs w:val="24"/>
        </w:rPr>
        <w:t xml:space="preserve">If the confirmed amount in part a) above differs from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amounts from cells R1101 to AD1101, please update the corresponding cells in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and refile the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t>
      </w:r>
    </w:p>
    <w:p w14:paraId="3A2CD855" w14:textId="2BEC9E32" w:rsidR="00B27237" w:rsidRDefault="00B27237" w:rsidP="00B27237">
      <w:pPr>
        <w:spacing w:after="0"/>
        <w:rPr>
          <w:rFonts w:ascii="Arial" w:hAnsi="Arial" w:cs="Arial"/>
          <w:b/>
          <w:bCs/>
          <w:sz w:val="24"/>
          <w:szCs w:val="24"/>
        </w:rPr>
      </w:pPr>
      <w:r w:rsidRPr="001612E4">
        <w:rPr>
          <w:rFonts w:ascii="Arial" w:hAnsi="Arial" w:cs="Arial"/>
          <w:b/>
          <w:bCs/>
          <w:sz w:val="24"/>
          <w:szCs w:val="24"/>
        </w:rPr>
        <w:t>Staff Question-</w:t>
      </w:r>
      <w:r w:rsidR="00EC68F3">
        <w:rPr>
          <w:rFonts w:ascii="Arial" w:hAnsi="Arial" w:cs="Arial"/>
          <w:b/>
          <w:bCs/>
          <w:sz w:val="24"/>
          <w:szCs w:val="24"/>
        </w:rPr>
        <w:t>15</w:t>
      </w:r>
    </w:p>
    <w:p w14:paraId="657410D0" w14:textId="77777777" w:rsidR="00B27237" w:rsidRDefault="00B27237" w:rsidP="00B27237">
      <w:pPr>
        <w:spacing w:after="0"/>
        <w:rPr>
          <w:rFonts w:ascii="Arial" w:hAnsi="Arial" w:cs="Arial"/>
          <w:sz w:val="24"/>
          <w:szCs w:val="24"/>
        </w:rPr>
      </w:pPr>
      <w:r>
        <w:rPr>
          <w:rFonts w:ascii="Arial" w:hAnsi="Arial" w:cs="Arial"/>
          <w:sz w:val="24"/>
          <w:szCs w:val="24"/>
        </w:rPr>
        <w:t>LRAMVA – Thunder Bay RZ</w:t>
      </w:r>
    </w:p>
    <w:p w14:paraId="30B5F6E5" w14:textId="77777777" w:rsidR="00B27237" w:rsidRDefault="00B27237" w:rsidP="00B27237">
      <w:pPr>
        <w:spacing w:after="0"/>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w:t>
      </w:r>
      <w:r w:rsidRPr="001C50DF">
        <w:rPr>
          <w:rFonts w:ascii="Arial" w:hAnsi="Arial" w:cs="Arial"/>
          <w:sz w:val="24"/>
          <w:szCs w:val="24"/>
        </w:rPr>
        <w:t xml:space="preserve"> LRAMVA </w:t>
      </w:r>
      <w:proofErr w:type="spellStart"/>
      <w:r w:rsidRPr="001C50DF">
        <w:rPr>
          <w:rFonts w:ascii="Arial" w:hAnsi="Arial" w:cs="Arial"/>
          <w:sz w:val="24"/>
          <w:szCs w:val="24"/>
        </w:rPr>
        <w:t>Workform</w:t>
      </w:r>
      <w:proofErr w:type="spellEnd"/>
      <w:r w:rsidRPr="001C50DF">
        <w:rPr>
          <w:rFonts w:ascii="Arial" w:hAnsi="Arial" w:cs="Arial"/>
          <w:sz w:val="24"/>
          <w:szCs w:val="24"/>
        </w:rPr>
        <w:t xml:space="preserve">, Tab 5 </w:t>
      </w:r>
      <w:r>
        <w:rPr>
          <w:rFonts w:ascii="Arial" w:hAnsi="Arial" w:cs="Arial"/>
          <w:sz w:val="24"/>
          <w:szCs w:val="24"/>
        </w:rPr>
        <w:t xml:space="preserve">2015-2027 LRAM, 2021 City of Thunder Bay Streetlight </w:t>
      </w:r>
    </w:p>
    <w:p w14:paraId="4FCD8848" w14:textId="77777777" w:rsidR="00B27237" w:rsidRDefault="00B27237" w:rsidP="00B27237">
      <w:pPr>
        <w:rPr>
          <w:rFonts w:ascii="Arial" w:hAnsi="Arial" w:cs="Arial"/>
          <w:sz w:val="24"/>
          <w:szCs w:val="24"/>
        </w:rPr>
      </w:pPr>
      <w:r w:rsidRPr="00065966">
        <w:rPr>
          <w:rFonts w:ascii="Arial" w:hAnsi="Arial" w:cs="Arial"/>
          <w:b/>
          <w:bCs/>
          <w:sz w:val="24"/>
          <w:szCs w:val="24"/>
        </w:rPr>
        <w:t>Ref 2</w:t>
      </w:r>
      <w:r>
        <w:rPr>
          <w:rFonts w:ascii="Arial" w:hAnsi="Arial" w:cs="Arial"/>
          <w:b/>
          <w:bCs/>
          <w:sz w:val="24"/>
          <w:szCs w:val="24"/>
        </w:rPr>
        <w:t>:</w:t>
      </w:r>
      <w:r>
        <w:rPr>
          <w:rFonts w:ascii="Arial" w:hAnsi="Arial" w:cs="Arial"/>
          <w:sz w:val="24"/>
          <w:szCs w:val="24"/>
        </w:rPr>
        <w:t xml:space="preserve"> Synergy North 2023 Electricity Distribution Rate Application, PDF Page 26 of 35 </w:t>
      </w:r>
      <w:r w:rsidRPr="00065966">
        <w:rPr>
          <w:rFonts w:ascii="Arial" w:hAnsi="Arial" w:cs="Arial"/>
          <w:b/>
          <w:bCs/>
          <w:sz w:val="24"/>
          <w:szCs w:val="24"/>
        </w:rPr>
        <w:t>Ref 3</w:t>
      </w:r>
      <w:r>
        <w:rPr>
          <w:rFonts w:ascii="Arial" w:hAnsi="Arial" w:cs="Arial"/>
          <w:b/>
          <w:bCs/>
          <w:sz w:val="24"/>
          <w:szCs w:val="24"/>
        </w:rPr>
        <w:t>:</w:t>
      </w:r>
      <w:r>
        <w:rPr>
          <w:rFonts w:ascii="Arial" w:hAnsi="Arial" w:cs="Arial"/>
          <w:sz w:val="24"/>
          <w:szCs w:val="24"/>
        </w:rPr>
        <w:t xml:space="preserve"> Synergy North Annual Report_2020 2021 2022_CDM Savings</w:t>
      </w:r>
    </w:p>
    <w:p w14:paraId="1AF20AE0" w14:textId="77777777" w:rsidR="00B27237" w:rsidRDefault="00B27237" w:rsidP="00B27237">
      <w:pPr>
        <w:rPr>
          <w:rFonts w:ascii="Arial" w:hAnsi="Arial" w:cs="Arial"/>
          <w:sz w:val="24"/>
          <w:szCs w:val="24"/>
        </w:rPr>
      </w:pPr>
      <w:r w:rsidRPr="0248255D">
        <w:rPr>
          <w:rFonts w:ascii="Arial" w:hAnsi="Arial" w:cs="Arial"/>
          <w:sz w:val="24"/>
          <w:szCs w:val="24"/>
        </w:rPr>
        <w:t xml:space="preserve">Per Synergy North’s application, the kW savings the monthly bill was reduced by in 2021 is 237.49 kW. This differs from the reported amount per Synergy North Annual Report_2020 2021 2022_CDM Savings working paper of 628 kW which agrees with the sum of the kW savings reported per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from cells R1271 to AD1271. </w:t>
      </w:r>
    </w:p>
    <w:p w14:paraId="5297E93F" w14:textId="77777777" w:rsidR="00B27237" w:rsidRPr="005E320D" w:rsidRDefault="00B27237" w:rsidP="0044682C">
      <w:pPr>
        <w:pStyle w:val="ListParagraph"/>
        <w:numPr>
          <w:ilvl w:val="0"/>
          <w:numId w:val="9"/>
        </w:numPr>
        <w:contextualSpacing w:val="0"/>
        <w:rPr>
          <w:rFonts w:ascii="Arial" w:hAnsi="Arial" w:cs="Arial"/>
          <w:sz w:val="24"/>
          <w:szCs w:val="24"/>
        </w:rPr>
      </w:pPr>
      <w:r w:rsidRPr="005E320D">
        <w:rPr>
          <w:rFonts w:ascii="Arial" w:hAnsi="Arial" w:cs="Arial"/>
          <w:sz w:val="24"/>
          <w:szCs w:val="24"/>
        </w:rPr>
        <w:t xml:space="preserve">Please confirm what the kW </w:t>
      </w:r>
      <w:r>
        <w:rPr>
          <w:rFonts w:ascii="Arial" w:hAnsi="Arial" w:cs="Arial"/>
          <w:sz w:val="24"/>
          <w:szCs w:val="24"/>
        </w:rPr>
        <w:t xml:space="preserve">net peak demand savings persistence </w:t>
      </w:r>
      <w:r w:rsidRPr="005E320D">
        <w:rPr>
          <w:rFonts w:ascii="Arial" w:hAnsi="Arial" w:cs="Arial"/>
          <w:sz w:val="24"/>
          <w:szCs w:val="24"/>
        </w:rPr>
        <w:t>should be for 2021 City of Thunder Bay Streetlight</w:t>
      </w:r>
      <w:r>
        <w:rPr>
          <w:rFonts w:ascii="Arial" w:hAnsi="Arial" w:cs="Arial"/>
          <w:sz w:val="24"/>
          <w:szCs w:val="24"/>
        </w:rPr>
        <w:t xml:space="preserve"> (cells R1271 to AD1271)</w:t>
      </w:r>
      <w:r w:rsidRPr="005E320D">
        <w:rPr>
          <w:rFonts w:ascii="Arial" w:hAnsi="Arial" w:cs="Arial"/>
          <w:sz w:val="24"/>
          <w:szCs w:val="24"/>
        </w:rPr>
        <w:t>?</w:t>
      </w:r>
    </w:p>
    <w:p w14:paraId="28DC06BB" w14:textId="77777777" w:rsidR="00B27237" w:rsidRPr="00065966" w:rsidRDefault="00B27237" w:rsidP="0044682C">
      <w:pPr>
        <w:pStyle w:val="ListParagraph"/>
        <w:numPr>
          <w:ilvl w:val="0"/>
          <w:numId w:val="9"/>
        </w:numPr>
        <w:contextualSpacing w:val="0"/>
        <w:rPr>
          <w:rFonts w:ascii="Arial" w:hAnsi="Arial" w:cs="Arial"/>
          <w:sz w:val="24"/>
          <w:szCs w:val="24"/>
        </w:rPr>
      </w:pPr>
      <w:r w:rsidRPr="0248255D">
        <w:rPr>
          <w:rFonts w:ascii="Arial" w:hAnsi="Arial" w:cs="Arial"/>
          <w:sz w:val="24"/>
          <w:szCs w:val="24"/>
        </w:rPr>
        <w:t xml:space="preserve">If the confirmed amount in part a) above differs from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amounts from cells R1271 to AD1271, please update the corresponding cells in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and refile the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t>
      </w:r>
    </w:p>
    <w:p w14:paraId="1BFAFC8B" w14:textId="2F7DB22A" w:rsidR="00B27237" w:rsidRDefault="00B27237" w:rsidP="00B27237">
      <w:pPr>
        <w:spacing w:after="0"/>
        <w:rPr>
          <w:rFonts w:ascii="Arial" w:hAnsi="Arial" w:cs="Arial"/>
          <w:b/>
          <w:bCs/>
          <w:sz w:val="24"/>
          <w:szCs w:val="24"/>
        </w:rPr>
      </w:pPr>
      <w:r w:rsidRPr="001612E4">
        <w:rPr>
          <w:rFonts w:ascii="Arial" w:hAnsi="Arial" w:cs="Arial"/>
          <w:b/>
          <w:bCs/>
          <w:sz w:val="24"/>
          <w:szCs w:val="24"/>
        </w:rPr>
        <w:t>Staff Question-</w:t>
      </w:r>
      <w:r w:rsidR="00EC68F3">
        <w:rPr>
          <w:rFonts w:ascii="Arial" w:hAnsi="Arial" w:cs="Arial"/>
          <w:b/>
          <w:bCs/>
          <w:sz w:val="24"/>
          <w:szCs w:val="24"/>
        </w:rPr>
        <w:t>16</w:t>
      </w:r>
    </w:p>
    <w:p w14:paraId="06B7145A" w14:textId="77777777" w:rsidR="00B27237" w:rsidRDefault="00B27237" w:rsidP="00B27237">
      <w:pPr>
        <w:spacing w:after="0"/>
        <w:rPr>
          <w:rFonts w:ascii="Arial" w:hAnsi="Arial" w:cs="Arial"/>
          <w:sz w:val="24"/>
          <w:szCs w:val="24"/>
        </w:rPr>
      </w:pPr>
      <w:r>
        <w:rPr>
          <w:rFonts w:ascii="Arial" w:hAnsi="Arial" w:cs="Arial"/>
          <w:sz w:val="24"/>
          <w:szCs w:val="24"/>
        </w:rPr>
        <w:t>LRAMVA – Kenora Bay RZ</w:t>
      </w:r>
    </w:p>
    <w:p w14:paraId="3894687C" w14:textId="77777777" w:rsidR="00B27237" w:rsidRDefault="00B27237" w:rsidP="00B27237">
      <w:pPr>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 xml:space="preserve">: </w:t>
      </w:r>
      <w:r>
        <w:rPr>
          <w:rFonts w:ascii="Arial" w:hAnsi="Arial" w:cs="Arial"/>
          <w:sz w:val="24"/>
          <w:szCs w:val="24"/>
        </w:rPr>
        <w:t xml:space="preserve">LRAMVA </w:t>
      </w:r>
      <w:proofErr w:type="spellStart"/>
      <w:r>
        <w:rPr>
          <w:rFonts w:ascii="Arial" w:hAnsi="Arial" w:cs="Arial"/>
          <w:sz w:val="24"/>
          <w:szCs w:val="24"/>
        </w:rPr>
        <w:t>Workform</w:t>
      </w:r>
      <w:proofErr w:type="spellEnd"/>
      <w:r>
        <w:rPr>
          <w:rFonts w:ascii="Arial" w:hAnsi="Arial" w:cs="Arial"/>
          <w:sz w:val="24"/>
          <w:szCs w:val="24"/>
        </w:rPr>
        <w:t>, Tab 1 LRAMVA Summary</w:t>
      </w:r>
    </w:p>
    <w:p w14:paraId="307921D5" w14:textId="77777777" w:rsidR="00B27237" w:rsidRDefault="00B27237" w:rsidP="00B27237">
      <w:pPr>
        <w:rPr>
          <w:rFonts w:ascii="Arial" w:hAnsi="Arial" w:cs="Arial"/>
          <w:sz w:val="24"/>
          <w:szCs w:val="24"/>
        </w:rPr>
      </w:pPr>
      <w:r w:rsidRPr="0248255D">
        <w:rPr>
          <w:rFonts w:ascii="Arial" w:hAnsi="Arial" w:cs="Arial"/>
          <w:sz w:val="24"/>
          <w:szCs w:val="24"/>
        </w:rPr>
        <w:t xml:space="preserve">There is a discrepancy between the balance reported in LRAMVA account #1568 per cell H22 ($207,485) and cell G44 ($210,265) of Tab 1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t>
      </w:r>
    </w:p>
    <w:p w14:paraId="3213B87A" w14:textId="77777777" w:rsidR="00B27237" w:rsidRPr="00B838E5" w:rsidRDefault="00B27237" w:rsidP="0044682C">
      <w:pPr>
        <w:pStyle w:val="ListParagraph"/>
        <w:numPr>
          <w:ilvl w:val="0"/>
          <w:numId w:val="12"/>
        </w:numPr>
        <w:contextualSpacing w:val="0"/>
        <w:rPr>
          <w:rFonts w:ascii="Arial" w:hAnsi="Arial" w:cs="Arial"/>
          <w:sz w:val="24"/>
          <w:szCs w:val="24"/>
        </w:rPr>
      </w:pPr>
      <w:r w:rsidRPr="00B838E5">
        <w:rPr>
          <w:rFonts w:ascii="Arial" w:hAnsi="Arial" w:cs="Arial"/>
          <w:sz w:val="24"/>
          <w:szCs w:val="24"/>
        </w:rPr>
        <w:lastRenderedPageBreak/>
        <w:t xml:space="preserve">Please confirm the LRAMVA amount Synergy North is requesting to dispose of in the Kenora Bay RZ - is it a debit balance of $207,485 or $210,265? The difference of $2,780 appears to be a sum of the difference between actual and forecasted savings in 2011 for all rate classes as seen in row 57 of Tab 1 of the LRAMVA </w:t>
      </w:r>
      <w:proofErr w:type="spellStart"/>
      <w:r w:rsidRPr="00B838E5">
        <w:rPr>
          <w:rFonts w:ascii="Arial" w:hAnsi="Arial" w:cs="Arial"/>
          <w:sz w:val="24"/>
          <w:szCs w:val="24"/>
        </w:rPr>
        <w:t>Workform</w:t>
      </w:r>
      <w:proofErr w:type="spellEnd"/>
      <w:r w:rsidRPr="00B838E5">
        <w:rPr>
          <w:rFonts w:ascii="Arial" w:hAnsi="Arial" w:cs="Arial"/>
          <w:sz w:val="24"/>
          <w:szCs w:val="24"/>
        </w:rPr>
        <w:t>.</w:t>
      </w:r>
    </w:p>
    <w:p w14:paraId="3DC19D0F" w14:textId="1818F29E" w:rsidR="00B27237" w:rsidRPr="00EC68F3" w:rsidRDefault="00B27237" w:rsidP="00EC68F3">
      <w:pPr>
        <w:pStyle w:val="ListParagraph"/>
        <w:numPr>
          <w:ilvl w:val="0"/>
          <w:numId w:val="12"/>
        </w:numPr>
        <w:contextualSpacing w:val="0"/>
        <w:rPr>
          <w:rFonts w:ascii="Arial" w:hAnsi="Arial" w:cs="Arial"/>
          <w:sz w:val="24"/>
          <w:szCs w:val="24"/>
        </w:rPr>
      </w:pPr>
      <w:r w:rsidRPr="0248255D">
        <w:rPr>
          <w:rFonts w:ascii="Arial" w:hAnsi="Arial" w:cs="Arial"/>
          <w:sz w:val="24"/>
          <w:szCs w:val="24"/>
        </w:rPr>
        <w:t xml:space="preserve">If the LRAMVA amount is $207,485, please update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by removing the “amount cleared” fields in row 57 of Tab 1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to ensure that the balance in cell R92 coincides with the balance in cell H22 and cell G44. </w:t>
      </w:r>
    </w:p>
    <w:p w14:paraId="47B30C56" w14:textId="3EC9E837" w:rsidR="00B27237" w:rsidRDefault="00B27237" w:rsidP="00B27237">
      <w:pPr>
        <w:spacing w:after="0"/>
        <w:rPr>
          <w:rFonts w:ascii="Arial" w:hAnsi="Arial" w:cs="Arial"/>
          <w:b/>
          <w:bCs/>
          <w:sz w:val="24"/>
          <w:szCs w:val="24"/>
        </w:rPr>
      </w:pPr>
      <w:r w:rsidRPr="001612E4">
        <w:rPr>
          <w:rFonts w:ascii="Arial" w:hAnsi="Arial" w:cs="Arial"/>
          <w:b/>
          <w:bCs/>
          <w:sz w:val="24"/>
          <w:szCs w:val="24"/>
        </w:rPr>
        <w:t>Staff Question-</w:t>
      </w:r>
      <w:r w:rsidR="00EC68F3">
        <w:rPr>
          <w:rFonts w:ascii="Arial" w:hAnsi="Arial" w:cs="Arial"/>
          <w:b/>
          <w:bCs/>
          <w:sz w:val="24"/>
          <w:szCs w:val="24"/>
        </w:rPr>
        <w:t>17</w:t>
      </w:r>
    </w:p>
    <w:p w14:paraId="3AED0873" w14:textId="77777777" w:rsidR="00B27237" w:rsidRDefault="00B27237" w:rsidP="00B27237">
      <w:pPr>
        <w:spacing w:after="0"/>
        <w:rPr>
          <w:rFonts w:ascii="Arial" w:hAnsi="Arial" w:cs="Arial"/>
          <w:sz w:val="24"/>
          <w:szCs w:val="24"/>
        </w:rPr>
      </w:pPr>
      <w:r>
        <w:rPr>
          <w:rFonts w:ascii="Arial" w:hAnsi="Arial" w:cs="Arial"/>
          <w:sz w:val="24"/>
          <w:szCs w:val="24"/>
        </w:rPr>
        <w:t>LRAMVA – Kenora Bay RZ</w:t>
      </w:r>
    </w:p>
    <w:p w14:paraId="3269E903" w14:textId="77777777" w:rsidR="00B27237" w:rsidRDefault="00B27237" w:rsidP="00B27237">
      <w:pPr>
        <w:spacing w:after="0"/>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w:t>
      </w:r>
      <w:r>
        <w:rPr>
          <w:rFonts w:ascii="Arial" w:hAnsi="Arial" w:cs="Arial"/>
          <w:sz w:val="24"/>
          <w:szCs w:val="24"/>
        </w:rPr>
        <w:t xml:space="preserve"> LRAMVA </w:t>
      </w:r>
      <w:proofErr w:type="spellStart"/>
      <w:r>
        <w:rPr>
          <w:rFonts w:ascii="Arial" w:hAnsi="Arial" w:cs="Arial"/>
          <w:sz w:val="24"/>
          <w:szCs w:val="24"/>
        </w:rPr>
        <w:t>Workform</w:t>
      </w:r>
      <w:proofErr w:type="spellEnd"/>
      <w:r>
        <w:rPr>
          <w:rFonts w:ascii="Arial" w:hAnsi="Arial" w:cs="Arial"/>
          <w:sz w:val="24"/>
          <w:szCs w:val="24"/>
        </w:rPr>
        <w:t xml:space="preserve">, Tab 5 2015-2027 LRAM, 2018 Save on Energy Retrofit Program  </w:t>
      </w:r>
    </w:p>
    <w:p w14:paraId="241CEBA3" w14:textId="77777777" w:rsidR="00B27237" w:rsidRDefault="00B27237" w:rsidP="00B27237">
      <w:pPr>
        <w:rPr>
          <w:rFonts w:ascii="Arial" w:hAnsi="Arial" w:cs="Arial"/>
          <w:sz w:val="24"/>
          <w:szCs w:val="24"/>
        </w:rPr>
      </w:pPr>
      <w:r w:rsidRPr="00065966">
        <w:rPr>
          <w:rFonts w:ascii="Arial" w:hAnsi="Arial" w:cs="Arial"/>
          <w:b/>
          <w:bCs/>
          <w:sz w:val="24"/>
          <w:szCs w:val="24"/>
        </w:rPr>
        <w:t>Ref 2</w:t>
      </w:r>
      <w:r>
        <w:rPr>
          <w:rFonts w:ascii="Arial" w:hAnsi="Arial" w:cs="Arial"/>
          <w:b/>
          <w:bCs/>
          <w:sz w:val="24"/>
          <w:szCs w:val="24"/>
        </w:rPr>
        <w:t>:</w:t>
      </w:r>
      <w:r>
        <w:rPr>
          <w:rFonts w:ascii="Arial" w:hAnsi="Arial" w:cs="Arial"/>
          <w:sz w:val="24"/>
          <w:szCs w:val="24"/>
        </w:rPr>
        <w:t xml:space="preserve"> LRAMVA </w:t>
      </w:r>
      <w:proofErr w:type="spellStart"/>
      <w:r>
        <w:rPr>
          <w:rFonts w:ascii="Arial" w:hAnsi="Arial" w:cs="Arial"/>
          <w:sz w:val="24"/>
          <w:szCs w:val="24"/>
        </w:rPr>
        <w:t>Workform</w:t>
      </w:r>
      <w:proofErr w:type="spellEnd"/>
      <w:r>
        <w:rPr>
          <w:rFonts w:ascii="Arial" w:hAnsi="Arial" w:cs="Arial"/>
          <w:sz w:val="24"/>
          <w:szCs w:val="24"/>
        </w:rPr>
        <w:t xml:space="preserve">, Tab 7 Persistence Report </w:t>
      </w:r>
    </w:p>
    <w:p w14:paraId="04889400" w14:textId="77777777" w:rsidR="00B27237" w:rsidRDefault="00B27237" w:rsidP="00B27237">
      <w:pPr>
        <w:rPr>
          <w:rFonts w:ascii="Arial" w:hAnsi="Arial" w:cs="Arial"/>
          <w:sz w:val="24"/>
          <w:szCs w:val="24"/>
        </w:rPr>
      </w:pPr>
      <w:r w:rsidRPr="0248255D">
        <w:rPr>
          <w:rFonts w:ascii="Arial" w:hAnsi="Arial" w:cs="Arial"/>
          <w:sz w:val="24"/>
          <w:szCs w:val="24"/>
        </w:rPr>
        <w:t xml:space="preserve">Some net peak demand savings persistence (kW) reported per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for the Save on Energy Retrofit Program in 2018 does not coincide with Tab 7 Persistence report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t>
      </w:r>
    </w:p>
    <w:p w14:paraId="06A277EE" w14:textId="77777777" w:rsidR="00B27237" w:rsidRPr="00065966" w:rsidRDefault="00B27237" w:rsidP="0044682C">
      <w:pPr>
        <w:pStyle w:val="ListParagraph"/>
        <w:numPr>
          <w:ilvl w:val="0"/>
          <w:numId w:val="10"/>
        </w:numPr>
        <w:contextualSpacing w:val="0"/>
        <w:rPr>
          <w:rFonts w:ascii="Arial" w:hAnsi="Arial" w:cs="Arial"/>
          <w:sz w:val="24"/>
          <w:szCs w:val="24"/>
        </w:rPr>
      </w:pPr>
      <w:r w:rsidRPr="0248255D">
        <w:rPr>
          <w:rFonts w:ascii="Arial" w:hAnsi="Arial" w:cs="Arial"/>
          <w:sz w:val="24"/>
          <w:szCs w:val="24"/>
        </w:rPr>
        <w:t xml:space="preserve">Please confirm the net peak demand savings persistence (kW) from 2018 to 2030 for the Save on Energy Retrofit Program in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(row 691). By comparing the savings reported per Tab 5 and Tab 7 for the Save on Energy Retrofit Program in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it appears there is a discrepancy in years 2022, 2027, 2029 and 2030. If there are discrepancies, please update and refile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accordingly. </w:t>
      </w:r>
    </w:p>
    <w:p w14:paraId="21DF9438" w14:textId="08734700" w:rsidR="00B27237" w:rsidRDefault="00B27237" w:rsidP="00B27237">
      <w:pPr>
        <w:spacing w:after="0"/>
        <w:rPr>
          <w:rFonts w:ascii="Arial" w:hAnsi="Arial" w:cs="Arial"/>
          <w:b/>
          <w:bCs/>
          <w:sz w:val="24"/>
          <w:szCs w:val="24"/>
        </w:rPr>
      </w:pPr>
      <w:r w:rsidRPr="001612E4">
        <w:rPr>
          <w:rFonts w:ascii="Arial" w:hAnsi="Arial" w:cs="Arial"/>
          <w:b/>
          <w:bCs/>
          <w:sz w:val="24"/>
          <w:szCs w:val="24"/>
        </w:rPr>
        <w:t>Staff Question-</w:t>
      </w:r>
      <w:r w:rsidR="00EC68F3">
        <w:rPr>
          <w:rFonts w:ascii="Arial" w:hAnsi="Arial" w:cs="Arial"/>
          <w:b/>
          <w:bCs/>
          <w:sz w:val="24"/>
          <w:szCs w:val="24"/>
        </w:rPr>
        <w:t>18</w:t>
      </w:r>
    </w:p>
    <w:p w14:paraId="1945E902" w14:textId="77777777" w:rsidR="00B27237" w:rsidRDefault="00B27237" w:rsidP="00B27237">
      <w:pPr>
        <w:spacing w:after="0"/>
        <w:rPr>
          <w:rFonts w:ascii="Arial" w:hAnsi="Arial" w:cs="Arial"/>
          <w:sz w:val="24"/>
          <w:szCs w:val="24"/>
        </w:rPr>
      </w:pPr>
      <w:r>
        <w:rPr>
          <w:rFonts w:ascii="Arial" w:hAnsi="Arial" w:cs="Arial"/>
          <w:sz w:val="24"/>
          <w:szCs w:val="24"/>
        </w:rPr>
        <w:t>LRAMVA – Kenora Bay RZ</w:t>
      </w:r>
    </w:p>
    <w:p w14:paraId="2A08C234" w14:textId="77777777" w:rsidR="00B27237" w:rsidRDefault="00B27237" w:rsidP="00B27237">
      <w:pPr>
        <w:rPr>
          <w:rFonts w:ascii="Arial" w:hAnsi="Arial" w:cs="Arial"/>
          <w:sz w:val="24"/>
          <w:szCs w:val="24"/>
        </w:rPr>
      </w:pPr>
      <w:r w:rsidRPr="00065966">
        <w:rPr>
          <w:rFonts w:ascii="Arial" w:hAnsi="Arial" w:cs="Arial"/>
          <w:b/>
          <w:bCs/>
          <w:sz w:val="24"/>
          <w:szCs w:val="24"/>
        </w:rPr>
        <w:t>Ref 1</w:t>
      </w:r>
      <w:r>
        <w:rPr>
          <w:rFonts w:ascii="Arial" w:hAnsi="Arial" w:cs="Arial"/>
          <w:b/>
          <w:bCs/>
          <w:sz w:val="24"/>
          <w:szCs w:val="24"/>
        </w:rPr>
        <w:t>:</w:t>
      </w:r>
      <w:r>
        <w:rPr>
          <w:rFonts w:ascii="Arial" w:hAnsi="Arial" w:cs="Arial"/>
          <w:sz w:val="24"/>
          <w:szCs w:val="24"/>
        </w:rPr>
        <w:t xml:space="preserve"> LRAMVA </w:t>
      </w:r>
      <w:proofErr w:type="spellStart"/>
      <w:r>
        <w:rPr>
          <w:rFonts w:ascii="Arial" w:hAnsi="Arial" w:cs="Arial"/>
          <w:sz w:val="24"/>
          <w:szCs w:val="24"/>
        </w:rPr>
        <w:t>Workform</w:t>
      </w:r>
      <w:proofErr w:type="spellEnd"/>
      <w:r>
        <w:rPr>
          <w:rFonts w:ascii="Arial" w:hAnsi="Arial" w:cs="Arial"/>
          <w:sz w:val="24"/>
          <w:szCs w:val="24"/>
        </w:rPr>
        <w:t xml:space="preserve">, Tab 5 2015-2027 LRAM, 2020 Block Heater Timer Program </w:t>
      </w:r>
    </w:p>
    <w:p w14:paraId="2D0EFB84" w14:textId="77777777" w:rsidR="00B27237" w:rsidRDefault="00B27237" w:rsidP="00B27237">
      <w:pPr>
        <w:rPr>
          <w:rFonts w:ascii="Arial" w:hAnsi="Arial" w:cs="Arial"/>
          <w:sz w:val="24"/>
          <w:szCs w:val="24"/>
        </w:rPr>
      </w:pPr>
      <w:r w:rsidRPr="0248255D">
        <w:rPr>
          <w:rFonts w:ascii="Arial" w:hAnsi="Arial" w:cs="Arial"/>
          <w:sz w:val="24"/>
          <w:szCs w:val="24"/>
        </w:rPr>
        <w:t xml:space="preserve">Verified net energy savings in 2020 and net energy savings persistence through to 2032 reported in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for the Block Heater Timer Program could not be tied to the Synergy North Annual Report_2020 2021 2022 CDM Savings report referenced in Synergy North’s application. </w:t>
      </w:r>
    </w:p>
    <w:p w14:paraId="32D3BA64" w14:textId="77777777" w:rsidR="00B27237" w:rsidRPr="00065966" w:rsidRDefault="00B27237" w:rsidP="0044682C">
      <w:pPr>
        <w:pStyle w:val="ListParagraph"/>
        <w:numPr>
          <w:ilvl w:val="0"/>
          <w:numId w:val="11"/>
        </w:numPr>
        <w:contextualSpacing w:val="0"/>
        <w:rPr>
          <w:rFonts w:ascii="Arial" w:hAnsi="Arial" w:cs="Arial"/>
          <w:sz w:val="24"/>
          <w:szCs w:val="24"/>
        </w:rPr>
      </w:pPr>
      <w:r w:rsidRPr="0248255D">
        <w:rPr>
          <w:rFonts w:ascii="Arial" w:hAnsi="Arial" w:cs="Arial"/>
          <w:sz w:val="24"/>
          <w:szCs w:val="24"/>
        </w:rPr>
        <w:t xml:space="preserve">Please provide calculation support for the savings reports in cells D1104 through to P1104 for the Block Heater Timer Program per Tab 5 of the LRAMVA </w:t>
      </w:r>
      <w:proofErr w:type="spellStart"/>
      <w:r w:rsidRPr="0248255D">
        <w:rPr>
          <w:rFonts w:ascii="Arial" w:hAnsi="Arial" w:cs="Arial"/>
          <w:sz w:val="24"/>
          <w:szCs w:val="24"/>
        </w:rPr>
        <w:t>Workform</w:t>
      </w:r>
      <w:proofErr w:type="spellEnd"/>
      <w:r w:rsidRPr="0248255D">
        <w:rPr>
          <w:rFonts w:ascii="Arial" w:hAnsi="Arial" w:cs="Arial"/>
          <w:sz w:val="24"/>
          <w:szCs w:val="24"/>
        </w:rPr>
        <w:t xml:space="preserve">. </w:t>
      </w:r>
    </w:p>
    <w:p w14:paraId="7FA25415" w14:textId="3637510D" w:rsidR="00B27237" w:rsidRPr="009E5A83" w:rsidRDefault="00B27237" w:rsidP="00B27237">
      <w:pPr>
        <w:spacing w:after="0"/>
        <w:rPr>
          <w:rFonts w:ascii="Arial" w:hAnsi="Arial" w:cs="Arial"/>
          <w:b/>
          <w:bCs/>
          <w:sz w:val="24"/>
          <w:szCs w:val="24"/>
        </w:rPr>
      </w:pPr>
      <w:r w:rsidRPr="009E5A83">
        <w:rPr>
          <w:rFonts w:ascii="Arial" w:hAnsi="Arial" w:cs="Arial"/>
          <w:b/>
          <w:bCs/>
          <w:sz w:val="24"/>
          <w:szCs w:val="24"/>
        </w:rPr>
        <w:t>Staff Question-</w:t>
      </w:r>
      <w:r w:rsidR="00EC68F3">
        <w:rPr>
          <w:rFonts w:ascii="Arial" w:hAnsi="Arial" w:cs="Arial"/>
          <w:b/>
          <w:bCs/>
          <w:sz w:val="24"/>
          <w:szCs w:val="24"/>
        </w:rPr>
        <w:t>19</w:t>
      </w:r>
    </w:p>
    <w:p w14:paraId="1180ADF5" w14:textId="77777777" w:rsidR="00B27237" w:rsidRPr="009E5A83" w:rsidRDefault="00B27237" w:rsidP="00B27237">
      <w:pPr>
        <w:spacing w:after="0"/>
        <w:rPr>
          <w:rFonts w:ascii="Arial" w:hAnsi="Arial" w:cs="Arial"/>
          <w:sz w:val="24"/>
          <w:szCs w:val="24"/>
        </w:rPr>
      </w:pPr>
      <w:r w:rsidRPr="009E5A83">
        <w:rPr>
          <w:rFonts w:ascii="Arial" w:hAnsi="Arial" w:cs="Arial"/>
          <w:sz w:val="24"/>
          <w:szCs w:val="24"/>
        </w:rPr>
        <w:t xml:space="preserve">LRAMVA – Thunder Bay </w:t>
      </w:r>
      <w:r>
        <w:rPr>
          <w:rFonts w:ascii="Arial" w:hAnsi="Arial" w:cs="Arial"/>
          <w:sz w:val="24"/>
          <w:szCs w:val="24"/>
        </w:rPr>
        <w:t xml:space="preserve">RZ </w:t>
      </w:r>
      <w:r w:rsidRPr="009E5A83">
        <w:rPr>
          <w:rFonts w:ascii="Arial" w:hAnsi="Arial" w:cs="Arial"/>
          <w:sz w:val="24"/>
          <w:szCs w:val="24"/>
        </w:rPr>
        <w:t>&amp; Kenora RZ</w:t>
      </w:r>
    </w:p>
    <w:p w14:paraId="109E3B17" w14:textId="77777777" w:rsidR="00B27237" w:rsidRPr="00065966" w:rsidRDefault="00B27237" w:rsidP="00B27237">
      <w:pPr>
        <w:rPr>
          <w:rFonts w:ascii="Arial" w:hAnsi="Arial" w:cs="Arial"/>
          <w:sz w:val="24"/>
          <w:szCs w:val="24"/>
        </w:rPr>
      </w:pPr>
      <w:r w:rsidRPr="00065966">
        <w:rPr>
          <w:rFonts w:ascii="Arial" w:hAnsi="Arial" w:cs="Arial"/>
          <w:b/>
          <w:bCs/>
          <w:sz w:val="24"/>
          <w:szCs w:val="24"/>
        </w:rPr>
        <w:lastRenderedPageBreak/>
        <w:t>Ref 1</w:t>
      </w:r>
      <w:r>
        <w:rPr>
          <w:rFonts w:ascii="Arial" w:hAnsi="Arial" w:cs="Arial"/>
          <w:b/>
          <w:bCs/>
          <w:sz w:val="24"/>
          <w:szCs w:val="24"/>
        </w:rPr>
        <w:t>:</w:t>
      </w:r>
      <w:r>
        <w:rPr>
          <w:rFonts w:ascii="Arial" w:hAnsi="Arial" w:cs="Arial"/>
          <w:sz w:val="24"/>
          <w:szCs w:val="24"/>
        </w:rPr>
        <w:t xml:space="preserve"> IRM Rate Generator Model, Tab 3</w:t>
      </w:r>
    </w:p>
    <w:p w14:paraId="214DA5D8" w14:textId="0B2A937B" w:rsidR="00B27237" w:rsidRDefault="00B27237" w:rsidP="00B27237">
      <w:pPr>
        <w:rPr>
          <w:rFonts w:ascii="Arial" w:hAnsi="Arial" w:cs="Arial"/>
          <w:sz w:val="24"/>
          <w:szCs w:val="24"/>
        </w:rPr>
      </w:pPr>
      <w:r w:rsidRPr="0CE938FD">
        <w:rPr>
          <w:rFonts w:ascii="Arial" w:hAnsi="Arial" w:cs="Arial"/>
          <w:sz w:val="24"/>
          <w:szCs w:val="24"/>
        </w:rPr>
        <w:t xml:space="preserve">Synergy North correctly populated Tab 18 of the IRM Rate Generator Model with the 2023 rate rider for 2023, adjusted by the inflation minus x-factor to this balance to determine the final rate rider for both the Thunder Bay RZ and Kenora RZ. However, OEB staff is unable to tie the LRAMVA balance in Tab 3 of the IRM Rate Generator Model to the respective LRAMVA amounts in Tab 1 of the LRAMVA </w:t>
      </w:r>
      <w:proofErr w:type="spellStart"/>
      <w:r w:rsidRPr="0CE938FD">
        <w:rPr>
          <w:rFonts w:ascii="Arial" w:hAnsi="Arial" w:cs="Arial"/>
          <w:sz w:val="24"/>
          <w:szCs w:val="24"/>
        </w:rPr>
        <w:t>Workform</w:t>
      </w:r>
      <w:proofErr w:type="spellEnd"/>
      <w:r w:rsidRPr="0CE938FD">
        <w:rPr>
          <w:rFonts w:ascii="Arial" w:hAnsi="Arial" w:cs="Arial"/>
          <w:sz w:val="24"/>
          <w:szCs w:val="24"/>
        </w:rPr>
        <w:t xml:space="preserve"> for both R</w:t>
      </w:r>
      <w:r w:rsidR="004F262F">
        <w:rPr>
          <w:rFonts w:ascii="Arial" w:hAnsi="Arial" w:cs="Arial"/>
          <w:sz w:val="24"/>
          <w:szCs w:val="24"/>
        </w:rPr>
        <w:t>Z</w:t>
      </w:r>
      <w:r w:rsidRPr="0CE938FD">
        <w:rPr>
          <w:rFonts w:ascii="Arial" w:hAnsi="Arial" w:cs="Arial"/>
          <w:sz w:val="24"/>
          <w:szCs w:val="24"/>
        </w:rPr>
        <w:t>s.</w:t>
      </w:r>
    </w:p>
    <w:p w14:paraId="3AE003B2" w14:textId="1303A13D" w:rsidR="00B27237" w:rsidRDefault="00B27237" w:rsidP="0044682C">
      <w:pPr>
        <w:pStyle w:val="ListParagraph"/>
        <w:numPr>
          <w:ilvl w:val="0"/>
          <w:numId w:val="13"/>
        </w:numPr>
        <w:contextualSpacing w:val="0"/>
        <w:rPr>
          <w:rFonts w:ascii="Arial" w:hAnsi="Arial" w:cs="Arial"/>
          <w:sz w:val="24"/>
          <w:szCs w:val="24"/>
        </w:rPr>
      </w:pPr>
      <w:r>
        <w:rPr>
          <w:rFonts w:ascii="Arial" w:hAnsi="Arial" w:cs="Arial"/>
          <w:sz w:val="24"/>
          <w:szCs w:val="24"/>
        </w:rPr>
        <w:t>Please update Tab 3 of the IRM Rate Generator Model for both R</w:t>
      </w:r>
      <w:r w:rsidR="004F262F">
        <w:rPr>
          <w:rFonts w:ascii="Arial" w:hAnsi="Arial" w:cs="Arial"/>
          <w:sz w:val="24"/>
          <w:szCs w:val="24"/>
        </w:rPr>
        <w:t>Z</w:t>
      </w:r>
      <w:r>
        <w:rPr>
          <w:rFonts w:ascii="Arial" w:hAnsi="Arial" w:cs="Arial"/>
          <w:sz w:val="24"/>
          <w:szCs w:val="24"/>
        </w:rPr>
        <w:t xml:space="preserve">s. </w:t>
      </w:r>
    </w:p>
    <w:p w14:paraId="03EC8059" w14:textId="32F12FE9" w:rsidR="00011C1E" w:rsidRDefault="00011C1E" w:rsidP="00011C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Staff Question-</w:t>
      </w:r>
      <w:r w:rsidR="00EC68F3">
        <w:rPr>
          <w:rStyle w:val="normaltextrun"/>
          <w:rFonts w:ascii="Arial" w:hAnsi="Arial" w:cs="Arial"/>
          <w:b/>
          <w:bCs/>
        </w:rPr>
        <w:t>20</w:t>
      </w:r>
      <w:r>
        <w:rPr>
          <w:rStyle w:val="normaltextrun"/>
          <w:rFonts w:ascii="Arial" w:hAnsi="Arial" w:cs="Arial"/>
          <w:b/>
          <w:bCs/>
        </w:rPr>
        <w:t xml:space="preserve"> </w:t>
      </w:r>
      <w:r>
        <w:rPr>
          <w:rStyle w:val="eop"/>
          <w:rFonts w:ascii="Arial" w:hAnsi="Arial" w:cs="Arial"/>
        </w:rPr>
        <w:t> </w:t>
      </w:r>
    </w:p>
    <w:p w14:paraId="230481A5" w14:textId="77777777" w:rsidR="00011C1E" w:rsidRDefault="00011C1E" w:rsidP="00011C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LRAMVA – Thunder Bay RZ </w:t>
      </w:r>
      <w:r>
        <w:rPr>
          <w:rStyle w:val="eop"/>
          <w:rFonts w:ascii="Arial" w:hAnsi="Arial" w:cs="Arial"/>
        </w:rPr>
        <w:t> </w:t>
      </w:r>
    </w:p>
    <w:p w14:paraId="7EEE49F7" w14:textId="2D46ACF0" w:rsidR="00011C1E" w:rsidRDefault="00011C1E" w:rsidP="00011C1E">
      <w:pPr>
        <w:pStyle w:val="paragraph"/>
        <w:spacing w:before="0" w:beforeAutospacing="0" w:after="0" w:afterAutospacing="0"/>
        <w:textAlignment w:val="baseline"/>
        <w:rPr>
          <w:rFonts w:ascii="Segoe UI" w:hAnsi="Segoe UI" w:cs="Segoe UI"/>
          <w:sz w:val="18"/>
          <w:szCs w:val="18"/>
        </w:rPr>
      </w:pPr>
      <w:r w:rsidRPr="00011C1E">
        <w:rPr>
          <w:rStyle w:val="normaltextrun"/>
          <w:rFonts w:ascii="Arial" w:hAnsi="Arial" w:cs="Arial"/>
          <w:b/>
          <w:bCs/>
        </w:rPr>
        <w:t>Ref 1</w:t>
      </w:r>
      <w:r>
        <w:rPr>
          <w:rStyle w:val="normaltextrun"/>
          <w:rFonts w:ascii="Arial" w:hAnsi="Arial" w:cs="Arial"/>
          <w:b/>
          <w:bCs/>
        </w:rPr>
        <w:t>:</w:t>
      </w:r>
      <w:r>
        <w:rPr>
          <w:rStyle w:val="normaltextrun"/>
          <w:rFonts w:ascii="Arial" w:hAnsi="Arial" w:cs="Arial"/>
        </w:rPr>
        <w:t xml:space="preserve"> Rate Generator Model, Tab 3 &amp; Tab 18</w:t>
      </w:r>
      <w:r>
        <w:rPr>
          <w:rStyle w:val="eop"/>
          <w:rFonts w:ascii="Arial" w:hAnsi="Arial" w:cs="Arial"/>
        </w:rPr>
        <w:t> </w:t>
      </w:r>
    </w:p>
    <w:p w14:paraId="16987D52" w14:textId="63AC9D7A" w:rsidR="00011C1E" w:rsidRDefault="00011C1E" w:rsidP="00011C1E">
      <w:pPr>
        <w:pStyle w:val="paragraph"/>
        <w:spacing w:before="0" w:beforeAutospacing="0" w:after="0" w:afterAutospacing="0"/>
        <w:textAlignment w:val="baseline"/>
        <w:rPr>
          <w:rFonts w:ascii="Segoe UI" w:hAnsi="Segoe UI" w:cs="Segoe UI"/>
          <w:sz w:val="18"/>
          <w:szCs w:val="18"/>
        </w:rPr>
      </w:pPr>
      <w:r w:rsidRPr="00011C1E">
        <w:rPr>
          <w:rStyle w:val="normaltextrun"/>
          <w:rFonts w:ascii="Arial" w:hAnsi="Arial" w:cs="Arial"/>
          <w:b/>
          <w:bCs/>
        </w:rPr>
        <w:t>Ref 2</w:t>
      </w:r>
      <w:r>
        <w:rPr>
          <w:rStyle w:val="normaltextrun"/>
          <w:rFonts w:ascii="Arial" w:hAnsi="Arial" w:cs="Arial"/>
          <w:b/>
          <w:bCs/>
        </w:rPr>
        <w:t>:</w:t>
      </w:r>
      <w:r>
        <w:rPr>
          <w:rStyle w:val="normaltextrun"/>
          <w:rFonts w:ascii="Arial" w:hAnsi="Arial" w:cs="Arial"/>
        </w:rPr>
        <w:t xml:space="preserve"> Synergy North 2023 Electricity Distribution Rate Application, PDF Page 25 of 35 (Thunder Bay RZ) </w:t>
      </w:r>
      <w:r>
        <w:rPr>
          <w:rStyle w:val="eop"/>
          <w:rFonts w:ascii="Arial" w:hAnsi="Arial" w:cs="Arial"/>
        </w:rPr>
        <w:t> </w:t>
      </w:r>
    </w:p>
    <w:p w14:paraId="415F6679" w14:textId="51884373" w:rsidR="00011C1E" w:rsidRDefault="00011C1E" w:rsidP="004F262F">
      <w:pPr>
        <w:pStyle w:val="paragraph"/>
        <w:spacing w:before="0" w:beforeAutospacing="0" w:after="200" w:afterAutospacing="0" w:line="276" w:lineRule="auto"/>
        <w:textAlignment w:val="baseline"/>
        <w:rPr>
          <w:rFonts w:ascii="Segoe UI" w:hAnsi="Segoe UI" w:cs="Segoe UI"/>
          <w:sz w:val="18"/>
          <w:szCs w:val="18"/>
        </w:rPr>
      </w:pPr>
      <w:r w:rsidRPr="00011C1E">
        <w:rPr>
          <w:rStyle w:val="normaltextrun"/>
          <w:rFonts w:ascii="Arial" w:hAnsi="Arial" w:cs="Arial"/>
          <w:b/>
          <w:bCs/>
        </w:rPr>
        <w:t>Ref 3</w:t>
      </w:r>
      <w:r>
        <w:rPr>
          <w:rStyle w:val="normaltextrun"/>
          <w:rFonts w:ascii="Arial" w:hAnsi="Arial" w:cs="Arial"/>
          <w:b/>
          <w:bCs/>
        </w:rPr>
        <w:t>:</w:t>
      </w:r>
      <w:r>
        <w:rPr>
          <w:rStyle w:val="normaltextrun"/>
          <w:rFonts w:ascii="Arial" w:hAnsi="Arial" w:cs="Arial"/>
        </w:rPr>
        <w:t xml:space="preserve"> LRAMVA </w:t>
      </w:r>
      <w:proofErr w:type="spellStart"/>
      <w:r>
        <w:rPr>
          <w:rStyle w:val="normaltextrun"/>
          <w:rFonts w:ascii="Arial" w:hAnsi="Arial" w:cs="Arial"/>
        </w:rPr>
        <w:t>Workform</w:t>
      </w:r>
      <w:proofErr w:type="spellEnd"/>
      <w:r>
        <w:rPr>
          <w:rStyle w:val="normaltextrun"/>
          <w:rFonts w:ascii="Arial" w:hAnsi="Arial" w:cs="Arial"/>
        </w:rPr>
        <w:t>, Tab 1 LRAMVA Summary</w:t>
      </w:r>
    </w:p>
    <w:p w14:paraId="6BF79C5D" w14:textId="2071C31D" w:rsidR="00011C1E" w:rsidRDefault="00011C1E" w:rsidP="00011C1E">
      <w:pPr>
        <w:pStyle w:val="paragraph"/>
        <w:spacing w:before="0" w:beforeAutospacing="0" w:after="200" w:afterAutospacing="0" w:line="276" w:lineRule="auto"/>
        <w:textAlignment w:val="baseline"/>
        <w:rPr>
          <w:rFonts w:ascii="Segoe UI" w:hAnsi="Segoe UI" w:cs="Segoe UI"/>
          <w:sz w:val="18"/>
          <w:szCs w:val="18"/>
        </w:rPr>
      </w:pPr>
      <w:r>
        <w:rPr>
          <w:rStyle w:val="normaltextrun"/>
          <w:rFonts w:ascii="Arial" w:hAnsi="Arial" w:cs="Arial"/>
        </w:rPr>
        <w:t xml:space="preserve">Synergy North populated Tab 18 of the Rate Generator Model with the 2023 rate rider for 2023. However, OEB staff is unable to tie the LRAMVA balance in Tab 3 of the IRM Rate Generator Model to the LRAMVA amounts in Tab 1 of the LRAMVA </w:t>
      </w:r>
      <w:proofErr w:type="spellStart"/>
      <w:r>
        <w:rPr>
          <w:rStyle w:val="normaltextrun"/>
          <w:rFonts w:ascii="Arial" w:hAnsi="Arial" w:cs="Arial"/>
        </w:rPr>
        <w:t>Workform</w:t>
      </w:r>
      <w:proofErr w:type="spellEnd"/>
      <w:r>
        <w:rPr>
          <w:rStyle w:val="normaltextrun"/>
          <w:rFonts w:ascii="Arial" w:hAnsi="Arial" w:cs="Arial"/>
        </w:rPr>
        <w:t xml:space="preserve"> for Thunder Bay R</w:t>
      </w:r>
      <w:r w:rsidR="004F262F">
        <w:rPr>
          <w:rStyle w:val="normaltextrun"/>
          <w:rFonts w:ascii="Arial" w:hAnsi="Arial" w:cs="Arial"/>
        </w:rPr>
        <w:t>Z</w:t>
      </w:r>
      <w:r>
        <w:rPr>
          <w:rStyle w:val="normaltextrun"/>
          <w:rFonts w:ascii="Arial" w:hAnsi="Arial" w:cs="Arial"/>
        </w:rPr>
        <w:t>.</w:t>
      </w:r>
      <w:r>
        <w:rPr>
          <w:rStyle w:val="eop"/>
          <w:rFonts w:ascii="Arial" w:hAnsi="Arial" w:cs="Arial"/>
        </w:rPr>
        <w:t> </w:t>
      </w:r>
    </w:p>
    <w:p w14:paraId="15368F8D" w14:textId="1818E67E" w:rsidR="00011C1E" w:rsidRDefault="00011C1E" w:rsidP="00011C1E">
      <w:pPr>
        <w:pStyle w:val="paragraph"/>
        <w:numPr>
          <w:ilvl w:val="0"/>
          <w:numId w:val="28"/>
        </w:numPr>
        <w:spacing w:before="0" w:beforeAutospacing="0" w:after="200" w:afterAutospacing="0" w:line="276" w:lineRule="auto"/>
        <w:textAlignment w:val="baseline"/>
        <w:rPr>
          <w:rFonts w:ascii="Arial" w:hAnsi="Arial" w:cs="Arial"/>
        </w:rPr>
      </w:pPr>
      <w:r>
        <w:rPr>
          <w:rStyle w:val="normaltextrun"/>
          <w:rFonts w:ascii="Arial" w:hAnsi="Arial" w:cs="Arial"/>
        </w:rPr>
        <w:t>Please confirm that the rate riders in Tab 18 of the Rate Generator Model have been adjusted to reflect the 2023 OEB-Approved inflation factor of 3.7% minus Synergy North’s stretch factor to determine the final rate rider for Thunder Bay R</w:t>
      </w:r>
      <w:r w:rsidR="004F262F">
        <w:rPr>
          <w:rStyle w:val="normaltextrun"/>
          <w:rFonts w:ascii="Arial" w:hAnsi="Arial" w:cs="Arial"/>
        </w:rPr>
        <w:t>Z</w:t>
      </w:r>
      <w:r>
        <w:rPr>
          <w:rStyle w:val="normaltextrun"/>
          <w:rFonts w:ascii="Arial" w:hAnsi="Arial" w:cs="Arial"/>
        </w:rPr>
        <w:t>. Please provide the supporting calculation. Where applicable, please update Tab 18 of the IRM Rate Generator Model accordingly. </w:t>
      </w:r>
      <w:r>
        <w:rPr>
          <w:rStyle w:val="eop"/>
          <w:rFonts w:ascii="Arial" w:hAnsi="Arial" w:cs="Arial"/>
        </w:rPr>
        <w:t> </w:t>
      </w:r>
    </w:p>
    <w:p w14:paraId="692DE01F" w14:textId="4F92E493" w:rsidR="00011C1E" w:rsidRDefault="00011C1E" w:rsidP="00011C1E">
      <w:pPr>
        <w:pStyle w:val="paragraph"/>
        <w:numPr>
          <w:ilvl w:val="0"/>
          <w:numId w:val="13"/>
        </w:numPr>
        <w:spacing w:before="0" w:beforeAutospacing="0" w:after="200" w:afterAutospacing="0" w:line="276" w:lineRule="auto"/>
        <w:textAlignment w:val="baseline"/>
        <w:rPr>
          <w:rFonts w:ascii="Arial" w:hAnsi="Arial" w:cs="Arial"/>
        </w:rPr>
      </w:pPr>
      <w:r>
        <w:rPr>
          <w:rStyle w:val="normaltextrun"/>
          <w:rFonts w:ascii="Arial" w:hAnsi="Arial" w:cs="Arial"/>
        </w:rPr>
        <w:t>Please update Tab 3 of the Rate Generator Model for Thunder Bay R</w:t>
      </w:r>
      <w:r w:rsidR="004F262F">
        <w:rPr>
          <w:rStyle w:val="normaltextrun"/>
          <w:rFonts w:ascii="Arial" w:hAnsi="Arial" w:cs="Arial"/>
        </w:rPr>
        <w:t>Z</w:t>
      </w:r>
      <w:r>
        <w:rPr>
          <w:rStyle w:val="normaltextrun"/>
          <w:rFonts w:ascii="Arial" w:hAnsi="Arial" w:cs="Arial"/>
        </w:rPr>
        <w:t>. </w:t>
      </w:r>
      <w:r>
        <w:rPr>
          <w:rStyle w:val="eop"/>
          <w:rFonts w:ascii="Arial" w:hAnsi="Arial" w:cs="Arial"/>
        </w:rPr>
        <w:t> </w:t>
      </w:r>
    </w:p>
    <w:p w14:paraId="1FFC058B" w14:textId="77777777" w:rsidR="00011C1E" w:rsidRDefault="00011C1E" w:rsidP="00011C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6D57C6" w14:textId="30360DB9" w:rsidR="00011C1E" w:rsidRDefault="00011C1E" w:rsidP="00011C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Staff Question-</w:t>
      </w:r>
      <w:r w:rsidR="00EC68F3">
        <w:rPr>
          <w:rStyle w:val="normaltextrun"/>
          <w:rFonts w:ascii="Arial" w:hAnsi="Arial" w:cs="Arial"/>
          <w:b/>
          <w:bCs/>
        </w:rPr>
        <w:t>21</w:t>
      </w:r>
      <w:r>
        <w:rPr>
          <w:rStyle w:val="normaltextrun"/>
          <w:rFonts w:ascii="Arial" w:hAnsi="Arial" w:cs="Arial"/>
          <w:b/>
          <w:bCs/>
        </w:rPr>
        <w:t xml:space="preserve"> </w:t>
      </w:r>
      <w:r>
        <w:rPr>
          <w:rStyle w:val="eop"/>
          <w:rFonts w:ascii="Arial" w:hAnsi="Arial" w:cs="Arial"/>
        </w:rPr>
        <w:t> </w:t>
      </w:r>
    </w:p>
    <w:p w14:paraId="57CD1C32" w14:textId="77777777" w:rsidR="00011C1E" w:rsidRDefault="00011C1E" w:rsidP="00011C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LRAMVA – Kenora RZ</w:t>
      </w:r>
      <w:r>
        <w:rPr>
          <w:rStyle w:val="eop"/>
          <w:rFonts w:ascii="Arial" w:hAnsi="Arial" w:cs="Arial"/>
        </w:rPr>
        <w:t> </w:t>
      </w:r>
    </w:p>
    <w:p w14:paraId="72BF9F20" w14:textId="60600162" w:rsidR="00011C1E" w:rsidRDefault="00011C1E" w:rsidP="00011C1E">
      <w:pPr>
        <w:pStyle w:val="paragraph"/>
        <w:spacing w:before="0" w:beforeAutospacing="0" w:after="0" w:afterAutospacing="0"/>
        <w:textAlignment w:val="baseline"/>
        <w:rPr>
          <w:rFonts w:ascii="Segoe UI" w:hAnsi="Segoe UI" w:cs="Segoe UI"/>
          <w:sz w:val="18"/>
          <w:szCs w:val="18"/>
        </w:rPr>
      </w:pPr>
      <w:r w:rsidRPr="00011C1E">
        <w:rPr>
          <w:rStyle w:val="normaltextrun"/>
          <w:rFonts w:ascii="Arial" w:hAnsi="Arial" w:cs="Arial"/>
          <w:b/>
          <w:bCs/>
        </w:rPr>
        <w:t>Ref 1</w:t>
      </w:r>
      <w:r>
        <w:rPr>
          <w:rStyle w:val="normaltextrun"/>
          <w:rFonts w:ascii="Arial" w:hAnsi="Arial" w:cs="Arial"/>
          <w:b/>
          <w:bCs/>
        </w:rPr>
        <w:t>:</w:t>
      </w:r>
      <w:r>
        <w:rPr>
          <w:rStyle w:val="normaltextrun"/>
          <w:rFonts w:ascii="Arial" w:hAnsi="Arial" w:cs="Arial"/>
        </w:rPr>
        <w:t xml:space="preserve"> Rate Generator Model, Tab 3 &amp; Tab 18</w:t>
      </w:r>
      <w:r>
        <w:rPr>
          <w:rStyle w:val="eop"/>
          <w:rFonts w:ascii="Arial" w:hAnsi="Arial" w:cs="Arial"/>
        </w:rPr>
        <w:t> </w:t>
      </w:r>
    </w:p>
    <w:p w14:paraId="3C487D38" w14:textId="7F59C878" w:rsidR="00011C1E" w:rsidRDefault="00011C1E" w:rsidP="00011C1E">
      <w:pPr>
        <w:pStyle w:val="paragraph"/>
        <w:spacing w:before="0" w:beforeAutospacing="0" w:after="0" w:afterAutospacing="0"/>
        <w:textAlignment w:val="baseline"/>
        <w:rPr>
          <w:rFonts w:ascii="Segoe UI" w:hAnsi="Segoe UI" w:cs="Segoe UI"/>
          <w:sz w:val="18"/>
          <w:szCs w:val="18"/>
        </w:rPr>
      </w:pPr>
      <w:r w:rsidRPr="00011C1E">
        <w:rPr>
          <w:rStyle w:val="normaltextrun"/>
          <w:rFonts w:ascii="Arial" w:hAnsi="Arial" w:cs="Arial"/>
          <w:b/>
          <w:bCs/>
        </w:rPr>
        <w:t>Ref 2</w:t>
      </w:r>
      <w:r>
        <w:rPr>
          <w:rStyle w:val="normaltextrun"/>
          <w:rFonts w:ascii="Arial" w:hAnsi="Arial" w:cs="Arial"/>
          <w:b/>
          <w:bCs/>
        </w:rPr>
        <w:t>:</w:t>
      </w:r>
      <w:r>
        <w:rPr>
          <w:rStyle w:val="normaltextrun"/>
          <w:rFonts w:ascii="Arial" w:hAnsi="Arial" w:cs="Arial"/>
        </w:rPr>
        <w:t xml:space="preserve"> Synergy North 2023 Electricity Distribution Rate Application, PDF Page 27 of 35 (Kenora RZ)</w:t>
      </w:r>
      <w:r>
        <w:rPr>
          <w:rStyle w:val="eop"/>
          <w:rFonts w:ascii="Arial" w:hAnsi="Arial" w:cs="Arial"/>
        </w:rPr>
        <w:t> </w:t>
      </w:r>
    </w:p>
    <w:p w14:paraId="43F8AB14" w14:textId="4C490611" w:rsidR="00011C1E" w:rsidRDefault="00011C1E" w:rsidP="00011C1E">
      <w:pPr>
        <w:pStyle w:val="paragraph"/>
        <w:spacing w:before="0" w:beforeAutospacing="0" w:after="0" w:afterAutospacing="0"/>
        <w:textAlignment w:val="baseline"/>
        <w:rPr>
          <w:rFonts w:ascii="Segoe UI" w:hAnsi="Segoe UI" w:cs="Segoe UI"/>
          <w:sz w:val="18"/>
          <w:szCs w:val="18"/>
        </w:rPr>
      </w:pPr>
      <w:r w:rsidRPr="00011C1E">
        <w:rPr>
          <w:rStyle w:val="normaltextrun"/>
          <w:rFonts w:ascii="Arial" w:hAnsi="Arial" w:cs="Arial"/>
          <w:b/>
          <w:bCs/>
        </w:rPr>
        <w:t>Ref 3</w:t>
      </w:r>
      <w:r>
        <w:rPr>
          <w:rStyle w:val="normaltextrun"/>
          <w:rFonts w:ascii="Arial" w:hAnsi="Arial" w:cs="Arial"/>
          <w:b/>
          <w:bCs/>
        </w:rPr>
        <w:t>:</w:t>
      </w:r>
      <w:r>
        <w:rPr>
          <w:rStyle w:val="normaltextrun"/>
          <w:rFonts w:ascii="Arial" w:hAnsi="Arial" w:cs="Arial"/>
        </w:rPr>
        <w:t xml:space="preserve"> LRAMVA </w:t>
      </w:r>
      <w:proofErr w:type="spellStart"/>
      <w:r>
        <w:rPr>
          <w:rStyle w:val="normaltextrun"/>
          <w:rFonts w:ascii="Arial" w:hAnsi="Arial" w:cs="Arial"/>
        </w:rPr>
        <w:t>Workform</w:t>
      </w:r>
      <w:proofErr w:type="spellEnd"/>
      <w:r>
        <w:rPr>
          <w:rStyle w:val="normaltextrun"/>
          <w:rFonts w:ascii="Arial" w:hAnsi="Arial" w:cs="Arial"/>
        </w:rPr>
        <w:t>, Tab 1 LRAMVA Summary  </w:t>
      </w:r>
      <w:r>
        <w:rPr>
          <w:rStyle w:val="eop"/>
          <w:rFonts w:ascii="Arial" w:hAnsi="Arial" w:cs="Arial"/>
        </w:rPr>
        <w:t> </w:t>
      </w:r>
    </w:p>
    <w:p w14:paraId="35C80106" w14:textId="77777777" w:rsidR="00011C1E" w:rsidRDefault="00011C1E" w:rsidP="00011C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7E28211" w14:textId="1C0E0AC6" w:rsidR="00011C1E" w:rsidRDefault="00011C1E" w:rsidP="00011C1E">
      <w:pPr>
        <w:pStyle w:val="paragraph"/>
        <w:spacing w:before="0" w:beforeAutospacing="0" w:after="200" w:afterAutospacing="0" w:line="276" w:lineRule="auto"/>
        <w:textAlignment w:val="baseline"/>
        <w:rPr>
          <w:rFonts w:ascii="Segoe UI" w:hAnsi="Segoe UI" w:cs="Segoe UI"/>
          <w:sz w:val="18"/>
          <w:szCs w:val="18"/>
        </w:rPr>
      </w:pPr>
      <w:r>
        <w:rPr>
          <w:rStyle w:val="normaltextrun"/>
          <w:rFonts w:ascii="Arial" w:hAnsi="Arial" w:cs="Arial"/>
        </w:rPr>
        <w:t xml:space="preserve">Synergy North populated Tab 18 of the Rate Generator Model with the 2023 rate rider for 2023. However, OEB staff is unable to tie the LRAMVA balance in Tab 3 of the IRM Rate Generator Model to the LRAMVA amounts in Tab 1 of the LRAMVA </w:t>
      </w:r>
      <w:proofErr w:type="spellStart"/>
      <w:r>
        <w:rPr>
          <w:rStyle w:val="normaltextrun"/>
          <w:rFonts w:ascii="Arial" w:hAnsi="Arial" w:cs="Arial"/>
        </w:rPr>
        <w:t>Workform</w:t>
      </w:r>
      <w:proofErr w:type="spellEnd"/>
      <w:r>
        <w:rPr>
          <w:rStyle w:val="normaltextrun"/>
          <w:rFonts w:ascii="Arial" w:hAnsi="Arial" w:cs="Arial"/>
        </w:rPr>
        <w:t xml:space="preserve"> for Kenora R</w:t>
      </w:r>
      <w:r w:rsidR="004F262F">
        <w:rPr>
          <w:rStyle w:val="normaltextrun"/>
          <w:rFonts w:ascii="Arial" w:hAnsi="Arial" w:cs="Arial"/>
        </w:rPr>
        <w:t>Z</w:t>
      </w:r>
      <w:r>
        <w:rPr>
          <w:rStyle w:val="normaltextrun"/>
          <w:rFonts w:ascii="Arial" w:hAnsi="Arial" w:cs="Arial"/>
        </w:rPr>
        <w:t>. </w:t>
      </w:r>
      <w:r>
        <w:rPr>
          <w:rStyle w:val="eop"/>
          <w:rFonts w:ascii="Arial" w:hAnsi="Arial" w:cs="Arial"/>
        </w:rPr>
        <w:t> </w:t>
      </w:r>
    </w:p>
    <w:p w14:paraId="480537A9" w14:textId="05793C74" w:rsidR="00011C1E" w:rsidRDefault="00011C1E" w:rsidP="00011C1E">
      <w:pPr>
        <w:pStyle w:val="paragraph"/>
        <w:numPr>
          <w:ilvl w:val="0"/>
          <w:numId w:val="29"/>
        </w:numPr>
        <w:spacing w:before="0" w:beforeAutospacing="0" w:after="200" w:afterAutospacing="0" w:line="276" w:lineRule="auto"/>
        <w:textAlignment w:val="baseline"/>
        <w:rPr>
          <w:rFonts w:ascii="Arial" w:hAnsi="Arial" w:cs="Arial"/>
        </w:rPr>
      </w:pPr>
      <w:r>
        <w:rPr>
          <w:rStyle w:val="normaltextrun"/>
          <w:rFonts w:ascii="Arial" w:hAnsi="Arial" w:cs="Arial"/>
        </w:rPr>
        <w:lastRenderedPageBreak/>
        <w:t>Please confirm that the rate riders in Tab 18 of the Rate Generator Model have been adjusted to reflect the 2023 OEB-Approved inflation factor of 3.7% minus Synergy North’s stretch factor to determine the final rate rider for Kenora R</w:t>
      </w:r>
      <w:r w:rsidR="004F262F">
        <w:rPr>
          <w:rStyle w:val="normaltextrun"/>
          <w:rFonts w:ascii="Arial" w:hAnsi="Arial" w:cs="Arial"/>
        </w:rPr>
        <w:t>Z</w:t>
      </w:r>
      <w:r>
        <w:rPr>
          <w:rStyle w:val="normaltextrun"/>
          <w:rFonts w:ascii="Arial" w:hAnsi="Arial" w:cs="Arial"/>
        </w:rPr>
        <w:t>. Please provide the supporting calculation. Where applicable, please update Tab 18 of the IRM Rate Generator Model accordingly. </w:t>
      </w:r>
      <w:r>
        <w:rPr>
          <w:rStyle w:val="eop"/>
          <w:rFonts w:ascii="Arial" w:hAnsi="Arial" w:cs="Arial"/>
        </w:rPr>
        <w:t> </w:t>
      </w:r>
    </w:p>
    <w:p w14:paraId="38D68AA4" w14:textId="25A0D488" w:rsidR="00011C1E" w:rsidRDefault="00011C1E" w:rsidP="00011C1E">
      <w:pPr>
        <w:pStyle w:val="paragraph"/>
        <w:numPr>
          <w:ilvl w:val="0"/>
          <w:numId w:val="29"/>
        </w:numPr>
        <w:spacing w:before="0" w:beforeAutospacing="0" w:after="200" w:afterAutospacing="0" w:line="276" w:lineRule="auto"/>
        <w:textAlignment w:val="baseline"/>
        <w:rPr>
          <w:rFonts w:ascii="Arial" w:hAnsi="Arial" w:cs="Arial"/>
        </w:rPr>
      </w:pPr>
      <w:r w:rsidRPr="00011C1E">
        <w:rPr>
          <w:rStyle w:val="normaltextrun"/>
          <w:rFonts w:ascii="Arial" w:hAnsi="Arial" w:cs="Arial"/>
        </w:rPr>
        <w:t>OEB staff notes a discrepancy in the rate riders populated in Tab 18 of the Rate Generator Model for Kenora R</w:t>
      </w:r>
      <w:r w:rsidR="004F262F">
        <w:rPr>
          <w:rStyle w:val="normaltextrun"/>
          <w:rFonts w:ascii="Arial" w:hAnsi="Arial" w:cs="Arial"/>
        </w:rPr>
        <w:t>Z</w:t>
      </w:r>
      <w:r w:rsidRPr="00011C1E">
        <w:rPr>
          <w:rStyle w:val="normaltextrun"/>
          <w:rFonts w:ascii="Arial" w:hAnsi="Arial" w:cs="Arial"/>
        </w:rPr>
        <w:t xml:space="preserve"> </w:t>
      </w:r>
      <w:r w:rsidR="00AB3CFF">
        <w:rPr>
          <w:rStyle w:val="normaltextrun"/>
          <w:rFonts w:ascii="Arial" w:hAnsi="Arial" w:cs="Arial"/>
        </w:rPr>
        <w:t xml:space="preserve">(GS&gt;50 kW and Street Lighting classes) </w:t>
      </w:r>
      <w:r w:rsidRPr="00011C1E">
        <w:rPr>
          <w:rStyle w:val="normaltextrun"/>
          <w:rFonts w:ascii="Arial" w:hAnsi="Arial" w:cs="Arial"/>
        </w:rPr>
        <w:t>as compared to Table 17 on page 27 of Synergy North’s Rate Application. Please confirm the rate riders for Kenora R</w:t>
      </w:r>
      <w:r w:rsidR="004F262F">
        <w:rPr>
          <w:rStyle w:val="normaltextrun"/>
          <w:rFonts w:ascii="Arial" w:hAnsi="Arial" w:cs="Arial"/>
        </w:rPr>
        <w:t>Z</w:t>
      </w:r>
      <w:r w:rsidRPr="00011C1E">
        <w:rPr>
          <w:rStyle w:val="normaltextrun"/>
          <w:rFonts w:ascii="Arial" w:hAnsi="Arial" w:cs="Arial"/>
        </w:rPr>
        <w:t>. Where applicable, please update the Table 17 of the application or Tab 18 of the IRM Rate Generator Model to reflect the correct rate rider. </w:t>
      </w:r>
      <w:r w:rsidRPr="00011C1E">
        <w:rPr>
          <w:rStyle w:val="eop"/>
          <w:rFonts w:ascii="Arial" w:hAnsi="Arial" w:cs="Arial"/>
        </w:rPr>
        <w:t> </w:t>
      </w:r>
    </w:p>
    <w:p w14:paraId="75D707B0" w14:textId="0FD1224C" w:rsidR="00011C1E" w:rsidRPr="00EC68F3" w:rsidRDefault="00011C1E" w:rsidP="00011C1E">
      <w:pPr>
        <w:pStyle w:val="paragraph"/>
        <w:numPr>
          <w:ilvl w:val="0"/>
          <w:numId w:val="29"/>
        </w:numPr>
        <w:spacing w:before="0" w:beforeAutospacing="0" w:after="200" w:afterAutospacing="0" w:line="276" w:lineRule="auto"/>
        <w:textAlignment w:val="baseline"/>
        <w:rPr>
          <w:rFonts w:ascii="Arial" w:hAnsi="Arial" w:cs="Arial"/>
        </w:rPr>
      </w:pPr>
      <w:r w:rsidRPr="00011C1E">
        <w:rPr>
          <w:rStyle w:val="normaltextrun"/>
          <w:rFonts w:ascii="Arial" w:hAnsi="Arial" w:cs="Arial"/>
        </w:rPr>
        <w:t>Please update Tab 3 of the Rate Generator Model for Kenora R</w:t>
      </w:r>
      <w:r w:rsidR="004F262F">
        <w:rPr>
          <w:rStyle w:val="normaltextrun"/>
          <w:rFonts w:ascii="Arial" w:hAnsi="Arial" w:cs="Arial"/>
        </w:rPr>
        <w:t>Z</w:t>
      </w:r>
      <w:r w:rsidRPr="00011C1E">
        <w:rPr>
          <w:rStyle w:val="normaltextrun"/>
          <w:rFonts w:ascii="Arial" w:hAnsi="Arial" w:cs="Arial"/>
        </w:rPr>
        <w:t>. </w:t>
      </w:r>
    </w:p>
    <w:p w14:paraId="17DD4A81" w14:textId="1E563909" w:rsidR="00C219DD" w:rsidRPr="00842C4E" w:rsidRDefault="00C219DD" w:rsidP="00C219DD">
      <w:pPr>
        <w:contextualSpacing/>
        <w:rPr>
          <w:rFonts w:ascii="Arial" w:hAnsi="Arial" w:cs="Arial"/>
          <w:b/>
          <w:sz w:val="24"/>
          <w:szCs w:val="24"/>
        </w:rPr>
      </w:pPr>
      <w:r>
        <w:rPr>
          <w:rFonts w:ascii="Arial" w:hAnsi="Arial" w:cs="Arial"/>
          <w:b/>
          <w:sz w:val="24"/>
          <w:szCs w:val="24"/>
        </w:rPr>
        <w:t>Staff Question-</w:t>
      </w:r>
      <w:r w:rsidR="00EC68F3">
        <w:rPr>
          <w:rFonts w:ascii="Arial" w:hAnsi="Arial" w:cs="Arial"/>
          <w:b/>
          <w:sz w:val="24"/>
          <w:szCs w:val="24"/>
        </w:rPr>
        <w:t>22</w:t>
      </w:r>
    </w:p>
    <w:p w14:paraId="1F7FF9B4" w14:textId="77777777" w:rsidR="00C219DD" w:rsidRDefault="00C219DD" w:rsidP="00C219DD">
      <w:pPr>
        <w:rPr>
          <w:rFonts w:ascii="Arial" w:hAnsi="Arial" w:cs="Arial"/>
          <w:b/>
          <w:bCs/>
          <w:sz w:val="24"/>
          <w:szCs w:val="24"/>
        </w:rPr>
      </w:pPr>
      <w:r w:rsidRPr="00CC2285">
        <w:rPr>
          <w:rFonts w:ascii="Arial" w:hAnsi="Arial" w:cs="Arial"/>
          <w:b/>
          <w:bCs/>
          <w:sz w:val="24"/>
          <w:szCs w:val="24"/>
        </w:rPr>
        <w:t xml:space="preserve">Ref: </w:t>
      </w:r>
      <w:r>
        <w:rPr>
          <w:rFonts w:ascii="Arial" w:hAnsi="Arial" w:cs="Arial"/>
          <w:b/>
          <w:bCs/>
          <w:sz w:val="24"/>
          <w:szCs w:val="24"/>
        </w:rPr>
        <w:t>Thunder Bay RZ and Kenora RZ, Street Lighting Rate Class – Bill Impacts</w:t>
      </w:r>
    </w:p>
    <w:p w14:paraId="0B9B22C5" w14:textId="77777777" w:rsidR="00C219DD" w:rsidRPr="00315292" w:rsidRDefault="00C219DD" w:rsidP="00C219DD">
      <w:pPr>
        <w:rPr>
          <w:rFonts w:ascii="Arial" w:hAnsi="Arial" w:cs="Arial"/>
          <w:sz w:val="24"/>
          <w:szCs w:val="24"/>
        </w:rPr>
      </w:pPr>
      <w:r>
        <w:rPr>
          <w:rFonts w:ascii="Arial" w:hAnsi="Arial" w:cs="Arial"/>
          <w:sz w:val="24"/>
          <w:szCs w:val="24"/>
        </w:rPr>
        <w:t>In the application, Synergy North notes that the total bill impacts for the Street Lighting classes of both Thunder Bay RZ and Kenora RZ are higher than the 10% threshold.</w:t>
      </w:r>
    </w:p>
    <w:p w14:paraId="599191C4" w14:textId="618D7736" w:rsidR="00C219DD" w:rsidRDefault="00C219DD" w:rsidP="0044682C">
      <w:pPr>
        <w:pStyle w:val="ListParagraph"/>
        <w:numPr>
          <w:ilvl w:val="0"/>
          <w:numId w:val="14"/>
        </w:numPr>
        <w:contextualSpacing w:val="0"/>
        <w:rPr>
          <w:rFonts w:ascii="Arial" w:hAnsi="Arial" w:cs="Arial"/>
          <w:sz w:val="24"/>
          <w:szCs w:val="24"/>
        </w:rPr>
      </w:pPr>
      <w:r>
        <w:rPr>
          <w:rFonts w:ascii="Arial" w:hAnsi="Arial" w:cs="Arial"/>
          <w:sz w:val="24"/>
          <w:szCs w:val="24"/>
        </w:rPr>
        <w:t xml:space="preserve">For both </w:t>
      </w:r>
      <w:r w:rsidR="004F262F">
        <w:rPr>
          <w:rFonts w:ascii="Arial" w:hAnsi="Arial" w:cs="Arial"/>
          <w:sz w:val="24"/>
          <w:szCs w:val="24"/>
        </w:rPr>
        <w:t>RZ</w:t>
      </w:r>
      <w:r>
        <w:rPr>
          <w:rFonts w:ascii="Arial" w:hAnsi="Arial" w:cs="Arial"/>
          <w:sz w:val="24"/>
          <w:szCs w:val="24"/>
        </w:rPr>
        <w:t>s’ Street Lighting class, in Tab 20 of the Rate Generator Model – Table 1, please review and confirm the data entered for Consumption, Demand and Billing Determinant for Fixed Charge (columns K, L and N). (As instructed in Note 2 of Tab 20 Bill Impacts, if the monthly fixed charge is applied on a per customer basis, for instance, 1 should be entered as billing determinant; if the monthly fixed charge is applied on a per-connection basis, the number of connections for a typical customer should be entered. Please note that the basis of the monthly fixed charge is indicated in the tariff.)</w:t>
      </w:r>
    </w:p>
    <w:p w14:paraId="409200DE" w14:textId="674824E4" w:rsidR="00C219DD" w:rsidRDefault="00C219DD" w:rsidP="0044682C">
      <w:pPr>
        <w:pStyle w:val="ListParagraph"/>
        <w:numPr>
          <w:ilvl w:val="0"/>
          <w:numId w:val="14"/>
        </w:numPr>
        <w:contextualSpacing w:val="0"/>
        <w:rPr>
          <w:rFonts w:ascii="Arial" w:hAnsi="Arial" w:cs="Arial"/>
          <w:sz w:val="24"/>
          <w:szCs w:val="24"/>
        </w:rPr>
      </w:pPr>
      <w:r>
        <w:rPr>
          <w:rFonts w:ascii="Arial" w:hAnsi="Arial" w:cs="Arial"/>
          <w:sz w:val="24"/>
          <w:szCs w:val="24"/>
        </w:rPr>
        <w:t xml:space="preserve">Has Synergy North communicated with the Street Lighting customers (shareholders) in the two </w:t>
      </w:r>
      <w:r w:rsidR="004F262F">
        <w:rPr>
          <w:rFonts w:ascii="Arial" w:hAnsi="Arial" w:cs="Arial"/>
          <w:sz w:val="24"/>
          <w:szCs w:val="24"/>
        </w:rPr>
        <w:t>RZ</w:t>
      </w:r>
      <w:r>
        <w:rPr>
          <w:rFonts w:ascii="Arial" w:hAnsi="Arial" w:cs="Arial"/>
          <w:sz w:val="24"/>
          <w:szCs w:val="24"/>
        </w:rPr>
        <w:t>s regarding the proposed rate increases as of May 2023 and the resulting total bill impacts? If yes, please provide feedback from the affected shareholders. If not, please explain why Synergy North has not informed the shareholders about the proposed rate increases and resulting bill impacts.</w:t>
      </w:r>
    </w:p>
    <w:p w14:paraId="43AE605B" w14:textId="15C3EA65" w:rsidR="00D57E8C" w:rsidRPr="004F262F" w:rsidRDefault="00C219DD" w:rsidP="008E6045">
      <w:pPr>
        <w:pStyle w:val="ListParagraph"/>
        <w:numPr>
          <w:ilvl w:val="0"/>
          <w:numId w:val="14"/>
        </w:numPr>
        <w:contextualSpacing w:val="0"/>
        <w:rPr>
          <w:rFonts w:ascii="Arial" w:hAnsi="Arial" w:cs="Arial"/>
          <w:sz w:val="24"/>
          <w:szCs w:val="24"/>
        </w:rPr>
      </w:pPr>
      <w:r>
        <w:rPr>
          <w:rFonts w:ascii="Arial" w:hAnsi="Arial" w:cs="Arial"/>
          <w:sz w:val="24"/>
          <w:szCs w:val="24"/>
        </w:rPr>
        <w:t xml:space="preserve">Please confirm whether Synergy North now proposes to mitigate the Street Lighting bill impacts for any of the two </w:t>
      </w:r>
      <w:r w:rsidR="004F262F">
        <w:rPr>
          <w:rFonts w:ascii="Arial" w:hAnsi="Arial" w:cs="Arial"/>
          <w:sz w:val="24"/>
          <w:szCs w:val="24"/>
        </w:rPr>
        <w:t>RZ</w:t>
      </w:r>
      <w:r>
        <w:rPr>
          <w:rFonts w:ascii="Arial" w:hAnsi="Arial" w:cs="Arial"/>
          <w:sz w:val="24"/>
          <w:szCs w:val="24"/>
        </w:rPr>
        <w:t>s. If yes, please provide details about the mitigation plans and make necessary updates to related models. (Please inform OEB staff in case OEB staff’s input is needed in updating the models.) If Synergy North does not propose to mitigate the bill impacts, please provide the rationale.</w:t>
      </w:r>
    </w:p>
    <w:sectPr w:rsidR="00D57E8C" w:rsidRPr="004F262F"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2376" w14:textId="77777777" w:rsidR="00FB1AF8" w:rsidRDefault="00FB1AF8" w:rsidP="00821291">
      <w:pPr>
        <w:spacing w:after="0" w:line="240" w:lineRule="auto"/>
      </w:pPr>
      <w:r>
        <w:separator/>
      </w:r>
    </w:p>
  </w:endnote>
  <w:endnote w:type="continuationSeparator" w:id="0">
    <w:p w14:paraId="133FFAB6" w14:textId="77777777" w:rsidR="00FB1AF8" w:rsidRDefault="00FB1AF8"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A6C2" w14:textId="77777777" w:rsidR="00FB1AF8" w:rsidRDefault="00FB1AF8" w:rsidP="00821291">
      <w:pPr>
        <w:spacing w:after="0" w:line="240" w:lineRule="auto"/>
      </w:pPr>
      <w:r>
        <w:separator/>
      </w:r>
    </w:p>
  </w:footnote>
  <w:footnote w:type="continuationSeparator" w:id="0">
    <w:p w14:paraId="60348AC6" w14:textId="77777777" w:rsidR="00FB1AF8" w:rsidRDefault="00FB1AF8"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2BE956DA"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r w:rsidR="00AA054B">
      <w:rPr>
        <w:rFonts w:ascii="Arial" w:hAnsi="Arial" w:cs="Arial"/>
        <w:bCs/>
        <w:sz w:val="20"/>
        <w:szCs w:val="20"/>
      </w:rPr>
      <w:t>Synergy North</w:t>
    </w:r>
    <w:r w:rsidRPr="00321B2F">
      <w:rPr>
        <w:rFonts w:ascii="Arial" w:hAnsi="Arial" w:cs="Arial"/>
        <w:bCs/>
        <w:sz w:val="20"/>
        <w:szCs w:val="20"/>
      </w:rPr>
      <w:t xml:space="preserve"> Corporation </w:t>
    </w:r>
  </w:p>
  <w:p w14:paraId="1F119E54" w14:textId="77777777"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 Questions</w:t>
    </w:r>
  </w:p>
  <w:p w14:paraId="69E412FC" w14:textId="0C061B28"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w:t>
    </w:r>
    <w:r w:rsidR="005C6946">
      <w:rPr>
        <w:rFonts w:ascii="Arial" w:hAnsi="Arial" w:cs="Arial"/>
        <w:sz w:val="20"/>
        <w:szCs w:val="20"/>
      </w:rPr>
      <w:t>2-</w:t>
    </w:r>
    <w:r w:rsidR="00AA054B">
      <w:rPr>
        <w:rFonts w:ascii="Arial" w:hAnsi="Arial" w:cs="Arial"/>
        <w:sz w:val="20"/>
        <w:szCs w:val="20"/>
      </w:rPr>
      <w:t>0063</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DC5"/>
    <w:multiLevelType w:val="hybridMultilevel"/>
    <w:tmpl w:val="1F80B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4095B"/>
    <w:multiLevelType w:val="hybridMultilevel"/>
    <w:tmpl w:val="245C2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7738"/>
    <w:multiLevelType w:val="hybridMultilevel"/>
    <w:tmpl w:val="FDB0E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7419A"/>
    <w:multiLevelType w:val="hybridMultilevel"/>
    <w:tmpl w:val="A9603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A1346"/>
    <w:multiLevelType w:val="multilevel"/>
    <w:tmpl w:val="2A6CF9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E3D06"/>
    <w:multiLevelType w:val="hybridMultilevel"/>
    <w:tmpl w:val="81643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86451"/>
    <w:multiLevelType w:val="hybridMultilevel"/>
    <w:tmpl w:val="36EC6F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A1E4E"/>
    <w:multiLevelType w:val="multilevel"/>
    <w:tmpl w:val="BDB0B7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691419"/>
    <w:multiLevelType w:val="hybridMultilevel"/>
    <w:tmpl w:val="85163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22AAC"/>
    <w:multiLevelType w:val="hybridMultilevel"/>
    <w:tmpl w:val="D2581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32EF5"/>
    <w:multiLevelType w:val="hybridMultilevel"/>
    <w:tmpl w:val="42C620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BF0C0E"/>
    <w:multiLevelType w:val="hybridMultilevel"/>
    <w:tmpl w:val="94A4F7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0865CF"/>
    <w:multiLevelType w:val="hybridMultilevel"/>
    <w:tmpl w:val="6660E9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E15C08"/>
    <w:multiLevelType w:val="hybridMultilevel"/>
    <w:tmpl w:val="36EC6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A03A8"/>
    <w:multiLevelType w:val="multilevel"/>
    <w:tmpl w:val="CE3A2C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F8214CB"/>
    <w:multiLevelType w:val="hybridMultilevel"/>
    <w:tmpl w:val="30F23C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FC66C6"/>
    <w:multiLevelType w:val="hybridMultilevel"/>
    <w:tmpl w:val="D0642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70FA6"/>
    <w:multiLevelType w:val="multilevel"/>
    <w:tmpl w:val="E78EF3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593652C"/>
    <w:multiLevelType w:val="hybridMultilevel"/>
    <w:tmpl w:val="642ED3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CB1E60"/>
    <w:multiLevelType w:val="multilevel"/>
    <w:tmpl w:val="F6A4B5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1613B3"/>
    <w:multiLevelType w:val="hybridMultilevel"/>
    <w:tmpl w:val="D5E8A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635EC"/>
    <w:multiLevelType w:val="multilevel"/>
    <w:tmpl w:val="AA6C5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A61CE2"/>
    <w:multiLevelType w:val="hybridMultilevel"/>
    <w:tmpl w:val="9432E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A73BD"/>
    <w:multiLevelType w:val="multilevel"/>
    <w:tmpl w:val="FA5064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906046E"/>
    <w:multiLevelType w:val="hybridMultilevel"/>
    <w:tmpl w:val="6F767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302A8"/>
    <w:multiLevelType w:val="hybridMultilevel"/>
    <w:tmpl w:val="30F23C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8252F"/>
    <w:multiLevelType w:val="hybridMultilevel"/>
    <w:tmpl w:val="B33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E74DE"/>
    <w:multiLevelType w:val="multilevel"/>
    <w:tmpl w:val="01E27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3A746CF"/>
    <w:multiLevelType w:val="multilevel"/>
    <w:tmpl w:val="5C689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5716320"/>
    <w:multiLevelType w:val="multilevel"/>
    <w:tmpl w:val="2F704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78A5C5E"/>
    <w:multiLevelType w:val="hybridMultilevel"/>
    <w:tmpl w:val="DF3C80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934EF1"/>
    <w:multiLevelType w:val="hybridMultilevel"/>
    <w:tmpl w:val="9ED2897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6BB301BB"/>
    <w:multiLevelType w:val="hybridMultilevel"/>
    <w:tmpl w:val="8828C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E2935"/>
    <w:multiLevelType w:val="hybridMultilevel"/>
    <w:tmpl w:val="FCF852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0"/>
  </w:num>
  <w:num w:numId="3">
    <w:abstractNumId w:val="22"/>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
  </w:num>
  <w:num w:numId="7">
    <w:abstractNumId w:val="25"/>
  </w:num>
  <w:num w:numId="8">
    <w:abstractNumId w:val="15"/>
  </w:num>
  <w:num w:numId="9">
    <w:abstractNumId w:val="5"/>
  </w:num>
  <w:num w:numId="10">
    <w:abstractNumId w:val="32"/>
  </w:num>
  <w:num w:numId="11">
    <w:abstractNumId w:val="9"/>
  </w:num>
  <w:num w:numId="12">
    <w:abstractNumId w:val="3"/>
  </w:num>
  <w:num w:numId="13">
    <w:abstractNumId w:val="16"/>
  </w:num>
  <w:num w:numId="14">
    <w:abstractNumId w:val="20"/>
  </w:num>
  <w:num w:numId="15">
    <w:abstractNumId w:val="27"/>
  </w:num>
  <w:num w:numId="16">
    <w:abstractNumId w:val="14"/>
  </w:num>
  <w:num w:numId="17">
    <w:abstractNumId w:val="28"/>
  </w:num>
  <w:num w:numId="18">
    <w:abstractNumId w:val="21"/>
  </w:num>
  <w:num w:numId="19">
    <w:abstractNumId w:val="19"/>
  </w:num>
  <w:num w:numId="20">
    <w:abstractNumId w:val="33"/>
  </w:num>
  <w:num w:numId="21">
    <w:abstractNumId w:val="10"/>
  </w:num>
  <w:num w:numId="22">
    <w:abstractNumId w:val="12"/>
  </w:num>
  <w:num w:numId="23">
    <w:abstractNumId w:val="29"/>
  </w:num>
  <w:num w:numId="24">
    <w:abstractNumId w:val="23"/>
  </w:num>
  <w:num w:numId="25">
    <w:abstractNumId w:val="17"/>
  </w:num>
  <w:num w:numId="26">
    <w:abstractNumId w:val="4"/>
  </w:num>
  <w:num w:numId="27">
    <w:abstractNumId w:val="7"/>
  </w:num>
  <w:num w:numId="28">
    <w:abstractNumId w:val="18"/>
  </w:num>
  <w:num w:numId="29">
    <w:abstractNumId w:val="30"/>
  </w:num>
  <w:num w:numId="30">
    <w:abstractNumId w:val="8"/>
  </w:num>
  <w:num w:numId="31">
    <w:abstractNumId w:val="2"/>
  </w:num>
  <w:num w:numId="32">
    <w:abstractNumId w:val="13"/>
  </w:num>
  <w:num w:numId="33">
    <w:abstractNumId w:val="11"/>
  </w:num>
  <w:num w:numId="3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1C1E"/>
    <w:rsid w:val="00016962"/>
    <w:rsid w:val="0002508B"/>
    <w:rsid w:val="0003073C"/>
    <w:rsid w:val="00035337"/>
    <w:rsid w:val="00054071"/>
    <w:rsid w:val="0006126D"/>
    <w:rsid w:val="00067F57"/>
    <w:rsid w:val="00071BEC"/>
    <w:rsid w:val="00074514"/>
    <w:rsid w:val="000832D4"/>
    <w:rsid w:val="00090160"/>
    <w:rsid w:val="000920C4"/>
    <w:rsid w:val="000A4038"/>
    <w:rsid w:val="000A4926"/>
    <w:rsid w:val="000B3E7E"/>
    <w:rsid w:val="000B5925"/>
    <w:rsid w:val="000D223C"/>
    <w:rsid w:val="000D79BC"/>
    <w:rsid w:val="000E4006"/>
    <w:rsid w:val="000F1E3A"/>
    <w:rsid w:val="00133BE1"/>
    <w:rsid w:val="00164E99"/>
    <w:rsid w:val="001822BD"/>
    <w:rsid w:val="00183CC8"/>
    <w:rsid w:val="00187E9B"/>
    <w:rsid w:val="0019002D"/>
    <w:rsid w:val="001916B2"/>
    <w:rsid w:val="001927C2"/>
    <w:rsid w:val="001A4CAE"/>
    <w:rsid w:val="001A4DCD"/>
    <w:rsid w:val="001B2132"/>
    <w:rsid w:val="001D7CCB"/>
    <w:rsid w:val="001F1616"/>
    <w:rsid w:val="00203092"/>
    <w:rsid w:val="00214D47"/>
    <w:rsid w:val="00220532"/>
    <w:rsid w:val="00220835"/>
    <w:rsid w:val="002208C0"/>
    <w:rsid w:val="00224C06"/>
    <w:rsid w:val="00234B94"/>
    <w:rsid w:val="00235649"/>
    <w:rsid w:val="002559DA"/>
    <w:rsid w:val="0025687C"/>
    <w:rsid w:val="00273084"/>
    <w:rsid w:val="00274A48"/>
    <w:rsid w:val="0028414A"/>
    <w:rsid w:val="00291CCC"/>
    <w:rsid w:val="0029728E"/>
    <w:rsid w:val="002A3700"/>
    <w:rsid w:val="002A6415"/>
    <w:rsid w:val="002B7B7C"/>
    <w:rsid w:val="002C2BF2"/>
    <w:rsid w:val="002C7EF6"/>
    <w:rsid w:val="002D4924"/>
    <w:rsid w:val="002D7046"/>
    <w:rsid w:val="002D7A8D"/>
    <w:rsid w:val="002F2152"/>
    <w:rsid w:val="002F42F5"/>
    <w:rsid w:val="002F4756"/>
    <w:rsid w:val="003000CA"/>
    <w:rsid w:val="00301705"/>
    <w:rsid w:val="00302509"/>
    <w:rsid w:val="003027EC"/>
    <w:rsid w:val="003049C5"/>
    <w:rsid w:val="00315292"/>
    <w:rsid w:val="00321B2F"/>
    <w:rsid w:val="00326ACE"/>
    <w:rsid w:val="003303BF"/>
    <w:rsid w:val="0033596A"/>
    <w:rsid w:val="00340C00"/>
    <w:rsid w:val="00347891"/>
    <w:rsid w:val="00357E1D"/>
    <w:rsid w:val="003603AB"/>
    <w:rsid w:val="00365C31"/>
    <w:rsid w:val="003702D1"/>
    <w:rsid w:val="00371DB8"/>
    <w:rsid w:val="00373FAD"/>
    <w:rsid w:val="003777B5"/>
    <w:rsid w:val="0038290C"/>
    <w:rsid w:val="003832E7"/>
    <w:rsid w:val="00394A2A"/>
    <w:rsid w:val="003A20A0"/>
    <w:rsid w:val="003A58B0"/>
    <w:rsid w:val="003B429A"/>
    <w:rsid w:val="003C4C6B"/>
    <w:rsid w:val="003F5153"/>
    <w:rsid w:val="00400640"/>
    <w:rsid w:val="00400DFC"/>
    <w:rsid w:val="00406D8D"/>
    <w:rsid w:val="00412DC6"/>
    <w:rsid w:val="0041688E"/>
    <w:rsid w:val="00425009"/>
    <w:rsid w:val="00431621"/>
    <w:rsid w:val="004377B0"/>
    <w:rsid w:val="0044682C"/>
    <w:rsid w:val="00454BB8"/>
    <w:rsid w:val="00460161"/>
    <w:rsid w:val="0046506A"/>
    <w:rsid w:val="00472C81"/>
    <w:rsid w:val="00474A18"/>
    <w:rsid w:val="00475032"/>
    <w:rsid w:val="00475CFA"/>
    <w:rsid w:val="00484452"/>
    <w:rsid w:val="004859EF"/>
    <w:rsid w:val="004A5407"/>
    <w:rsid w:val="004F262F"/>
    <w:rsid w:val="0050438B"/>
    <w:rsid w:val="00511EC2"/>
    <w:rsid w:val="005164F5"/>
    <w:rsid w:val="005239AD"/>
    <w:rsid w:val="00523BA1"/>
    <w:rsid w:val="0052560F"/>
    <w:rsid w:val="00527593"/>
    <w:rsid w:val="00541D9B"/>
    <w:rsid w:val="005452FD"/>
    <w:rsid w:val="0056349F"/>
    <w:rsid w:val="005666F2"/>
    <w:rsid w:val="005703ED"/>
    <w:rsid w:val="00572064"/>
    <w:rsid w:val="0058095D"/>
    <w:rsid w:val="00584369"/>
    <w:rsid w:val="00587A35"/>
    <w:rsid w:val="0059252D"/>
    <w:rsid w:val="005A364E"/>
    <w:rsid w:val="005A426B"/>
    <w:rsid w:val="005B77D7"/>
    <w:rsid w:val="005C6946"/>
    <w:rsid w:val="005F24DF"/>
    <w:rsid w:val="005F4693"/>
    <w:rsid w:val="00604539"/>
    <w:rsid w:val="00606445"/>
    <w:rsid w:val="00623602"/>
    <w:rsid w:val="0064279A"/>
    <w:rsid w:val="0064602E"/>
    <w:rsid w:val="00651C98"/>
    <w:rsid w:val="0065665E"/>
    <w:rsid w:val="006932CD"/>
    <w:rsid w:val="00694556"/>
    <w:rsid w:val="006A5D23"/>
    <w:rsid w:val="006B2BE8"/>
    <w:rsid w:val="006C0FD9"/>
    <w:rsid w:val="006D3D07"/>
    <w:rsid w:val="006E3D58"/>
    <w:rsid w:val="00701F1D"/>
    <w:rsid w:val="00704EE5"/>
    <w:rsid w:val="007066E2"/>
    <w:rsid w:val="00721230"/>
    <w:rsid w:val="0072241F"/>
    <w:rsid w:val="00722640"/>
    <w:rsid w:val="00724D02"/>
    <w:rsid w:val="00727566"/>
    <w:rsid w:val="0073197E"/>
    <w:rsid w:val="00746080"/>
    <w:rsid w:val="007508EC"/>
    <w:rsid w:val="00772B57"/>
    <w:rsid w:val="00781D04"/>
    <w:rsid w:val="00796496"/>
    <w:rsid w:val="007A2CF0"/>
    <w:rsid w:val="007C2D45"/>
    <w:rsid w:val="007E095B"/>
    <w:rsid w:val="007F49EB"/>
    <w:rsid w:val="00805FDA"/>
    <w:rsid w:val="00812C1B"/>
    <w:rsid w:val="008173B1"/>
    <w:rsid w:val="00821291"/>
    <w:rsid w:val="00835AD0"/>
    <w:rsid w:val="00841787"/>
    <w:rsid w:val="00842C4E"/>
    <w:rsid w:val="008747B3"/>
    <w:rsid w:val="00875941"/>
    <w:rsid w:val="008813C3"/>
    <w:rsid w:val="00885B9A"/>
    <w:rsid w:val="008926F0"/>
    <w:rsid w:val="008964E8"/>
    <w:rsid w:val="008A48F6"/>
    <w:rsid w:val="008D0F50"/>
    <w:rsid w:val="008D6E34"/>
    <w:rsid w:val="008E6045"/>
    <w:rsid w:val="008F046D"/>
    <w:rsid w:val="008F2871"/>
    <w:rsid w:val="0090113B"/>
    <w:rsid w:val="00910138"/>
    <w:rsid w:val="0093258A"/>
    <w:rsid w:val="009379B6"/>
    <w:rsid w:val="0094373C"/>
    <w:rsid w:val="00946DEE"/>
    <w:rsid w:val="00947CFB"/>
    <w:rsid w:val="00951E2B"/>
    <w:rsid w:val="00952939"/>
    <w:rsid w:val="00961EA0"/>
    <w:rsid w:val="00974AD0"/>
    <w:rsid w:val="009A5C44"/>
    <w:rsid w:val="009B03AF"/>
    <w:rsid w:val="009C0895"/>
    <w:rsid w:val="009C4216"/>
    <w:rsid w:val="009C72B7"/>
    <w:rsid w:val="009D5F4B"/>
    <w:rsid w:val="009E626E"/>
    <w:rsid w:val="009E7CBF"/>
    <w:rsid w:val="009F6665"/>
    <w:rsid w:val="00A0153C"/>
    <w:rsid w:val="00A07077"/>
    <w:rsid w:val="00A118D5"/>
    <w:rsid w:val="00A16B92"/>
    <w:rsid w:val="00A203F3"/>
    <w:rsid w:val="00A50DD0"/>
    <w:rsid w:val="00A516B0"/>
    <w:rsid w:val="00A5620A"/>
    <w:rsid w:val="00A636EA"/>
    <w:rsid w:val="00A75FF6"/>
    <w:rsid w:val="00A851CF"/>
    <w:rsid w:val="00AA054B"/>
    <w:rsid w:val="00AA06D9"/>
    <w:rsid w:val="00AB3CFF"/>
    <w:rsid w:val="00AC2406"/>
    <w:rsid w:val="00AD3FCF"/>
    <w:rsid w:val="00AD547E"/>
    <w:rsid w:val="00B03732"/>
    <w:rsid w:val="00B03802"/>
    <w:rsid w:val="00B069AA"/>
    <w:rsid w:val="00B114F6"/>
    <w:rsid w:val="00B1293C"/>
    <w:rsid w:val="00B23A36"/>
    <w:rsid w:val="00B25576"/>
    <w:rsid w:val="00B25EF5"/>
    <w:rsid w:val="00B27237"/>
    <w:rsid w:val="00B32608"/>
    <w:rsid w:val="00B50EB2"/>
    <w:rsid w:val="00B660BA"/>
    <w:rsid w:val="00B6722A"/>
    <w:rsid w:val="00B701A8"/>
    <w:rsid w:val="00B71D9F"/>
    <w:rsid w:val="00B82D78"/>
    <w:rsid w:val="00B95041"/>
    <w:rsid w:val="00BA434C"/>
    <w:rsid w:val="00BB6200"/>
    <w:rsid w:val="00BB6F8A"/>
    <w:rsid w:val="00BB7277"/>
    <w:rsid w:val="00BD0B73"/>
    <w:rsid w:val="00BD4F65"/>
    <w:rsid w:val="00BD7607"/>
    <w:rsid w:val="00BF6E0C"/>
    <w:rsid w:val="00C06D1A"/>
    <w:rsid w:val="00C06F9E"/>
    <w:rsid w:val="00C13E6B"/>
    <w:rsid w:val="00C205EF"/>
    <w:rsid w:val="00C219DD"/>
    <w:rsid w:val="00C2370B"/>
    <w:rsid w:val="00C245D5"/>
    <w:rsid w:val="00C27193"/>
    <w:rsid w:val="00C30DBD"/>
    <w:rsid w:val="00C45D34"/>
    <w:rsid w:val="00C624D5"/>
    <w:rsid w:val="00C64D19"/>
    <w:rsid w:val="00C75B94"/>
    <w:rsid w:val="00C76003"/>
    <w:rsid w:val="00C7729F"/>
    <w:rsid w:val="00C848A0"/>
    <w:rsid w:val="00C859E5"/>
    <w:rsid w:val="00C878C5"/>
    <w:rsid w:val="00C96AEA"/>
    <w:rsid w:val="00CC0B6D"/>
    <w:rsid w:val="00CC56FA"/>
    <w:rsid w:val="00CD01B4"/>
    <w:rsid w:val="00CD523B"/>
    <w:rsid w:val="00CE1CD3"/>
    <w:rsid w:val="00CE41DB"/>
    <w:rsid w:val="00CE4F01"/>
    <w:rsid w:val="00D01118"/>
    <w:rsid w:val="00D30F16"/>
    <w:rsid w:val="00D3291C"/>
    <w:rsid w:val="00D44BAF"/>
    <w:rsid w:val="00D51927"/>
    <w:rsid w:val="00D549F9"/>
    <w:rsid w:val="00D55546"/>
    <w:rsid w:val="00D57E8C"/>
    <w:rsid w:val="00D6213C"/>
    <w:rsid w:val="00D647C0"/>
    <w:rsid w:val="00D77694"/>
    <w:rsid w:val="00D77B0F"/>
    <w:rsid w:val="00D955F9"/>
    <w:rsid w:val="00DB6B52"/>
    <w:rsid w:val="00DE5488"/>
    <w:rsid w:val="00DE75AC"/>
    <w:rsid w:val="00DF5A52"/>
    <w:rsid w:val="00E02CB5"/>
    <w:rsid w:val="00E17C58"/>
    <w:rsid w:val="00E231C2"/>
    <w:rsid w:val="00E25CF5"/>
    <w:rsid w:val="00E3024A"/>
    <w:rsid w:val="00E429DA"/>
    <w:rsid w:val="00E55EF7"/>
    <w:rsid w:val="00E616AB"/>
    <w:rsid w:val="00E62C2A"/>
    <w:rsid w:val="00E8586E"/>
    <w:rsid w:val="00E86F26"/>
    <w:rsid w:val="00E96A06"/>
    <w:rsid w:val="00EA0919"/>
    <w:rsid w:val="00EB5240"/>
    <w:rsid w:val="00EC0B55"/>
    <w:rsid w:val="00EC530E"/>
    <w:rsid w:val="00EC5D17"/>
    <w:rsid w:val="00EC68F3"/>
    <w:rsid w:val="00ED04C0"/>
    <w:rsid w:val="00EE16BF"/>
    <w:rsid w:val="00EE3753"/>
    <w:rsid w:val="00F034BF"/>
    <w:rsid w:val="00F232BB"/>
    <w:rsid w:val="00F233A3"/>
    <w:rsid w:val="00F23D7A"/>
    <w:rsid w:val="00F26D30"/>
    <w:rsid w:val="00F34107"/>
    <w:rsid w:val="00F5358F"/>
    <w:rsid w:val="00F57152"/>
    <w:rsid w:val="00F600B1"/>
    <w:rsid w:val="00F63646"/>
    <w:rsid w:val="00F67227"/>
    <w:rsid w:val="00F72718"/>
    <w:rsid w:val="00F7362C"/>
    <w:rsid w:val="00F80B5F"/>
    <w:rsid w:val="00F8277D"/>
    <w:rsid w:val="00F92F61"/>
    <w:rsid w:val="00FA6E54"/>
    <w:rsid w:val="00FB1AF8"/>
    <w:rsid w:val="00FB6F10"/>
    <w:rsid w:val="00FC4B04"/>
    <w:rsid w:val="00FC4CF8"/>
    <w:rsid w:val="00FC5C68"/>
    <w:rsid w:val="00FC5DA7"/>
    <w:rsid w:val="00FD0F0E"/>
    <w:rsid w:val="00FE0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 w:type="paragraph" w:styleId="Revision">
    <w:name w:val="Revision"/>
    <w:hidden/>
    <w:uiPriority w:val="99"/>
    <w:semiHidden/>
    <w:rsid w:val="00400640"/>
    <w:pPr>
      <w:spacing w:after="0" w:line="240" w:lineRule="auto"/>
    </w:pPr>
  </w:style>
  <w:style w:type="paragraph" w:customStyle="1" w:styleId="paragraph">
    <w:name w:val="paragraph"/>
    <w:basedOn w:val="Normal"/>
    <w:rsid w:val="00011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11C1E"/>
  </w:style>
  <w:style w:type="character" w:customStyle="1" w:styleId="eop">
    <w:name w:val="eop"/>
    <w:basedOn w:val="DefaultParagraphFont"/>
    <w:rsid w:val="0001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78">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28738949">
      <w:bodyDiv w:val="1"/>
      <w:marLeft w:val="0"/>
      <w:marRight w:val="0"/>
      <w:marTop w:val="0"/>
      <w:marBottom w:val="0"/>
      <w:divBdr>
        <w:top w:val="none" w:sz="0" w:space="0" w:color="auto"/>
        <w:left w:val="none" w:sz="0" w:space="0" w:color="auto"/>
        <w:bottom w:val="none" w:sz="0" w:space="0" w:color="auto"/>
        <w:right w:val="none" w:sz="0" w:space="0" w:color="auto"/>
      </w:divBdr>
    </w:div>
    <w:div w:id="488209008">
      <w:bodyDiv w:val="1"/>
      <w:marLeft w:val="0"/>
      <w:marRight w:val="0"/>
      <w:marTop w:val="0"/>
      <w:marBottom w:val="0"/>
      <w:divBdr>
        <w:top w:val="none" w:sz="0" w:space="0" w:color="auto"/>
        <w:left w:val="none" w:sz="0" w:space="0" w:color="auto"/>
        <w:bottom w:val="none" w:sz="0" w:space="0" w:color="auto"/>
        <w:right w:val="none" w:sz="0" w:space="0" w:color="auto"/>
      </w:divBdr>
    </w:div>
    <w:div w:id="664624012">
      <w:bodyDiv w:val="1"/>
      <w:marLeft w:val="0"/>
      <w:marRight w:val="0"/>
      <w:marTop w:val="0"/>
      <w:marBottom w:val="0"/>
      <w:divBdr>
        <w:top w:val="none" w:sz="0" w:space="0" w:color="auto"/>
        <w:left w:val="none" w:sz="0" w:space="0" w:color="auto"/>
        <w:bottom w:val="none" w:sz="0" w:space="0" w:color="auto"/>
        <w:right w:val="none" w:sz="0" w:space="0" w:color="auto"/>
      </w:divBdr>
      <w:divsChild>
        <w:div w:id="1571306464">
          <w:marLeft w:val="0"/>
          <w:marRight w:val="0"/>
          <w:marTop w:val="0"/>
          <w:marBottom w:val="0"/>
          <w:divBdr>
            <w:top w:val="none" w:sz="0" w:space="0" w:color="auto"/>
            <w:left w:val="none" w:sz="0" w:space="0" w:color="auto"/>
            <w:bottom w:val="none" w:sz="0" w:space="0" w:color="auto"/>
            <w:right w:val="none" w:sz="0" w:space="0" w:color="auto"/>
          </w:divBdr>
        </w:div>
        <w:div w:id="468713563">
          <w:marLeft w:val="0"/>
          <w:marRight w:val="0"/>
          <w:marTop w:val="0"/>
          <w:marBottom w:val="0"/>
          <w:divBdr>
            <w:top w:val="none" w:sz="0" w:space="0" w:color="auto"/>
            <w:left w:val="none" w:sz="0" w:space="0" w:color="auto"/>
            <w:bottom w:val="none" w:sz="0" w:space="0" w:color="auto"/>
            <w:right w:val="none" w:sz="0" w:space="0" w:color="auto"/>
          </w:divBdr>
        </w:div>
        <w:div w:id="548109831">
          <w:marLeft w:val="0"/>
          <w:marRight w:val="0"/>
          <w:marTop w:val="0"/>
          <w:marBottom w:val="0"/>
          <w:divBdr>
            <w:top w:val="none" w:sz="0" w:space="0" w:color="auto"/>
            <w:left w:val="none" w:sz="0" w:space="0" w:color="auto"/>
            <w:bottom w:val="none" w:sz="0" w:space="0" w:color="auto"/>
            <w:right w:val="none" w:sz="0" w:space="0" w:color="auto"/>
          </w:divBdr>
        </w:div>
        <w:div w:id="171529272">
          <w:marLeft w:val="0"/>
          <w:marRight w:val="0"/>
          <w:marTop w:val="0"/>
          <w:marBottom w:val="0"/>
          <w:divBdr>
            <w:top w:val="none" w:sz="0" w:space="0" w:color="auto"/>
            <w:left w:val="none" w:sz="0" w:space="0" w:color="auto"/>
            <w:bottom w:val="none" w:sz="0" w:space="0" w:color="auto"/>
            <w:right w:val="none" w:sz="0" w:space="0" w:color="auto"/>
          </w:divBdr>
        </w:div>
        <w:div w:id="2113086794">
          <w:marLeft w:val="0"/>
          <w:marRight w:val="0"/>
          <w:marTop w:val="0"/>
          <w:marBottom w:val="0"/>
          <w:divBdr>
            <w:top w:val="none" w:sz="0" w:space="0" w:color="auto"/>
            <w:left w:val="none" w:sz="0" w:space="0" w:color="auto"/>
            <w:bottom w:val="none" w:sz="0" w:space="0" w:color="auto"/>
            <w:right w:val="none" w:sz="0" w:space="0" w:color="auto"/>
          </w:divBdr>
        </w:div>
        <w:div w:id="137304606">
          <w:marLeft w:val="0"/>
          <w:marRight w:val="0"/>
          <w:marTop w:val="0"/>
          <w:marBottom w:val="0"/>
          <w:divBdr>
            <w:top w:val="none" w:sz="0" w:space="0" w:color="auto"/>
            <w:left w:val="none" w:sz="0" w:space="0" w:color="auto"/>
            <w:bottom w:val="none" w:sz="0" w:space="0" w:color="auto"/>
            <w:right w:val="none" w:sz="0" w:space="0" w:color="auto"/>
          </w:divBdr>
        </w:div>
        <w:div w:id="1108355326">
          <w:marLeft w:val="0"/>
          <w:marRight w:val="0"/>
          <w:marTop w:val="0"/>
          <w:marBottom w:val="0"/>
          <w:divBdr>
            <w:top w:val="none" w:sz="0" w:space="0" w:color="auto"/>
            <w:left w:val="none" w:sz="0" w:space="0" w:color="auto"/>
            <w:bottom w:val="none" w:sz="0" w:space="0" w:color="auto"/>
            <w:right w:val="none" w:sz="0" w:space="0" w:color="auto"/>
          </w:divBdr>
          <w:divsChild>
            <w:div w:id="1987079642">
              <w:marLeft w:val="0"/>
              <w:marRight w:val="0"/>
              <w:marTop w:val="0"/>
              <w:marBottom w:val="0"/>
              <w:divBdr>
                <w:top w:val="none" w:sz="0" w:space="0" w:color="auto"/>
                <w:left w:val="none" w:sz="0" w:space="0" w:color="auto"/>
                <w:bottom w:val="none" w:sz="0" w:space="0" w:color="auto"/>
                <w:right w:val="none" w:sz="0" w:space="0" w:color="auto"/>
              </w:divBdr>
            </w:div>
            <w:div w:id="1716545906">
              <w:marLeft w:val="0"/>
              <w:marRight w:val="0"/>
              <w:marTop w:val="0"/>
              <w:marBottom w:val="0"/>
              <w:divBdr>
                <w:top w:val="none" w:sz="0" w:space="0" w:color="auto"/>
                <w:left w:val="none" w:sz="0" w:space="0" w:color="auto"/>
                <w:bottom w:val="none" w:sz="0" w:space="0" w:color="auto"/>
                <w:right w:val="none" w:sz="0" w:space="0" w:color="auto"/>
              </w:divBdr>
            </w:div>
            <w:div w:id="1510099394">
              <w:marLeft w:val="0"/>
              <w:marRight w:val="0"/>
              <w:marTop w:val="0"/>
              <w:marBottom w:val="0"/>
              <w:divBdr>
                <w:top w:val="none" w:sz="0" w:space="0" w:color="auto"/>
                <w:left w:val="none" w:sz="0" w:space="0" w:color="auto"/>
                <w:bottom w:val="none" w:sz="0" w:space="0" w:color="auto"/>
                <w:right w:val="none" w:sz="0" w:space="0" w:color="auto"/>
              </w:divBdr>
            </w:div>
            <w:div w:id="1795174398">
              <w:marLeft w:val="0"/>
              <w:marRight w:val="0"/>
              <w:marTop w:val="0"/>
              <w:marBottom w:val="0"/>
              <w:divBdr>
                <w:top w:val="none" w:sz="0" w:space="0" w:color="auto"/>
                <w:left w:val="none" w:sz="0" w:space="0" w:color="auto"/>
                <w:bottom w:val="none" w:sz="0" w:space="0" w:color="auto"/>
                <w:right w:val="none" w:sz="0" w:space="0" w:color="auto"/>
              </w:divBdr>
            </w:div>
            <w:div w:id="1246108008">
              <w:marLeft w:val="0"/>
              <w:marRight w:val="0"/>
              <w:marTop w:val="0"/>
              <w:marBottom w:val="0"/>
              <w:divBdr>
                <w:top w:val="none" w:sz="0" w:space="0" w:color="auto"/>
                <w:left w:val="none" w:sz="0" w:space="0" w:color="auto"/>
                <w:bottom w:val="none" w:sz="0" w:space="0" w:color="auto"/>
                <w:right w:val="none" w:sz="0" w:space="0" w:color="auto"/>
              </w:divBdr>
            </w:div>
          </w:divsChild>
        </w:div>
        <w:div w:id="457601703">
          <w:marLeft w:val="0"/>
          <w:marRight w:val="0"/>
          <w:marTop w:val="0"/>
          <w:marBottom w:val="0"/>
          <w:divBdr>
            <w:top w:val="none" w:sz="0" w:space="0" w:color="auto"/>
            <w:left w:val="none" w:sz="0" w:space="0" w:color="auto"/>
            <w:bottom w:val="none" w:sz="0" w:space="0" w:color="auto"/>
            <w:right w:val="none" w:sz="0" w:space="0" w:color="auto"/>
          </w:divBdr>
        </w:div>
        <w:div w:id="237371610">
          <w:marLeft w:val="0"/>
          <w:marRight w:val="0"/>
          <w:marTop w:val="0"/>
          <w:marBottom w:val="0"/>
          <w:divBdr>
            <w:top w:val="none" w:sz="0" w:space="0" w:color="auto"/>
            <w:left w:val="none" w:sz="0" w:space="0" w:color="auto"/>
            <w:bottom w:val="none" w:sz="0" w:space="0" w:color="auto"/>
            <w:right w:val="none" w:sz="0" w:space="0" w:color="auto"/>
          </w:divBdr>
        </w:div>
        <w:div w:id="821044453">
          <w:marLeft w:val="0"/>
          <w:marRight w:val="0"/>
          <w:marTop w:val="0"/>
          <w:marBottom w:val="0"/>
          <w:divBdr>
            <w:top w:val="none" w:sz="0" w:space="0" w:color="auto"/>
            <w:left w:val="none" w:sz="0" w:space="0" w:color="auto"/>
            <w:bottom w:val="none" w:sz="0" w:space="0" w:color="auto"/>
            <w:right w:val="none" w:sz="0" w:space="0" w:color="auto"/>
          </w:divBdr>
        </w:div>
        <w:div w:id="154104770">
          <w:marLeft w:val="0"/>
          <w:marRight w:val="0"/>
          <w:marTop w:val="0"/>
          <w:marBottom w:val="0"/>
          <w:divBdr>
            <w:top w:val="none" w:sz="0" w:space="0" w:color="auto"/>
            <w:left w:val="none" w:sz="0" w:space="0" w:color="auto"/>
            <w:bottom w:val="none" w:sz="0" w:space="0" w:color="auto"/>
            <w:right w:val="none" w:sz="0" w:space="0" w:color="auto"/>
          </w:divBdr>
        </w:div>
        <w:div w:id="38359873">
          <w:marLeft w:val="0"/>
          <w:marRight w:val="0"/>
          <w:marTop w:val="0"/>
          <w:marBottom w:val="0"/>
          <w:divBdr>
            <w:top w:val="none" w:sz="0" w:space="0" w:color="auto"/>
            <w:left w:val="none" w:sz="0" w:space="0" w:color="auto"/>
            <w:bottom w:val="none" w:sz="0" w:space="0" w:color="auto"/>
            <w:right w:val="none" w:sz="0" w:space="0" w:color="auto"/>
          </w:divBdr>
        </w:div>
        <w:div w:id="672531421">
          <w:marLeft w:val="0"/>
          <w:marRight w:val="0"/>
          <w:marTop w:val="0"/>
          <w:marBottom w:val="0"/>
          <w:divBdr>
            <w:top w:val="none" w:sz="0" w:space="0" w:color="auto"/>
            <w:left w:val="none" w:sz="0" w:space="0" w:color="auto"/>
            <w:bottom w:val="none" w:sz="0" w:space="0" w:color="auto"/>
            <w:right w:val="none" w:sz="0" w:space="0" w:color="auto"/>
          </w:divBdr>
          <w:divsChild>
            <w:div w:id="141969210">
              <w:marLeft w:val="0"/>
              <w:marRight w:val="0"/>
              <w:marTop w:val="0"/>
              <w:marBottom w:val="0"/>
              <w:divBdr>
                <w:top w:val="none" w:sz="0" w:space="0" w:color="auto"/>
                <w:left w:val="none" w:sz="0" w:space="0" w:color="auto"/>
                <w:bottom w:val="none" w:sz="0" w:space="0" w:color="auto"/>
                <w:right w:val="none" w:sz="0" w:space="0" w:color="auto"/>
              </w:divBdr>
            </w:div>
            <w:div w:id="341318362">
              <w:marLeft w:val="0"/>
              <w:marRight w:val="0"/>
              <w:marTop w:val="0"/>
              <w:marBottom w:val="0"/>
              <w:divBdr>
                <w:top w:val="none" w:sz="0" w:space="0" w:color="auto"/>
                <w:left w:val="none" w:sz="0" w:space="0" w:color="auto"/>
                <w:bottom w:val="none" w:sz="0" w:space="0" w:color="auto"/>
                <w:right w:val="none" w:sz="0" w:space="0" w:color="auto"/>
              </w:divBdr>
            </w:div>
            <w:div w:id="469516188">
              <w:marLeft w:val="0"/>
              <w:marRight w:val="0"/>
              <w:marTop w:val="0"/>
              <w:marBottom w:val="0"/>
              <w:divBdr>
                <w:top w:val="none" w:sz="0" w:space="0" w:color="auto"/>
                <w:left w:val="none" w:sz="0" w:space="0" w:color="auto"/>
                <w:bottom w:val="none" w:sz="0" w:space="0" w:color="auto"/>
                <w:right w:val="none" w:sz="0" w:space="0" w:color="auto"/>
              </w:divBdr>
            </w:div>
            <w:div w:id="1400833410">
              <w:marLeft w:val="0"/>
              <w:marRight w:val="0"/>
              <w:marTop w:val="0"/>
              <w:marBottom w:val="0"/>
              <w:divBdr>
                <w:top w:val="none" w:sz="0" w:space="0" w:color="auto"/>
                <w:left w:val="none" w:sz="0" w:space="0" w:color="auto"/>
                <w:bottom w:val="none" w:sz="0" w:space="0" w:color="auto"/>
                <w:right w:val="none" w:sz="0" w:space="0" w:color="auto"/>
              </w:divBdr>
            </w:div>
            <w:div w:id="749816655">
              <w:marLeft w:val="0"/>
              <w:marRight w:val="0"/>
              <w:marTop w:val="0"/>
              <w:marBottom w:val="0"/>
              <w:divBdr>
                <w:top w:val="none" w:sz="0" w:space="0" w:color="auto"/>
                <w:left w:val="none" w:sz="0" w:space="0" w:color="auto"/>
                <w:bottom w:val="none" w:sz="0" w:space="0" w:color="auto"/>
                <w:right w:val="none" w:sz="0" w:space="0" w:color="auto"/>
              </w:divBdr>
            </w:div>
          </w:divsChild>
        </w:div>
        <w:div w:id="1323047642">
          <w:marLeft w:val="0"/>
          <w:marRight w:val="0"/>
          <w:marTop w:val="0"/>
          <w:marBottom w:val="0"/>
          <w:divBdr>
            <w:top w:val="none" w:sz="0" w:space="0" w:color="auto"/>
            <w:left w:val="none" w:sz="0" w:space="0" w:color="auto"/>
            <w:bottom w:val="none" w:sz="0" w:space="0" w:color="auto"/>
            <w:right w:val="none" w:sz="0" w:space="0" w:color="auto"/>
          </w:divBdr>
          <w:divsChild>
            <w:div w:id="7376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33194123">
      <w:bodyDiv w:val="1"/>
      <w:marLeft w:val="0"/>
      <w:marRight w:val="0"/>
      <w:marTop w:val="0"/>
      <w:marBottom w:val="0"/>
      <w:divBdr>
        <w:top w:val="none" w:sz="0" w:space="0" w:color="auto"/>
        <w:left w:val="none" w:sz="0" w:space="0" w:color="auto"/>
        <w:bottom w:val="none" w:sz="0" w:space="0" w:color="auto"/>
        <w:right w:val="none" w:sz="0" w:space="0" w:color="auto"/>
      </w:divBdr>
      <w:divsChild>
        <w:div w:id="1554537929">
          <w:marLeft w:val="0"/>
          <w:marRight w:val="0"/>
          <w:marTop w:val="0"/>
          <w:marBottom w:val="0"/>
          <w:divBdr>
            <w:top w:val="none" w:sz="0" w:space="0" w:color="auto"/>
            <w:left w:val="none" w:sz="0" w:space="0" w:color="auto"/>
            <w:bottom w:val="none" w:sz="0" w:space="0" w:color="auto"/>
            <w:right w:val="none" w:sz="0" w:space="0" w:color="auto"/>
          </w:divBdr>
        </w:div>
        <w:div w:id="296421625">
          <w:marLeft w:val="0"/>
          <w:marRight w:val="0"/>
          <w:marTop w:val="0"/>
          <w:marBottom w:val="0"/>
          <w:divBdr>
            <w:top w:val="none" w:sz="0" w:space="0" w:color="auto"/>
            <w:left w:val="none" w:sz="0" w:space="0" w:color="auto"/>
            <w:bottom w:val="none" w:sz="0" w:space="0" w:color="auto"/>
            <w:right w:val="none" w:sz="0" w:space="0" w:color="auto"/>
          </w:divBdr>
        </w:div>
        <w:div w:id="1299724532">
          <w:marLeft w:val="0"/>
          <w:marRight w:val="0"/>
          <w:marTop w:val="0"/>
          <w:marBottom w:val="0"/>
          <w:divBdr>
            <w:top w:val="none" w:sz="0" w:space="0" w:color="auto"/>
            <w:left w:val="none" w:sz="0" w:space="0" w:color="auto"/>
            <w:bottom w:val="none" w:sz="0" w:space="0" w:color="auto"/>
            <w:right w:val="none" w:sz="0" w:space="0" w:color="auto"/>
          </w:divBdr>
        </w:div>
        <w:div w:id="1979719071">
          <w:marLeft w:val="0"/>
          <w:marRight w:val="0"/>
          <w:marTop w:val="0"/>
          <w:marBottom w:val="0"/>
          <w:divBdr>
            <w:top w:val="none" w:sz="0" w:space="0" w:color="auto"/>
            <w:left w:val="none" w:sz="0" w:space="0" w:color="auto"/>
            <w:bottom w:val="none" w:sz="0" w:space="0" w:color="auto"/>
            <w:right w:val="none" w:sz="0" w:space="0" w:color="auto"/>
          </w:divBdr>
        </w:div>
        <w:div w:id="1901398969">
          <w:marLeft w:val="0"/>
          <w:marRight w:val="0"/>
          <w:marTop w:val="0"/>
          <w:marBottom w:val="0"/>
          <w:divBdr>
            <w:top w:val="none" w:sz="0" w:space="0" w:color="auto"/>
            <w:left w:val="none" w:sz="0" w:space="0" w:color="auto"/>
            <w:bottom w:val="none" w:sz="0" w:space="0" w:color="auto"/>
            <w:right w:val="none" w:sz="0" w:space="0" w:color="auto"/>
          </w:divBdr>
        </w:div>
        <w:div w:id="942373785">
          <w:marLeft w:val="0"/>
          <w:marRight w:val="0"/>
          <w:marTop w:val="0"/>
          <w:marBottom w:val="0"/>
          <w:divBdr>
            <w:top w:val="none" w:sz="0" w:space="0" w:color="auto"/>
            <w:left w:val="none" w:sz="0" w:space="0" w:color="auto"/>
            <w:bottom w:val="none" w:sz="0" w:space="0" w:color="auto"/>
            <w:right w:val="none" w:sz="0" w:space="0" w:color="auto"/>
          </w:divBdr>
        </w:div>
        <w:div w:id="471290659">
          <w:marLeft w:val="0"/>
          <w:marRight w:val="0"/>
          <w:marTop w:val="0"/>
          <w:marBottom w:val="0"/>
          <w:divBdr>
            <w:top w:val="none" w:sz="0" w:space="0" w:color="auto"/>
            <w:left w:val="none" w:sz="0" w:space="0" w:color="auto"/>
            <w:bottom w:val="none" w:sz="0" w:space="0" w:color="auto"/>
            <w:right w:val="none" w:sz="0" w:space="0" w:color="auto"/>
          </w:divBdr>
          <w:divsChild>
            <w:div w:id="1486049214">
              <w:marLeft w:val="0"/>
              <w:marRight w:val="0"/>
              <w:marTop w:val="0"/>
              <w:marBottom w:val="0"/>
              <w:divBdr>
                <w:top w:val="none" w:sz="0" w:space="0" w:color="auto"/>
                <w:left w:val="none" w:sz="0" w:space="0" w:color="auto"/>
                <w:bottom w:val="none" w:sz="0" w:space="0" w:color="auto"/>
                <w:right w:val="none" w:sz="0" w:space="0" w:color="auto"/>
              </w:divBdr>
            </w:div>
            <w:div w:id="1287081215">
              <w:marLeft w:val="0"/>
              <w:marRight w:val="0"/>
              <w:marTop w:val="0"/>
              <w:marBottom w:val="0"/>
              <w:divBdr>
                <w:top w:val="none" w:sz="0" w:space="0" w:color="auto"/>
                <w:left w:val="none" w:sz="0" w:space="0" w:color="auto"/>
                <w:bottom w:val="none" w:sz="0" w:space="0" w:color="auto"/>
                <w:right w:val="none" w:sz="0" w:space="0" w:color="auto"/>
              </w:divBdr>
            </w:div>
            <w:div w:id="2124617892">
              <w:marLeft w:val="0"/>
              <w:marRight w:val="0"/>
              <w:marTop w:val="0"/>
              <w:marBottom w:val="0"/>
              <w:divBdr>
                <w:top w:val="none" w:sz="0" w:space="0" w:color="auto"/>
                <w:left w:val="none" w:sz="0" w:space="0" w:color="auto"/>
                <w:bottom w:val="none" w:sz="0" w:space="0" w:color="auto"/>
                <w:right w:val="none" w:sz="0" w:space="0" w:color="auto"/>
              </w:divBdr>
            </w:div>
            <w:div w:id="364065853">
              <w:marLeft w:val="0"/>
              <w:marRight w:val="0"/>
              <w:marTop w:val="0"/>
              <w:marBottom w:val="0"/>
              <w:divBdr>
                <w:top w:val="none" w:sz="0" w:space="0" w:color="auto"/>
                <w:left w:val="none" w:sz="0" w:space="0" w:color="auto"/>
                <w:bottom w:val="none" w:sz="0" w:space="0" w:color="auto"/>
                <w:right w:val="none" w:sz="0" w:space="0" w:color="auto"/>
              </w:divBdr>
            </w:div>
            <w:div w:id="320696422">
              <w:marLeft w:val="0"/>
              <w:marRight w:val="0"/>
              <w:marTop w:val="0"/>
              <w:marBottom w:val="0"/>
              <w:divBdr>
                <w:top w:val="none" w:sz="0" w:space="0" w:color="auto"/>
                <w:left w:val="none" w:sz="0" w:space="0" w:color="auto"/>
                <w:bottom w:val="none" w:sz="0" w:space="0" w:color="auto"/>
                <w:right w:val="none" w:sz="0" w:space="0" w:color="auto"/>
              </w:divBdr>
            </w:div>
          </w:divsChild>
        </w:div>
        <w:div w:id="26415242">
          <w:marLeft w:val="0"/>
          <w:marRight w:val="0"/>
          <w:marTop w:val="0"/>
          <w:marBottom w:val="0"/>
          <w:divBdr>
            <w:top w:val="none" w:sz="0" w:space="0" w:color="auto"/>
            <w:left w:val="none" w:sz="0" w:space="0" w:color="auto"/>
            <w:bottom w:val="none" w:sz="0" w:space="0" w:color="auto"/>
            <w:right w:val="none" w:sz="0" w:space="0" w:color="auto"/>
          </w:divBdr>
        </w:div>
        <w:div w:id="2047483145">
          <w:marLeft w:val="0"/>
          <w:marRight w:val="0"/>
          <w:marTop w:val="0"/>
          <w:marBottom w:val="0"/>
          <w:divBdr>
            <w:top w:val="none" w:sz="0" w:space="0" w:color="auto"/>
            <w:left w:val="none" w:sz="0" w:space="0" w:color="auto"/>
            <w:bottom w:val="none" w:sz="0" w:space="0" w:color="auto"/>
            <w:right w:val="none" w:sz="0" w:space="0" w:color="auto"/>
          </w:divBdr>
        </w:div>
        <w:div w:id="95371185">
          <w:marLeft w:val="0"/>
          <w:marRight w:val="0"/>
          <w:marTop w:val="0"/>
          <w:marBottom w:val="0"/>
          <w:divBdr>
            <w:top w:val="none" w:sz="0" w:space="0" w:color="auto"/>
            <w:left w:val="none" w:sz="0" w:space="0" w:color="auto"/>
            <w:bottom w:val="none" w:sz="0" w:space="0" w:color="auto"/>
            <w:right w:val="none" w:sz="0" w:space="0" w:color="auto"/>
          </w:divBdr>
        </w:div>
        <w:div w:id="1952786995">
          <w:marLeft w:val="0"/>
          <w:marRight w:val="0"/>
          <w:marTop w:val="0"/>
          <w:marBottom w:val="0"/>
          <w:divBdr>
            <w:top w:val="none" w:sz="0" w:space="0" w:color="auto"/>
            <w:left w:val="none" w:sz="0" w:space="0" w:color="auto"/>
            <w:bottom w:val="none" w:sz="0" w:space="0" w:color="auto"/>
            <w:right w:val="none" w:sz="0" w:space="0" w:color="auto"/>
          </w:divBdr>
        </w:div>
        <w:div w:id="215551699">
          <w:marLeft w:val="0"/>
          <w:marRight w:val="0"/>
          <w:marTop w:val="0"/>
          <w:marBottom w:val="0"/>
          <w:divBdr>
            <w:top w:val="none" w:sz="0" w:space="0" w:color="auto"/>
            <w:left w:val="none" w:sz="0" w:space="0" w:color="auto"/>
            <w:bottom w:val="none" w:sz="0" w:space="0" w:color="auto"/>
            <w:right w:val="none" w:sz="0" w:space="0" w:color="auto"/>
          </w:divBdr>
        </w:div>
        <w:div w:id="1059786690">
          <w:marLeft w:val="0"/>
          <w:marRight w:val="0"/>
          <w:marTop w:val="0"/>
          <w:marBottom w:val="0"/>
          <w:divBdr>
            <w:top w:val="none" w:sz="0" w:space="0" w:color="auto"/>
            <w:left w:val="none" w:sz="0" w:space="0" w:color="auto"/>
            <w:bottom w:val="none" w:sz="0" w:space="0" w:color="auto"/>
            <w:right w:val="none" w:sz="0" w:space="0" w:color="auto"/>
          </w:divBdr>
          <w:divsChild>
            <w:div w:id="863639228">
              <w:marLeft w:val="0"/>
              <w:marRight w:val="0"/>
              <w:marTop w:val="0"/>
              <w:marBottom w:val="0"/>
              <w:divBdr>
                <w:top w:val="none" w:sz="0" w:space="0" w:color="auto"/>
                <w:left w:val="none" w:sz="0" w:space="0" w:color="auto"/>
                <w:bottom w:val="none" w:sz="0" w:space="0" w:color="auto"/>
                <w:right w:val="none" w:sz="0" w:space="0" w:color="auto"/>
              </w:divBdr>
            </w:div>
            <w:div w:id="783156730">
              <w:marLeft w:val="0"/>
              <w:marRight w:val="0"/>
              <w:marTop w:val="0"/>
              <w:marBottom w:val="0"/>
              <w:divBdr>
                <w:top w:val="none" w:sz="0" w:space="0" w:color="auto"/>
                <w:left w:val="none" w:sz="0" w:space="0" w:color="auto"/>
                <w:bottom w:val="none" w:sz="0" w:space="0" w:color="auto"/>
                <w:right w:val="none" w:sz="0" w:space="0" w:color="auto"/>
              </w:divBdr>
            </w:div>
            <w:div w:id="1367102692">
              <w:marLeft w:val="0"/>
              <w:marRight w:val="0"/>
              <w:marTop w:val="0"/>
              <w:marBottom w:val="0"/>
              <w:divBdr>
                <w:top w:val="none" w:sz="0" w:space="0" w:color="auto"/>
                <w:left w:val="none" w:sz="0" w:space="0" w:color="auto"/>
                <w:bottom w:val="none" w:sz="0" w:space="0" w:color="auto"/>
                <w:right w:val="none" w:sz="0" w:space="0" w:color="auto"/>
              </w:divBdr>
            </w:div>
            <w:div w:id="1769813360">
              <w:marLeft w:val="0"/>
              <w:marRight w:val="0"/>
              <w:marTop w:val="0"/>
              <w:marBottom w:val="0"/>
              <w:divBdr>
                <w:top w:val="none" w:sz="0" w:space="0" w:color="auto"/>
                <w:left w:val="none" w:sz="0" w:space="0" w:color="auto"/>
                <w:bottom w:val="none" w:sz="0" w:space="0" w:color="auto"/>
                <w:right w:val="none" w:sz="0" w:space="0" w:color="auto"/>
              </w:divBdr>
            </w:div>
            <w:div w:id="1652055865">
              <w:marLeft w:val="0"/>
              <w:marRight w:val="0"/>
              <w:marTop w:val="0"/>
              <w:marBottom w:val="0"/>
              <w:divBdr>
                <w:top w:val="none" w:sz="0" w:space="0" w:color="auto"/>
                <w:left w:val="none" w:sz="0" w:space="0" w:color="auto"/>
                <w:bottom w:val="none" w:sz="0" w:space="0" w:color="auto"/>
                <w:right w:val="none" w:sz="0" w:space="0" w:color="auto"/>
              </w:divBdr>
            </w:div>
          </w:divsChild>
        </w:div>
        <w:div w:id="1875193797">
          <w:marLeft w:val="0"/>
          <w:marRight w:val="0"/>
          <w:marTop w:val="0"/>
          <w:marBottom w:val="0"/>
          <w:divBdr>
            <w:top w:val="none" w:sz="0" w:space="0" w:color="auto"/>
            <w:left w:val="none" w:sz="0" w:space="0" w:color="auto"/>
            <w:bottom w:val="none" w:sz="0" w:space="0" w:color="auto"/>
            <w:right w:val="none" w:sz="0" w:space="0" w:color="auto"/>
          </w:divBdr>
          <w:divsChild>
            <w:div w:id="2087221036">
              <w:marLeft w:val="0"/>
              <w:marRight w:val="0"/>
              <w:marTop w:val="0"/>
              <w:marBottom w:val="0"/>
              <w:divBdr>
                <w:top w:val="none" w:sz="0" w:space="0" w:color="auto"/>
                <w:left w:val="none" w:sz="0" w:space="0" w:color="auto"/>
                <w:bottom w:val="none" w:sz="0" w:space="0" w:color="auto"/>
                <w:right w:val="none" w:sz="0" w:space="0" w:color="auto"/>
              </w:divBdr>
            </w:div>
            <w:div w:id="1078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36474793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9</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20</cp:revision>
  <cp:lastPrinted>2014-09-29T14:43:00Z</cp:lastPrinted>
  <dcterms:created xsi:type="dcterms:W3CDTF">2022-08-23T20:44:00Z</dcterms:created>
  <dcterms:modified xsi:type="dcterms:W3CDTF">2022-12-13T16:35:00Z</dcterms:modified>
</cp:coreProperties>
</file>