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B79D" w14:textId="6952D6B2" w:rsidR="003832E7" w:rsidRPr="003832E7" w:rsidRDefault="00176BEE" w:rsidP="003832E7">
      <w:pPr>
        <w:pStyle w:val="Default"/>
        <w:jc w:val="right"/>
        <w:rPr>
          <w:rFonts w:ascii="Arial" w:hAnsi="Arial" w:cs="Arial"/>
          <w:sz w:val="22"/>
          <w:szCs w:val="22"/>
        </w:rPr>
      </w:pPr>
      <w:r w:rsidRPr="00176BEE">
        <w:rPr>
          <w:rFonts w:ascii="Arial" w:hAnsi="Arial" w:cs="Arial"/>
          <w:sz w:val="22"/>
          <w:szCs w:val="22"/>
        </w:rPr>
        <w:t>Sioux Lookout Hydro Inc.</w:t>
      </w:r>
    </w:p>
    <w:p w14:paraId="5498C7DE" w14:textId="6DAEC602" w:rsidR="00A07077" w:rsidRPr="00D57E8C" w:rsidRDefault="00AE3108" w:rsidP="00A07077">
      <w:pPr>
        <w:pStyle w:val="Default"/>
        <w:jc w:val="right"/>
        <w:rPr>
          <w:rFonts w:ascii="Arial" w:hAnsi="Arial" w:cs="Arial"/>
          <w:sz w:val="22"/>
          <w:szCs w:val="22"/>
        </w:rPr>
      </w:pPr>
      <w:r>
        <w:rPr>
          <w:rFonts w:ascii="Arial" w:hAnsi="Arial" w:cs="Arial"/>
          <w:sz w:val="22"/>
          <w:szCs w:val="22"/>
        </w:rPr>
        <w:t xml:space="preserve">Response to </w:t>
      </w:r>
      <w:r w:rsidR="008A48F6"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7EB0DB1E" w:rsidR="00A07077" w:rsidRPr="00D57E8C" w:rsidRDefault="00623602" w:rsidP="00AB251C">
      <w:pPr>
        <w:pStyle w:val="Default"/>
        <w:spacing w:after="240"/>
        <w:jc w:val="right"/>
        <w:rPr>
          <w:rFonts w:ascii="Arial" w:hAnsi="Arial" w:cs="Arial"/>
          <w:sz w:val="22"/>
          <w:szCs w:val="22"/>
        </w:rPr>
      </w:pPr>
      <w:r>
        <w:rPr>
          <w:rFonts w:ascii="Arial" w:hAnsi="Arial" w:cs="Arial"/>
          <w:sz w:val="22"/>
          <w:szCs w:val="22"/>
        </w:rPr>
        <w:t>EB-202</w:t>
      </w:r>
      <w:r w:rsidR="005E27C0">
        <w:rPr>
          <w:rFonts w:ascii="Arial" w:hAnsi="Arial" w:cs="Arial"/>
          <w:sz w:val="22"/>
          <w:szCs w:val="22"/>
        </w:rPr>
        <w:t>2</w:t>
      </w:r>
      <w:r w:rsidR="009D5F4B" w:rsidRPr="00D57E8C">
        <w:rPr>
          <w:rFonts w:ascii="Arial" w:hAnsi="Arial" w:cs="Arial"/>
          <w:sz w:val="22"/>
          <w:szCs w:val="22"/>
        </w:rPr>
        <w:t>-</w:t>
      </w:r>
      <w:r w:rsidR="00DF750C">
        <w:rPr>
          <w:rFonts w:ascii="Arial" w:hAnsi="Arial" w:cs="Arial"/>
          <w:sz w:val="22"/>
          <w:szCs w:val="22"/>
        </w:rPr>
        <w:t>00</w:t>
      </w:r>
      <w:r w:rsidR="00176BEE">
        <w:rPr>
          <w:rFonts w:ascii="Arial" w:hAnsi="Arial" w:cs="Arial"/>
          <w:sz w:val="22"/>
          <w:szCs w:val="22"/>
        </w:rPr>
        <w:t>62</w:t>
      </w:r>
    </w:p>
    <w:p w14:paraId="31F8E0D6" w14:textId="6E84F302" w:rsidR="00A07077" w:rsidRPr="00176BEE" w:rsidRDefault="00176BEE" w:rsidP="00A07077">
      <w:pPr>
        <w:pStyle w:val="Default"/>
        <w:jc w:val="center"/>
        <w:rPr>
          <w:rFonts w:ascii="Arial" w:hAnsi="Arial" w:cs="Arial"/>
          <w:b/>
          <w:bCs/>
          <w:sz w:val="28"/>
          <w:szCs w:val="28"/>
        </w:rPr>
      </w:pPr>
      <w:r w:rsidRPr="00176BEE">
        <w:rPr>
          <w:rFonts w:ascii="Arial" w:hAnsi="Arial" w:cs="Arial"/>
          <w:b/>
          <w:bCs/>
          <w:sz w:val="28"/>
          <w:szCs w:val="28"/>
        </w:rPr>
        <w:t>Sioux Lookout Hydro Inc.</w:t>
      </w:r>
    </w:p>
    <w:p w14:paraId="33D6510D" w14:textId="2044B8E0" w:rsidR="00A07077" w:rsidRDefault="00623602" w:rsidP="00AB251C">
      <w:pPr>
        <w:pStyle w:val="Default"/>
        <w:spacing w:after="360"/>
        <w:jc w:val="center"/>
        <w:rPr>
          <w:rFonts w:ascii="Arial" w:hAnsi="Arial" w:cs="Arial"/>
          <w:b/>
          <w:bCs/>
          <w:sz w:val="28"/>
          <w:szCs w:val="28"/>
        </w:rPr>
      </w:pPr>
      <w:r>
        <w:rPr>
          <w:rFonts w:ascii="Arial" w:hAnsi="Arial" w:cs="Arial"/>
          <w:b/>
          <w:bCs/>
          <w:sz w:val="28"/>
          <w:szCs w:val="28"/>
        </w:rPr>
        <w:t>EB-202</w:t>
      </w:r>
      <w:r w:rsidR="005E27C0">
        <w:rPr>
          <w:rFonts w:ascii="Arial" w:hAnsi="Arial" w:cs="Arial"/>
          <w:b/>
          <w:bCs/>
          <w:sz w:val="28"/>
          <w:szCs w:val="28"/>
        </w:rPr>
        <w:t>2</w:t>
      </w:r>
      <w:r w:rsidR="00B069AA" w:rsidRPr="00D57E8C">
        <w:rPr>
          <w:rFonts w:ascii="Arial" w:hAnsi="Arial" w:cs="Arial"/>
          <w:b/>
          <w:bCs/>
          <w:sz w:val="28"/>
          <w:szCs w:val="28"/>
        </w:rPr>
        <w:t>-</w:t>
      </w:r>
      <w:r w:rsidR="00DF750C">
        <w:rPr>
          <w:rFonts w:ascii="Arial" w:hAnsi="Arial" w:cs="Arial"/>
          <w:b/>
          <w:bCs/>
          <w:sz w:val="28"/>
          <w:szCs w:val="28"/>
        </w:rPr>
        <w:t>00</w:t>
      </w:r>
      <w:r w:rsidR="00176BEE">
        <w:rPr>
          <w:rFonts w:ascii="Arial" w:hAnsi="Arial" w:cs="Arial"/>
          <w:b/>
          <w:bCs/>
          <w:sz w:val="28"/>
          <w:szCs w:val="28"/>
        </w:rPr>
        <w:t>62</w:t>
      </w:r>
    </w:p>
    <w:p w14:paraId="2A0CB1B0" w14:textId="169834E9" w:rsidR="00E86F26" w:rsidRPr="00E86F26"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E86F26">
        <w:rPr>
          <w:rFonts w:ascii="Arial" w:eastAsia="Calibri" w:hAnsi="Arial" w:cs="Arial"/>
          <w:sz w:val="24"/>
          <w:szCs w:val="24"/>
        </w:rPr>
        <w:t>Please note,</w:t>
      </w:r>
      <w:r w:rsidR="00D3340B" w:rsidRPr="00D3340B">
        <w:t xml:space="preserve"> </w:t>
      </w:r>
      <w:r w:rsidR="00D3340B" w:rsidRPr="00D3340B">
        <w:rPr>
          <w:rFonts w:ascii="Arial" w:eastAsia="Calibri" w:hAnsi="Arial" w:cs="Arial"/>
          <w:sz w:val="24"/>
          <w:szCs w:val="24"/>
        </w:rPr>
        <w:t>Sioux Lookout Hydro Inc.</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p w14:paraId="5E363555" w14:textId="6785DFAB" w:rsidR="00756DA9" w:rsidRDefault="00756DA9" w:rsidP="00756DA9">
      <w:pPr>
        <w:spacing w:after="240"/>
        <w:rPr>
          <w:rFonts w:ascii="Arial" w:hAnsi="Arial" w:cs="Arial"/>
          <w:b/>
          <w:sz w:val="24"/>
          <w:szCs w:val="24"/>
        </w:rPr>
      </w:pPr>
      <w:bookmarkStart w:id="1" w:name="_Hlk111114891"/>
      <w:bookmarkStart w:id="2" w:name="_Hlk118709671"/>
      <w:bookmarkStart w:id="3" w:name="_Hlk121835334"/>
      <w:bookmarkStart w:id="4" w:name="_Hlk111119117"/>
      <w:bookmarkEnd w:id="0"/>
      <w:r>
        <w:rPr>
          <w:rFonts w:ascii="Arial" w:hAnsi="Arial" w:cs="Arial"/>
          <w:b/>
          <w:sz w:val="24"/>
          <w:szCs w:val="24"/>
        </w:rPr>
        <w:t>Staff Question-</w:t>
      </w:r>
      <w:r w:rsidR="00FE1FD7">
        <w:rPr>
          <w:rFonts w:ascii="Arial" w:hAnsi="Arial" w:cs="Arial"/>
          <w:b/>
          <w:sz w:val="24"/>
          <w:szCs w:val="24"/>
        </w:rPr>
        <w:t>1</w:t>
      </w:r>
    </w:p>
    <w:p w14:paraId="5C39D5EB" w14:textId="3E697F9E" w:rsidR="00756DA9" w:rsidRDefault="00756DA9" w:rsidP="00756DA9">
      <w:pPr>
        <w:spacing w:after="240"/>
        <w:rPr>
          <w:rFonts w:ascii="Arial" w:hAnsi="Arial" w:cs="Arial"/>
          <w:b/>
          <w:sz w:val="24"/>
          <w:szCs w:val="24"/>
        </w:rPr>
      </w:pPr>
      <w:bookmarkStart w:id="5" w:name="_Hlk111114923"/>
      <w:bookmarkStart w:id="6" w:name="_Hlk111117062"/>
      <w:bookmarkEnd w:id="1"/>
      <w:r>
        <w:rPr>
          <w:rFonts w:ascii="Arial" w:hAnsi="Arial" w:cs="Arial"/>
          <w:b/>
          <w:sz w:val="24"/>
          <w:szCs w:val="24"/>
        </w:rPr>
        <w:t>Ref:</w:t>
      </w:r>
    </w:p>
    <w:p w14:paraId="7051B04E" w14:textId="6140681F" w:rsidR="00756DA9" w:rsidRPr="00176BEE" w:rsidRDefault="00703AA4" w:rsidP="00176BEE">
      <w:pPr>
        <w:pStyle w:val="ListParagraph"/>
        <w:numPr>
          <w:ilvl w:val="0"/>
          <w:numId w:val="4"/>
        </w:numPr>
        <w:spacing w:after="240"/>
        <w:rPr>
          <w:rFonts w:ascii="Arial" w:hAnsi="Arial" w:cs="Arial"/>
          <w:bCs/>
          <w:sz w:val="24"/>
          <w:szCs w:val="24"/>
        </w:rPr>
      </w:pPr>
      <w:bookmarkStart w:id="7" w:name="_Hlk112666317"/>
      <w:bookmarkEnd w:id="2"/>
      <w:bookmarkEnd w:id="5"/>
      <w:bookmarkEnd w:id="6"/>
      <w:r>
        <w:rPr>
          <w:rFonts w:ascii="Arial" w:hAnsi="Arial" w:cs="Arial"/>
          <w:bCs/>
          <w:sz w:val="24"/>
          <w:szCs w:val="24"/>
        </w:rPr>
        <w:t>Rate Generator Model</w:t>
      </w:r>
      <w:bookmarkEnd w:id="7"/>
    </w:p>
    <w:p w14:paraId="5A0BC0A7" w14:textId="60B36895" w:rsidR="00176BEE" w:rsidRPr="00176BEE" w:rsidRDefault="00CF10B1" w:rsidP="00176BEE">
      <w:pPr>
        <w:rPr>
          <w:rFonts w:ascii="Arial" w:eastAsia="Calibri" w:hAnsi="Arial" w:cs="Arial"/>
          <w:sz w:val="24"/>
          <w:szCs w:val="24"/>
          <w:lang w:val="en-US"/>
        </w:rPr>
      </w:pPr>
      <w:r>
        <w:rPr>
          <w:rFonts w:ascii="Arial" w:hAnsi="Arial" w:cs="Arial"/>
          <w:b/>
          <w:sz w:val="24"/>
          <w:szCs w:val="24"/>
        </w:rPr>
        <w:t>Question:</w:t>
      </w:r>
      <w:r w:rsidR="00176BEE">
        <w:rPr>
          <w:rFonts w:ascii="Arial" w:hAnsi="Arial" w:cs="Arial"/>
          <w:b/>
          <w:sz w:val="24"/>
          <w:szCs w:val="24"/>
        </w:rPr>
        <w:t xml:space="preserve"> </w:t>
      </w:r>
      <w:bookmarkEnd w:id="3"/>
      <w:r w:rsidR="00176BEE" w:rsidRPr="00176BEE">
        <w:rPr>
          <w:rFonts w:ascii="Arial" w:eastAsia="Calibri" w:hAnsi="Arial" w:cs="Arial"/>
          <w:sz w:val="24"/>
          <w:szCs w:val="24"/>
          <w:lang w:val="en-US"/>
        </w:rPr>
        <w:t xml:space="preserve">OEB staff has made the following generic updates in </w:t>
      </w:r>
      <w:r w:rsidR="00176BEE">
        <w:rPr>
          <w:rFonts w:ascii="Arial" w:eastAsia="Calibri" w:hAnsi="Arial" w:cs="Arial"/>
          <w:sz w:val="24"/>
          <w:szCs w:val="24"/>
          <w:lang w:val="en-US"/>
        </w:rPr>
        <w:t xml:space="preserve">the </w:t>
      </w:r>
      <w:r w:rsidR="00176BEE" w:rsidRPr="00176BEE">
        <w:rPr>
          <w:rFonts w:ascii="Arial" w:eastAsia="Calibri" w:hAnsi="Arial" w:cs="Arial"/>
          <w:sz w:val="24"/>
          <w:szCs w:val="24"/>
          <w:lang w:val="en-US"/>
        </w:rPr>
        <w:t>Rate Generator Models attached:</w:t>
      </w:r>
    </w:p>
    <w:p w14:paraId="0FEA9F16" w14:textId="45C9EE71" w:rsidR="00176BEE" w:rsidRDefault="00176BEE" w:rsidP="00176BEE">
      <w:pPr>
        <w:numPr>
          <w:ilvl w:val="0"/>
          <w:numId w:val="17"/>
        </w:numPr>
        <w:spacing w:after="0" w:line="240" w:lineRule="auto"/>
        <w:rPr>
          <w:rFonts w:ascii="Arial" w:eastAsia="Times New Roman" w:hAnsi="Arial" w:cs="Arial"/>
          <w:sz w:val="24"/>
          <w:szCs w:val="24"/>
          <w:lang w:val="en-US"/>
        </w:rPr>
      </w:pPr>
      <w:r w:rsidRPr="00176BEE">
        <w:rPr>
          <w:rFonts w:ascii="Arial" w:eastAsia="Times New Roman" w:hAnsi="Arial" w:cs="Arial"/>
          <w:sz w:val="24"/>
          <w:szCs w:val="24"/>
          <w:lang w:val="en-US"/>
        </w:rPr>
        <w:t xml:space="preserve">Updated the </w:t>
      </w:r>
      <w:hyperlink r:id="rId6" w:history="1">
        <w:r w:rsidRPr="00176BEE">
          <w:rPr>
            <w:rFonts w:ascii="Arial" w:eastAsia="Times New Roman" w:hAnsi="Arial" w:cs="Arial"/>
            <w:color w:val="0563C1"/>
            <w:sz w:val="24"/>
            <w:szCs w:val="24"/>
            <w:u w:val="single"/>
            <w:lang w:val="en-US"/>
          </w:rPr>
          <w:t>IPI Inflation Factor</w:t>
        </w:r>
      </w:hyperlink>
      <w:r w:rsidRPr="00176BEE">
        <w:rPr>
          <w:rFonts w:ascii="Arial" w:eastAsia="Times New Roman" w:hAnsi="Arial" w:cs="Arial"/>
          <w:sz w:val="24"/>
          <w:szCs w:val="24"/>
          <w:lang w:val="en-US"/>
        </w:rPr>
        <w:t xml:space="preserve"> to 3.70 % in Tab 16 and Tab 17</w:t>
      </w:r>
    </w:p>
    <w:p w14:paraId="6ECD373F" w14:textId="5C4CCF5D" w:rsidR="00B17DFD" w:rsidRPr="00176BEE" w:rsidRDefault="00B17DFD" w:rsidP="00176BEE">
      <w:pPr>
        <w:numPr>
          <w:ilvl w:val="0"/>
          <w:numId w:val="17"/>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Updated the Smart Meter Entity </w:t>
      </w:r>
      <w:r w:rsidR="006949C1">
        <w:rPr>
          <w:rFonts w:ascii="Arial" w:eastAsia="Times New Roman" w:hAnsi="Arial" w:cs="Arial"/>
          <w:sz w:val="24"/>
          <w:szCs w:val="24"/>
          <w:lang w:val="en-US"/>
        </w:rPr>
        <w:t xml:space="preserve">(SME) </w:t>
      </w:r>
      <w:r>
        <w:rPr>
          <w:rFonts w:ascii="Arial" w:eastAsia="Times New Roman" w:hAnsi="Arial" w:cs="Arial"/>
          <w:sz w:val="24"/>
          <w:szCs w:val="24"/>
          <w:lang w:val="en-US"/>
        </w:rPr>
        <w:t>Charge in Tab 17</w:t>
      </w:r>
      <w:r w:rsidR="006949C1">
        <w:rPr>
          <w:rFonts w:ascii="Arial" w:eastAsia="Times New Roman" w:hAnsi="Arial" w:cs="Arial"/>
          <w:sz w:val="24"/>
          <w:szCs w:val="24"/>
          <w:lang w:val="en-US"/>
        </w:rPr>
        <w:t xml:space="preserve"> to $0.42</w:t>
      </w:r>
    </w:p>
    <w:p w14:paraId="36E5DAD2" w14:textId="77777777" w:rsidR="00176BEE" w:rsidRPr="00176BEE" w:rsidRDefault="00176BEE" w:rsidP="00176BEE">
      <w:pPr>
        <w:numPr>
          <w:ilvl w:val="0"/>
          <w:numId w:val="17"/>
        </w:numPr>
        <w:spacing w:after="0" w:line="240" w:lineRule="auto"/>
        <w:rPr>
          <w:rFonts w:ascii="Arial" w:eastAsia="Times New Roman" w:hAnsi="Arial" w:cs="Arial"/>
          <w:sz w:val="24"/>
          <w:szCs w:val="24"/>
          <w:lang w:val="en-US"/>
        </w:rPr>
      </w:pPr>
      <w:r w:rsidRPr="00176BEE">
        <w:rPr>
          <w:rFonts w:ascii="Arial" w:eastAsia="Times New Roman" w:hAnsi="Arial" w:cs="Arial"/>
          <w:sz w:val="24"/>
          <w:szCs w:val="24"/>
          <w:lang w:val="en-US"/>
        </w:rPr>
        <w:t xml:space="preserve">Updated the </w:t>
      </w:r>
      <w:hyperlink r:id="rId7" w:history="1">
        <w:r w:rsidRPr="00176BEE">
          <w:rPr>
            <w:rFonts w:ascii="Arial" w:eastAsia="Times New Roman" w:hAnsi="Arial" w:cs="Arial"/>
            <w:color w:val="0563C1"/>
            <w:sz w:val="24"/>
            <w:szCs w:val="24"/>
            <w:u w:val="single"/>
            <w:lang w:val="en-US"/>
          </w:rPr>
          <w:t>Ontario Electricity Rebate</w:t>
        </w:r>
      </w:hyperlink>
      <w:r w:rsidRPr="00176BEE">
        <w:rPr>
          <w:rFonts w:ascii="Arial" w:eastAsia="Times New Roman" w:hAnsi="Arial" w:cs="Arial"/>
          <w:sz w:val="24"/>
          <w:szCs w:val="24"/>
          <w:lang w:val="en-US"/>
        </w:rPr>
        <w:t xml:space="preserve"> in Tab 20 to 11.7% (as of November 1, 2022)</w:t>
      </w:r>
    </w:p>
    <w:p w14:paraId="2B087D3C" w14:textId="77777777" w:rsidR="00176BEE" w:rsidRPr="00176BEE" w:rsidRDefault="00176BEE" w:rsidP="00176BEE">
      <w:pPr>
        <w:numPr>
          <w:ilvl w:val="0"/>
          <w:numId w:val="17"/>
        </w:numPr>
        <w:spacing w:after="0" w:line="240" w:lineRule="auto"/>
        <w:rPr>
          <w:rFonts w:ascii="Arial" w:eastAsia="Times New Roman" w:hAnsi="Arial" w:cs="Arial"/>
          <w:sz w:val="24"/>
          <w:szCs w:val="24"/>
          <w:lang w:val="en-US"/>
        </w:rPr>
      </w:pPr>
      <w:r w:rsidRPr="00176BEE">
        <w:rPr>
          <w:rFonts w:ascii="Arial" w:eastAsia="Times New Roman" w:hAnsi="Arial" w:cs="Arial"/>
          <w:sz w:val="24"/>
          <w:szCs w:val="24"/>
          <w:lang w:val="en-US"/>
        </w:rPr>
        <w:t xml:space="preserve">Updated the </w:t>
      </w:r>
      <w:hyperlink r:id="rId8" w:history="1">
        <w:r w:rsidRPr="00176BEE">
          <w:rPr>
            <w:rFonts w:ascii="Arial" w:eastAsia="Times New Roman" w:hAnsi="Arial" w:cs="Arial"/>
            <w:color w:val="0563C1"/>
            <w:sz w:val="24"/>
            <w:szCs w:val="24"/>
            <w:u w:val="single"/>
            <w:lang w:val="en-US"/>
          </w:rPr>
          <w:t>electricity prices</w:t>
        </w:r>
      </w:hyperlink>
      <w:r w:rsidRPr="00176BEE">
        <w:rPr>
          <w:rFonts w:ascii="Arial" w:eastAsia="Times New Roman" w:hAnsi="Arial" w:cs="Arial"/>
          <w:sz w:val="24"/>
          <w:szCs w:val="24"/>
          <w:lang w:val="en-US"/>
        </w:rPr>
        <w:t xml:space="preserve"> under the RPP in tab 17 and tab 20</w:t>
      </w:r>
    </w:p>
    <w:p w14:paraId="7FB9438E" w14:textId="0790719E" w:rsidR="00176BEE" w:rsidRDefault="00176BEE" w:rsidP="00176BEE">
      <w:pPr>
        <w:numPr>
          <w:ilvl w:val="0"/>
          <w:numId w:val="17"/>
        </w:numPr>
        <w:spacing w:after="0" w:line="240" w:lineRule="auto"/>
        <w:rPr>
          <w:rFonts w:ascii="Arial" w:eastAsia="Times New Roman" w:hAnsi="Arial" w:cs="Arial"/>
          <w:sz w:val="24"/>
          <w:szCs w:val="24"/>
          <w:lang w:val="en-US"/>
        </w:rPr>
      </w:pPr>
      <w:r w:rsidRPr="00176BEE">
        <w:rPr>
          <w:rFonts w:ascii="Arial" w:eastAsia="Times New Roman" w:hAnsi="Arial" w:cs="Arial"/>
          <w:sz w:val="24"/>
          <w:szCs w:val="24"/>
          <w:lang w:val="en-US"/>
        </w:rPr>
        <w:t xml:space="preserve">Applied a 3.70% Inflation Factor for the </w:t>
      </w:r>
      <w:hyperlink r:id="rId9" w:history="1">
        <w:r w:rsidRPr="00176BEE">
          <w:rPr>
            <w:rFonts w:ascii="Arial" w:eastAsia="Times New Roman" w:hAnsi="Arial" w:cs="Arial"/>
            <w:color w:val="0563C1"/>
            <w:sz w:val="24"/>
            <w:szCs w:val="24"/>
            <w:u w:val="single"/>
            <w:lang w:val="en-US"/>
          </w:rPr>
          <w:t>Wireline Pole Attachment Charge</w:t>
        </w:r>
      </w:hyperlink>
      <w:r w:rsidRPr="00176BEE">
        <w:rPr>
          <w:rFonts w:ascii="Arial" w:eastAsia="Times New Roman" w:hAnsi="Arial" w:cs="Arial"/>
          <w:sz w:val="24"/>
          <w:szCs w:val="24"/>
          <w:lang w:val="en-US"/>
        </w:rPr>
        <w:t xml:space="preserve"> and </w:t>
      </w:r>
      <w:hyperlink r:id="rId10" w:history="1">
        <w:r w:rsidRPr="00176BEE">
          <w:rPr>
            <w:rFonts w:ascii="Arial" w:eastAsia="Times New Roman" w:hAnsi="Arial" w:cs="Arial"/>
            <w:color w:val="0563C1"/>
            <w:sz w:val="24"/>
            <w:szCs w:val="24"/>
            <w:u w:val="single"/>
            <w:lang w:val="en-US"/>
          </w:rPr>
          <w:t>Retail Service Charges</w:t>
        </w:r>
      </w:hyperlink>
      <w:r w:rsidRPr="00176BEE">
        <w:rPr>
          <w:rFonts w:ascii="Arial" w:eastAsia="Times New Roman" w:hAnsi="Arial" w:cs="Arial"/>
          <w:sz w:val="24"/>
          <w:szCs w:val="24"/>
          <w:lang w:val="en-US"/>
        </w:rPr>
        <w:t xml:space="preserve"> in Tab 17</w:t>
      </w:r>
    </w:p>
    <w:p w14:paraId="4B6371B2" w14:textId="1D91D315" w:rsidR="00324AFA" w:rsidRDefault="00324AFA" w:rsidP="00176BEE">
      <w:pPr>
        <w:numPr>
          <w:ilvl w:val="0"/>
          <w:numId w:val="17"/>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Updated </w:t>
      </w:r>
      <w:r w:rsidRPr="00324AFA">
        <w:rPr>
          <w:rFonts w:ascii="Arial" w:eastAsia="Times New Roman" w:hAnsi="Arial" w:cs="Arial"/>
          <w:sz w:val="24"/>
          <w:szCs w:val="24"/>
          <w:lang w:val="en-US"/>
        </w:rPr>
        <w:t>regulatory charges effective January 1, 2023, for the Wholesale Market Services rate and the Rural or Remote Electricity Rate Protection charge</w:t>
      </w:r>
      <w:r>
        <w:rPr>
          <w:rFonts w:ascii="Arial" w:eastAsia="Times New Roman" w:hAnsi="Arial" w:cs="Arial"/>
          <w:sz w:val="24"/>
          <w:szCs w:val="24"/>
          <w:lang w:val="en-US"/>
        </w:rPr>
        <w:t xml:space="preserve"> (</w:t>
      </w:r>
      <w:hyperlink r:id="rId11" w:history="1">
        <w:r w:rsidRPr="00324AFA">
          <w:rPr>
            <w:rStyle w:val="Hyperlink"/>
            <w:rFonts w:ascii="Arial" w:eastAsia="Times New Roman" w:hAnsi="Arial" w:cs="Arial"/>
            <w:sz w:val="24"/>
            <w:szCs w:val="24"/>
            <w:lang w:val="en-US"/>
          </w:rPr>
          <w:t>EB-2022-0269</w:t>
        </w:r>
      </w:hyperlink>
      <w:r>
        <w:rPr>
          <w:rFonts w:ascii="Arial" w:eastAsia="Times New Roman" w:hAnsi="Arial" w:cs="Arial"/>
          <w:sz w:val="24"/>
          <w:szCs w:val="24"/>
          <w:lang w:val="en-US"/>
        </w:rPr>
        <w:t>) in Tab 17</w:t>
      </w:r>
    </w:p>
    <w:p w14:paraId="7E5B83EC" w14:textId="74DE71FB" w:rsidR="00324AFA" w:rsidRDefault="00324AFA" w:rsidP="00176BEE">
      <w:pPr>
        <w:numPr>
          <w:ilvl w:val="0"/>
          <w:numId w:val="17"/>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Updated </w:t>
      </w:r>
      <w:r w:rsidRPr="00324AFA">
        <w:rPr>
          <w:rFonts w:ascii="Arial" w:eastAsia="Times New Roman" w:hAnsi="Arial" w:cs="Arial"/>
          <w:sz w:val="24"/>
          <w:szCs w:val="24"/>
          <w:lang w:val="en-US"/>
        </w:rPr>
        <w:t xml:space="preserve">2023 </w:t>
      </w:r>
      <w:hyperlink r:id="rId12" w:history="1">
        <w:r w:rsidRPr="00324AFA">
          <w:rPr>
            <w:rStyle w:val="Hyperlink"/>
            <w:rFonts w:ascii="Arial" w:eastAsia="Times New Roman" w:hAnsi="Arial" w:cs="Arial"/>
            <w:sz w:val="24"/>
            <w:szCs w:val="24"/>
            <w:lang w:val="en-US"/>
          </w:rPr>
          <w:t>Uniform Transmission Rates</w:t>
        </w:r>
      </w:hyperlink>
      <w:r>
        <w:rPr>
          <w:rFonts w:ascii="Arial" w:eastAsia="Times New Roman" w:hAnsi="Arial" w:cs="Arial"/>
          <w:sz w:val="24"/>
          <w:szCs w:val="24"/>
          <w:lang w:val="en-US"/>
        </w:rPr>
        <w:t xml:space="preserve"> and </w:t>
      </w:r>
      <w:hyperlink r:id="rId13" w:history="1">
        <w:r w:rsidRPr="00324AFA">
          <w:rPr>
            <w:rStyle w:val="Hyperlink"/>
            <w:rFonts w:ascii="Arial" w:eastAsia="Times New Roman" w:hAnsi="Arial" w:cs="Arial"/>
            <w:sz w:val="24"/>
            <w:szCs w:val="24"/>
            <w:lang w:val="en-US"/>
          </w:rPr>
          <w:t>Host-RTSRs</w:t>
        </w:r>
      </w:hyperlink>
      <w:r>
        <w:rPr>
          <w:rFonts w:ascii="Arial" w:eastAsia="Times New Roman" w:hAnsi="Arial" w:cs="Arial"/>
          <w:sz w:val="24"/>
          <w:szCs w:val="24"/>
          <w:lang w:val="en-US"/>
        </w:rPr>
        <w:t xml:space="preserve"> in Tab 11</w:t>
      </w:r>
    </w:p>
    <w:p w14:paraId="0532C3DC" w14:textId="77777777" w:rsidR="00324AFA" w:rsidRPr="00176BEE" w:rsidRDefault="00324AFA" w:rsidP="00324AFA">
      <w:pPr>
        <w:spacing w:after="0" w:line="240" w:lineRule="auto"/>
        <w:ind w:left="1080"/>
        <w:rPr>
          <w:rFonts w:ascii="Arial" w:eastAsia="Times New Roman" w:hAnsi="Arial" w:cs="Arial"/>
          <w:sz w:val="24"/>
          <w:szCs w:val="24"/>
          <w:lang w:val="en-US"/>
        </w:rPr>
      </w:pPr>
    </w:p>
    <w:p w14:paraId="030A24A2" w14:textId="42AB4414" w:rsidR="007A60D9" w:rsidRDefault="00176BEE" w:rsidP="00CF10B1">
      <w:pPr>
        <w:pStyle w:val="ListParagraph"/>
        <w:spacing w:after="240"/>
        <w:ind w:left="0"/>
        <w:rPr>
          <w:rFonts w:ascii="Arial" w:hAnsi="Arial" w:cs="Arial"/>
          <w:bCs/>
          <w:sz w:val="24"/>
          <w:szCs w:val="24"/>
        </w:rPr>
      </w:pPr>
      <w:r w:rsidRPr="00176BEE">
        <w:rPr>
          <w:rFonts w:ascii="Arial" w:hAnsi="Arial" w:cs="Arial"/>
          <w:bCs/>
          <w:sz w:val="24"/>
          <w:szCs w:val="24"/>
        </w:rPr>
        <w:t xml:space="preserve">Please confirm the updates in the attached model. </w:t>
      </w:r>
    </w:p>
    <w:p w14:paraId="3F5F8E74" w14:textId="4FE8D427" w:rsidR="00AE3108" w:rsidRDefault="00AE3108" w:rsidP="00CF10B1">
      <w:pPr>
        <w:pStyle w:val="ListParagraph"/>
        <w:spacing w:after="240"/>
        <w:ind w:left="0"/>
        <w:rPr>
          <w:rFonts w:ascii="Arial" w:hAnsi="Arial" w:cs="Arial"/>
          <w:bCs/>
          <w:sz w:val="24"/>
          <w:szCs w:val="24"/>
        </w:rPr>
      </w:pPr>
    </w:p>
    <w:p w14:paraId="321FB81B" w14:textId="10710AA5" w:rsidR="00AE3108" w:rsidRPr="00AE3108" w:rsidRDefault="00AE3108" w:rsidP="00CF10B1">
      <w:pPr>
        <w:pStyle w:val="ListParagraph"/>
        <w:spacing w:after="240"/>
        <w:ind w:left="0"/>
        <w:rPr>
          <w:rFonts w:ascii="Arial" w:hAnsi="Arial" w:cs="Arial"/>
          <w:b/>
          <w:color w:val="17365D" w:themeColor="text2" w:themeShade="BF"/>
          <w:sz w:val="24"/>
          <w:szCs w:val="24"/>
        </w:rPr>
      </w:pPr>
      <w:r w:rsidRPr="00AE3108">
        <w:rPr>
          <w:rFonts w:ascii="Arial" w:hAnsi="Arial" w:cs="Arial"/>
          <w:b/>
          <w:color w:val="17365D" w:themeColor="text2" w:themeShade="BF"/>
          <w:sz w:val="24"/>
          <w:szCs w:val="24"/>
        </w:rPr>
        <w:t>Response</w:t>
      </w:r>
      <w:r w:rsidR="00D62057">
        <w:rPr>
          <w:rFonts w:ascii="Arial" w:hAnsi="Arial" w:cs="Arial"/>
          <w:b/>
          <w:color w:val="17365D" w:themeColor="text2" w:themeShade="BF"/>
          <w:sz w:val="24"/>
          <w:szCs w:val="24"/>
        </w:rPr>
        <w:t>:</w:t>
      </w:r>
    </w:p>
    <w:p w14:paraId="38051659" w14:textId="363732BE" w:rsidR="00AE3108" w:rsidRDefault="00AE3108" w:rsidP="00CF10B1">
      <w:pPr>
        <w:pStyle w:val="ListParagraph"/>
        <w:spacing w:after="240"/>
        <w:ind w:left="0"/>
        <w:rPr>
          <w:rFonts w:ascii="Arial" w:hAnsi="Arial" w:cs="Arial"/>
          <w:bCs/>
          <w:sz w:val="24"/>
          <w:szCs w:val="24"/>
        </w:rPr>
      </w:pPr>
    </w:p>
    <w:p w14:paraId="7EA277C4" w14:textId="4B8A54CD" w:rsidR="00AE3108" w:rsidRPr="00AE3108" w:rsidRDefault="00AE3108" w:rsidP="00CF10B1">
      <w:pPr>
        <w:pStyle w:val="ListParagraph"/>
        <w:spacing w:after="240"/>
        <w:ind w:left="0"/>
        <w:rPr>
          <w:rFonts w:ascii="Arial" w:hAnsi="Arial" w:cs="Arial"/>
          <w:bCs/>
          <w:color w:val="17365D" w:themeColor="text2" w:themeShade="BF"/>
          <w:sz w:val="24"/>
          <w:szCs w:val="24"/>
        </w:rPr>
      </w:pPr>
      <w:r w:rsidRPr="00AE3108">
        <w:rPr>
          <w:rFonts w:ascii="Arial" w:hAnsi="Arial" w:cs="Arial"/>
          <w:bCs/>
          <w:color w:val="17365D" w:themeColor="text2" w:themeShade="BF"/>
          <w:sz w:val="24"/>
          <w:szCs w:val="24"/>
        </w:rPr>
        <w:t>SLHI Confirms the updates in the 2023 IRM rate generator model.</w:t>
      </w:r>
    </w:p>
    <w:p w14:paraId="32BB55A8" w14:textId="1B06A886" w:rsidR="00464260" w:rsidRDefault="00464260" w:rsidP="00CF10B1">
      <w:pPr>
        <w:pStyle w:val="ListParagraph"/>
        <w:spacing w:after="240"/>
        <w:ind w:left="0"/>
        <w:rPr>
          <w:rFonts w:ascii="Arial" w:hAnsi="Arial" w:cs="Arial"/>
          <w:bCs/>
          <w:sz w:val="24"/>
          <w:szCs w:val="24"/>
        </w:rPr>
      </w:pPr>
    </w:p>
    <w:p w14:paraId="58F703DF" w14:textId="519F1F4C" w:rsidR="00464260" w:rsidRDefault="00464260" w:rsidP="00464260">
      <w:pPr>
        <w:spacing w:after="240"/>
        <w:rPr>
          <w:rFonts w:ascii="Arial" w:hAnsi="Arial" w:cs="Arial"/>
          <w:b/>
          <w:sz w:val="24"/>
          <w:szCs w:val="24"/>
        </w:rPr>
      </w:pPr>
      <w:r>
        <w:rPr>
          <w:rFonts w:ascii="Arial" w:hAnsi="Arial" w:cs="Arial"/>
          <w:b/>
          <w:sz w:val="24"/>
          <w:szCs w:val="24"/>
        </w:rPr>
        <w:t>Staff Question-2</w:t>
      </w:r>
    </w:p>
    <w:p w14:paraId="175C703C" w14:textId="77777777" w:rsidR="00464260" w:rsidRDefault="00464260" w:rsidP="00464260">
      <w:pPr>
        <w:spacing w:after="240"/>
        <w:rPr>
          <w:rFonts w:ascii="Arial" w:hAnsi="Arial" w:cs="Arial"/>
          <w:b/>
          <w:sz w:val="24"/>
          <w:szCs w:val="24"/>
        </w:rPr>
      </w:pPr>
      <w:r>
        <w:rPr>
          <w:rFonts w:ascii="Arial" w:hAnsi="Arial" w:cs="Arial"/>
          <w:b/>
          <w:sz w:val="24"/>
          <w:szCs w:val="24"/>
        </w:rPr>
        <w:t>Ref:</w:t>
      </w:r>
    </w:p>
    <w:p w14:paraId="20332D01" w14:textId="5DE94198" w:rsidR="00464260" w:rsidRPr="00464260" w:rsidRDefault="00464260" w:rsidP="00464260">
      <w:pPr>
        <w:spacing w:after="240"/>
        <w:rPr>
          <w:rFonts w:ascii="Arial" w:hAnsi="Arial" w:cs="Arial"/>
          <w:bCs/>
          <w:sz w:val="24"/>
          <w:szCs w:val="24"/>
        </w:rPr>
      </w:pPr>
      <w:r w:rsidRPr="00464260">
        <w:rPr>
          <w:rFonts w:ascii="Arial" w:hAnsi="Arial" w:cs="Arial"/>
          <w:b/>
          <w:sz w:val="24"/>
          <w:szCs w:val="24"/>
        </w:rPr>
        <w:lastRenderedPageBreak/>
        <w:t>Question:</w:t>
      </w:r>
      <w:r>
        <w:rPr>
          <w:rFonts w:ascii="Arial" w:hAnsi="Arial" w:cs="Arial"/>
          <w:bCs/>
          <w:sz w:val="24"/>
          <w:szCs w:val="24"/>
        </w:rPr>
        <w:t xml:space="preserve"> </w:t>
      </w:r>
      <w:r w:rsidRPr="00464260">
        <w:rPr>
          <w:rFonts w:ascii="Arial" w:hAnsi="Arial" w:cs="Arial"/>
          <w:bCs/>
          <w:sz w:val="24"/>
          <w:szCs w:val="24"/>
        </w:rPr>
        <w:t>The 2021 CDM Guidelines (section 8) require distributors filing an application for 2023 rates to seek disposition of all outstanding LRAMVA balances related to previously established thresholds, including approval of LRAM-eligible amounts in future years (arising from persisting savings) until a distributor’s next rebasing application, unless a distributor does not have complete information on eligible savings.</w:t>
      </w:r>
    </w:p>
    <w:p w14:paraId="7BEAE2F6" w14:textId="72FABA9D" w:rsidR="00464260" w:rsidRPr="00464260" w:rsidRDefault="00464260" w:rsidP="00464260">
      <w:pPr>
        <w:pStyle w:val="ListParagraph"/>
        <w:numPr>
          <w:ilvl w:val="0"/>
          <w:numId w:val="18"/>
        </w:numPr>
        <w:spacing w:after="240"/>
        <w:rPr>
          <w:rFonts w:ascii="Arial" w:hAnsi="Arial" w:cs="Arial"/>
          <w:bCs/>
          <w:sz w:val="24"/>
          <w:szCs w:val="24"/>
        </w:rPr>
      </w:pPr>
      <w:r w:rsidRPr="00464260">
        <w:rPr>
          <w:rFonts w:ascii="Arial" w:hAnsi="Arial" w:cs="Arial"/>
          <w:bCs/>
          <w:sz w:val="24"/>
          <w:szCs w:val="24"/>
        </w:rPr>
        <w:t xml:space="preserve">Please confirm that </w:t>
      </w:r>
      <w:r>
        <w:rPr>
          <w:rFonts w:ascii="Arial" w:hAnsi="Arial" w:cs="Arial"/>
          <w:bCs/>
          <w:sz w:val="24"/>
          <w:szCs w:val="24"/>
        </w:rPr>
        <w:t>Sioux Lookout Hydro</w:t>
      </w:r>
      <w:r w:rsidRPr="00464260">
        <w:rPr>
          <w:rFonts w:ascii="Arial" w:hAnsi="Arial" w:cs="Arial"/>
          <w:bCs/>
          <w:sz w:val="24"/>
          <w:szCs w:val="24"/>
        </w:rPr>
        <w:t xml:space="preserve"> will not be seeking to dispose of any balance in the LRAMVA due to LRAM-eligible CDM activities funded by the IESO through the Conservation First Framework or Interim Framework in a future year’s application. </w:t>
      </w:r>
    </w:p>
    <w:p w14:paraId="7D11F877" w14:textId="48F6EFB4" w:rsidR="00464260" w:rsidRPr="00464260" w:rsidRDefault="00464260" w:rsidP="00464260">
      <w:pPr>
        <w:pStyle w:val="ListParagraph"/>
        <w:numPr>
          <w:ilvl w:val="0"/>
          <w:numId w:val="18"/>
        </w:numPr>
        <w:spacing w:after="240"/>
        <w:rPr>
          <w:rFonts w:ascii="Arial" w:hAnsi="Arial" w:cs="Arial"/>
          <w:bCs/>
          <w:sz w:val="24"/>
          <w:szCs w:val="24"/>
        </w:rPr>
      </w:pPr>
      <w:r w:rsidRPr="00464260">
        <w:rPr>
          <w:rFonts w:ascii="Arial" w:hAnsi="Arial" w:cs="Arial"/>
          <w:bCs/>
          <w:sz w:val="24"/>
          <w:szCs w:val="24"/>
        </w:rPr>
        <w:t>If not confirmed, please explain why a request for disposition was not submitted as part of this application.</w:t>
      </w:r>
    </w:p>
    <w:p w14:paraId="61595419" w14:textId="14E40C20" w:rsidR="00464260" w:rsidRDefault="00464260" w:rsidP="00464260">
      <w:pPr>
        <w:pStyle w:val="ListParagraph"/>
        <w:numPr>
          <w:ilvl w:val="0"/>
          <w:numId w:val="18"/>
        </w:numPr>
        <w:spacing w:after="240"/>
        <w:rPr>
          <w:rFonts w:ascii="Arial" w:hAnsi="Arial" w:cs="Arial"/>
          <w:bCs/>
          <w:sz w:val="24"/>
          <w:szCs w:val="24"/>
        </w:rPr>
      </w:pPr>
      <w:r w:rsidRPr="00464260">
        <w:rPr>
          <w:rFonts w:ascii="Arial" w:hAnsi="Arial" w:cs="Arial"/>
          <w:bCs/>
          <w:sz w:val="24"/>
          <w:szCs w:val="24"/>
        </w:rPr>
        <w:t xml:space="preserve">If confirmed, please also confirm that </w:t>
      </w:r>
      <w:r w:rsidR="00BE6A91">
        <w:rPr>
          <w:rFonts w:ascii="Arial" w:hAnsi="Arial" w:cs="Arial"/>
          <w:bCs/>
          <w:sz w:val="24"/>
          <w:szCs w:val="24"/>
        </w:rPr>
        <w:t>Sioux Lookout Hydro</w:t>
      </w:r>
      <w:r w:rsidRPr="00464260">
        <w:rPr>
          <w:rFonts w:ascii="Arial" w:hAnsi="Arial" w:cs="Arial"/>
          <w:bCs/>
          <w:sz w:val="24"/>
          <w:szCs w:val="24"/>
        </w:rPr>
        <w:t xml:space="preserve"> has verified that, relative to the LRAMVA threshold (if any) established i</w:t>
      </w:r>
      <w:r w:rsidR="00BE6A91">
        <w:rPr>
          <w:rFonts w:ascii="Arial" w:hAnsi="Arial" w:cs="Arial"/>
          <w:bCs/>
          <w:sz w:val="24"/>
          <w:szCs w:val="24"/>
        </w:rPr>
        <w:t>n Sioux Lookout Hydro’s</w:t>
      </w:r>
      <w:r w:rsidRPr="00464260">
        <w:rPr>
          <w:rFonts w:ascii="Arial" w:hAnsi="Arial" w:cs="Arial"/>
          <w:bCs/>
          <w:sz w:val="24"/>
          <w:szCs w:val="24"/>
        </w:rPr>
        <w:t xml:space="preserve"> most recent rebasing application, the balance in the LRAMVA, and any prospective LRAM-eligible amounts until the next rebasing, are either zero or a debit (i.e., not a credit that would need to be refunded to customers).</w:t>
      </w:r>
    </w:p>
    <w:p w14:paraId="0BB1DE54" w14:textId="5BB218B5" w:rsidR="00AE3108" w:rsidRPr="00AE3108" w:rsidRDefault="00AE3108" w:rsidP="00AE3108">
      <w:pPr>
        <w:spacing w:after="240"/>
        <w:rPr>
          <w:rFonts w:ascii="Arial" w:hAnsi="Arial" w:cs="Arial"/>
          <w:b/>
          <w:color w:val="17365D" w:themeColor="text2" w:themeShade="BF"/>
          <w:sz w:val="24"/>
          <w:szCs w:val="24"/>
        </w:rPr>
      </w:pPr>
      <w:r w:rsidRPr="00AE3108">
        <w:rPr>
          <w:rFonts w:ascii="Arial" w:hAnsi="Arial" w:cs="Arial"/>
          <w:b/>
          <w:color w:val="17365D" w:themeColor="text2" w:themeShade="BF"/>
          <w:sz w:val="24"/>
          <w:szCs w:val="24"/>
        </w:rPr>
        <w:t>Response</w:t>
      </w:r>
      <w:r w:rsidR="00D62057">
        <w:rPr>
          <w:rFonts w:ascii="Arial" w:hAnsi="Arial" w:cs="Arial"/>
          <w:b/>
          <w:color w:val="17365D" w:themeColor="text2" w:themeShade="BF"/>
          <w:sz w:val="24"/>
          <w:szCs w:val="24"/>
        </w:rPr>
        <w:t>:</w:t>
      </w:r>
    </w:p>
    <w:p w14:paraId="334110ED" w14:textId="3C87847F" w:rsidR="00AE3108" w:rsidRDefault="00AE3108" w:rsidP="00AE3108">
      <w:pPr>
        <w:pStyle w:val="ListParagraph"/>
        <w:numPr>
          <w:ilvl w:val="0"/>
          <w:numId w:val="22"/>
        </w:numPr>
        <w:spacing w:after="240"/>
        <w:rPr>
          <w:rFonts w:ascii="Arial" w:hAnsi="Arial" w:cs="Arial"/>
          <w:bCs/>
          <w:color w:val="17365D" w:themeColor="text2" w:themeShade="BF"/>
          <w:sz w:val="24"/>
          <w:szCs w:val="24"/>
        </w:rPr>
      </w:pPr>
      <w:r>
        <w:rPr>
          <w:rFonts w:ascii="Arial" w:hAnsi="Arial" w:cs="Arial"/>
          <w:bCs/>
          <w:color w:val="17365D" w:themeColor="text2" w:themeShade="BF"/>
          <w:sz w:val="24"/>
          <w:szCs w:val="24"/>
        </w:rPr>
        <w:t>SLHI confirms they will not be seeking to dispose of any balance in the LRAMVA due to LRAM-eligible CDM activities funded by the IESO through the CFF or Interim Framework in a future year’s rate application.</w:t>
      </w:r>
    </w:p>
    <w:p w14:paraId="35F2DF7E" w14:textId="30926147" w:rsidR="00AE3108" w:rsidRDefault="00AE3108" w:rsidP="00AE3108">
      <w:pPr>
        <w:pStyle w:val="ListParagraph"/>
        <w:numPr>
          <w:ilvl w:val="0"/>
          <w:numId w:val="22"/>
        </w:numPr>
        <w:spacing w:after="240"/>
        <w:rPr>
          <w:rFonts w:ascii="Arial" w:hAnsi="Arial" w:cs="Arial"/>
          <w:bCs/>
          <w:color w:val="17365D" w:themeColor="text2" w:themeShade="BF"/>
          <w:sz w:val="24"/>
          <w:szCs w:val="24"/>
        </w:rPr>
      </w:pPr>
      <w:r>
        <w:rPr>
          <w:rFonts w:ascii="Arial" w:hAnsi="Arial" w:cs="Arial"/>
          <w:bCs/>
          <w:color w:val="17365D" w:themeColor="text2" w:themeShade="BF"/>
          <w:sz w:val="24"/>
          <w:szCs w:val="24"/>
        </w:rPr>
        <w:t>N/A</w:t>
      </w:r>
    </w:p>
    <w:p w14:paraId="7AAAAA25" w14:textId="38EE312C" w:rsidR="00AE3108" w:rsidRPr="00AE3108" w:rsidRDefault="00FB4F63" w:rsidP="00AE3108">
      <w:pPr>
        <w:pStyle w:val="ListParagraph"/>
        <w:numPr>
          <w:ilvl w:val="0"/>
          <w:numId w:val="22"/>
        </w:numPr>
        <w:spacing w:after="240"/>
        <w:rPr>
          <w:rFonts w:ascii="Arial" w:hAnsi="Arial" w:cs="Arial"/>
          <w:bCs/>
          <w:color w:val="17365D" w:themeColor="text2" w:themeShade="BF"/>
          <w:sz w:val="24"/>
          <w:szCs w:val="24"/>
        </w:rPr>
      </w:pPr>
      <w:r>
        <w:rPr>
          <w:rFonts w:ascii="Arial" w:hAnsi="Arial" w:cs="Arial"/>
          <w:bCs/>
          <w:color w:val="17365D" w:themeColor="text2" w:themeShade="BF"/>
          <w:sz w:val="24"/>
          <w:szCs w:val="24"/>
        </w:rPr>
        <w:t>SLHI was approved an LRAMVA rate rider effective until April 30, 2023. Any residual balance is expected to be immaterial. We cannot confirm whether the balance after the rate rider expires will be a debit or a credit.</w:t>
      </w:r>
    </w:p>
    <w:p w14:paraId="42E45C52" w14:textId="194CA830" w:rsidR="00324AFA" w:rsidRDefault="00324AFA" w:rsidP="00324AFA">
      <w:pPr>
        <w:spacing w:after="240"/>
        <w:rPr>
          <w:rFonts w:ascii="Arial" w:hAnsi="Arial" w:cs="Arial"/>
          <w:b/>
          <w:sz w:val="24"/>
          <w:szCs w:val="24"/>
        </w:rPr>
      </w:pPr>
      <w:r>
        <w:rPr>
          <w:rFonts w:ascii="Arial" w:hAnsi="Arial" w:cs="Arial"/>
          <w:b/>
          <w:sz w:val="24"/>
          <w:szCs w:val="24"/>
        </w:rPr>
        <w:t>Staff Question-3</w:t>
      </w:r>
    </w:p>
    <w:p w14:paraId="4DB68F1A" w14:textId="77777777" w:rsidR="00324AFA" w:rsidRDefault="00324AFA" w:rsidP="00324AFA">
      <w:pPr>
        <w:spacing w:after="240"/>
        <w:rPr>
          <w:rFonts w:ascii="Arial" w:hAnsi="Arial" w:cs="Arial"/>
          <w:b/>
          <w:sz w:val="24"/>
          <w:szCs w:val="24"/>
        </w:rPr>
      </w:pPr>
      <w:r>
        <w:rPr>
          <w:rFonts w:ascii="Arial" w:hAnsi="Arial" w:cs="Arial"/>
          <w:b/>
          <w:sz w:val="24"/>
          <w:szCs w:val="24"/>
        </w:rPr>
        <w:t>Ref:</w:t>
      </w:r>
    </w:p>
    <w:p w14:paraId="6F9CC610" w14:textId="77777777" w:rsidR="00324AFA" w:rsidRPr="00176BEE" w:rsidRDefault="00324AFA" w:rsidP="00324AFA">
      <w:pPr>
        <w:pStyle w:val="ListParagraph"/>
        <w:numPr>
          <w:ilvl w:val="0"/>
          <w:numId w:val="20"/>
        </w:numPr>
        <w:spacing w:after="240"/>
        <w:rPr>
          <w:rFonts w:ascii="Arial" w:hAnsi="Arial" w:cs="Arial"/>
          <w:bCs/>
          <w:sz w:val="24"/>
          <w:szCs w:val="24"/>
        </w:rPr>
      </w:pPr>
      <w:r>
        <w:rPr>
          <w:rFonts w:ascii="Arial" w:hAnsi="Arial" w:cs="Arial"/>
          <w:bCs/>
          <w:sz w:val="24"/>
          <w:szCs w:val="24"/>
        </w:rPr>
        <w:t>Rate Generator Model</w:t>
      </w:r>
    </w:p>
    <w:p w14:paraId="298945EB" w14:textId="06EC5696" w:rsidR="00326078" w:rsidRDefault="00324AFA" w:rsidP="00324AFA">
      <w:pPr>
        <w:spacing w:after="240"/>
        <w:rPr>
          <w:rFonts w:ascii="Arial" w:hAnsi="Arial" w:cs="Arial"/>
          <w:b/>
          <w:sz w:val="24"/>
          <w:szCs w:val="24"/>
        </w:rPr>
      </w:pPr>
      <w:r>
        <w:rPr>
          <w:rFonts w:ascii="Arial" w:hAnsi="Arial" w:cs="Arial"/>
          <w:b/>
          <w:sz w:val="24"/>
          <w:szCs w:val="24"/>
        </w:rPr>
        <w:t>Question:</w:t>
      </w:r>
      <w:r w:rsidR="00C2643D">
        <w:rPr>
          <w:rFonts w:ascii="Arial" w:hAnsi="Arial" w:cs="Arial"/>
          <w:b/>
          <w:sz w:val="24"/>
          <w:szCs w:val="24"/>
        </w:rPr>
        <w:t xml:space="preserve"> </w:t>
      </w:r>
      <w:r w:rsidR="00C2643D" w:rsidRPr="00C2643D">
        <w:rPr>
          <w:rFonts w:ascii="Arial" w:hAnsi="Arial" w:cs="Arial"/>
          <w:bCs/>
          <w:sz w:val="24"/>
          <w:szCs w:val="24"/>
        </w:rPr>
        <w:t xml:space="preserve">Please confirm the accuracy of data in Tab </w:t>
      </w:r>
      <w:r w:rsidR="00C2643D">
        <w:rPr>
          <w:rFonts w:ascii="Arial" w:hAnsi="Arial" w:cs="Arial"/>
          <w:bCs/>
          <w:sz w:val="24"/>
          <w:szCs w:val="24"/>
        </w:rPr>
        <w:t xml:space="preserve">4 </w:t>
      </w:r>
      <w:r w:rsidR="00C2643D" w:rsidRPr="00C2643D">
        <w:rPr>
          <w:rFonts w:ascii="Arial" w:hAnsi="Arial" w:cs="Arial"/>
          <w:bCs/>
          <w:sz w:val="24"/>
          <w:szCs w:val="24"/>
        </w:rPr>
        <w:t>at reference 1</w:t>
      </w:r>
      <w:r w:rsidR="006949C1">
        <w:rPr>
          <w:rFonts w:ascii="Arial" w:hAnsi="Arial" w:cs="Arial"/>
          <w:bCs/>
          <w:sz w:val="24"/>
          <w:szCs w:val="24"/>
        </w:rPr>
        <w:t xml:space="preserve"> (</w:t>
      </w:r>
      <w:r w:rsidR="00C2643D" w:rsidRPr="00C2643D">
        <w:rPr>
          <w:rFonts w:ascii="Arial" w:hAnsi="Arial" w:cs="Arial"/>
          <w:bCs/>
          <w:sz w:val="24"/>
          <w:szCs w:val="24"/>
        </w:rPr>
        <w:t>Cell J4 on Tab 4 has not been filled</w:t>
      </w:r>
      <w:r w:rsidR="006949C1">
        <w:rPr>
          <w:rFonts w:ascii="Arial" w:hAnsi="Arial" w:cs="Arial"/>
          <w:bCs/>
          <w:sz w:val="24"/>
          <w:szCs w:val="24"/>
        </w:rPr>
        <w:t>)</w:t>
      </w:r>
      <w:r w:rsidR="00C2643D" w:rsidRPr="00C2643D">
        <w:rPr>
          <w:rFonts w:ascii="Arial" w:hAnsi="Arial" w:cs="Arial"/>
          <w:bCs/>
          <w:sz w:val="24"/>
          <w:szCs w:val="24"/>
        </w:rPr>
        <w:t>.</w:t>
      </w:r>
      <w:r w:rsidR="00C2643D">
        <w:rPr>
          <w:rFonts w:ascii="Arial" w:hAnsi="Arial" w:cs="Arial"/>
          <w:b/>
          <w:sz w:val="24"/>
          <w:szCs w:val="24"/>
        </w:rPr>
        <w:t xml:space="preserve"> </w:t>
      </w:r>
    </w:p>
    <w:p w14:paraId="33C27AA8" w14:textId="5A6ABD81" w:rsidR="00D7052B" w:rsidRDefault="00D7052B" w:rsidP="00324AFA">
      <w:pPr>
        <w:spacing w:after="240"/>
        <w:rPr>
          <w:rFonts w:ascii="Arial" w:hAnsi="Arial" w:cs="Arial"/>
          <w:b/>
          <w:color w:val="17365D" w:themeColor="text2" w:themeShade="BF"/>
          <w:sz w:val="24"/>
          <w:szCs w:val="24"/>
        </w:rPr>
      </w:pPr>
      <w:r w:rsidRPr="00D7052B">
        <w:rPr>
          <w:rFonts w:ascii="Arial" w:hAnsi="Arial" w:cs="Arial"/>
          <w:b/>
          <w:color w:val="17365D" w:themeColor="text2" w:themeShade="BF"/>
          <w:sz w:val="24"/>
          <w:szCs w:val="24"/>
        </w:rPr>
        <w:t>Response</w:t>
      </w:r>
      <w:r w:rsidR="00D62057">
        <w:rPr>
          <w:rFonts w:ascii="Arial" w:hAnsi="Arial" w:cs="Arial"/>
          <w:b/>
          <w:color w:val="17365D" w:themeColor="text2" w:themeShade="BF"/>
          <w:sz w:val="24"/>
          <w:szCs w:val="24"/>
        </w:rPr>
        <w:t>:</w:t>
      </w:r>
      <w:r w:rsidRPr="00D7052B">
        <w:rPr>
          <w:rFonts w:ascii="Arial" w:hAnsi="Arial" w:cs="Arial"/>
          <w:b/>
          <w:color w:val="17365D" w:themeColor="text2" w:themeShade="BF"/>
          <w:sz w:val="24"/>
          <w:szCs w:val="24"/>
        </w:rPr>
        <w:t xml:space="preserve"> </w:t>
      </w:r>
    </w:p>
    <w:p w14:paraId="7A151DDD" w14:textId="1C3A6086" w:rsidR="00D7052B" w:rsidRPr="00D7052B" w:rsidRDefault="00D7052B" w:rsidP="00324AFA">
      <w:pPr>
        <w:spacing w:after="240"/>
        <w:rPr>
          <w:rFonts w:ascii="Arial" w:hAnsi="Arial" w:cs="Arial"/>
          <w:bCs/>
          <w:color w:val="17365D" w:themeColor="text2" w:themeShade="BF"/>
          <w:sz w:val="24"/>
          <w:szCs w:val="24"/>
        </w:rPr>
      </w:pPr>
      <w:r w:rsidRPr="00D7052B">
        <w:rPr>
          <w:rFonts w:ascii="Arial" w:hAnsi="Arial" w:cs="Arial"/>
          <w:bCs/>
          <w:color w:val="17365D" w:themeColor="text2" w:themeShade="BF"/>
          <w:sz w:val="24"/>
          <w:szCs w:val="24"/>
        </w:rPr>
        <w:t>SLHI confirms</w:t>
      </w:r>
      <w:r>
        <w:rPr>
          <w:rFonts w:ascii="Arial" w:hAnsi="Arial" w:cs="Arial"/>
          <w:bCs/>
          <w:color w:val="17365D" w:themeColor="text2" w:themeShade="BF"/>
          <w:sz w:val="24"/>
          <w:szCs w:val="24"/>
        </w:rPr>
        <w:t xml:space="preserve"> the accuracy of the data in Tab 4 and has updated Cell J4</w:t>
      </w:r>
      <w:r w:rsidR="0057170E">
        <w:rPr>
          <w:rFonts w:ascii="Arial" w:hAnsi="Arial" w:cs="Arial"/>
          <w:bCs/>
          <w:color w:val="17365D" w:themeColor="text2" w:themeShade="BF"/>
          <w:sz w:val="24"/>
          <w:szCs w:val="24"/>
        </w:rPr>
        <w:t xml:space="preserve"> int the model.</w:t>
      </w:r>
    </w:p>
    <w:p w14:paraId="27F15773" w14:textId="1146A3CA" w:rsidR="00A00CA7" w:rsidRDefault="00A00CA7" w:rsidP="00A00CA7">
      <w:pPr>
        <w:spacing w:after="240"/>
        <w:rPr>
          <w:rFonts w:ascii="Arial" w:hAnsi="Arial" w:cs="Arial"/>
          <w:b/>
          <w:sz w:val="24"/>
          <w:szCs w:val="24"/>
        </w:rPr>
      </w:pPr>
      <w:r>
        <w:rPr>
          <w:rFonts w:ascii="Arial" w:hAnsi="Arial" w:cs="Arial"/>
          <w:b/>
          <w:sz w:val="24"/>
          <w:szCs w:val="24"/>
        </w:rPr>
        <w:t>Staff Question-4</w:t>
      </w:r>
    </w:p>
    <w:p w14:paraId="70B49557" w14:textId="77777777" w:rsidR="00A00CA7" w:rsidRDefault="00A00CA7" w:rsidP="00A00CA7">
      <w:pPr>
        <w:spacing w:after="240"/>
        <w:rPr>
          <w:rFonts w:ascii="Arial" w:hAnsi="Arial" w:cs="Arial"/>
          <w:b/>
          <w:sz w:val="24"/>
          <w:szCs w:val="24"/>
        </w:rPr>
      </w:pPr>
      <w:r>
        <w:rPr>
          <w:rFonts w:ascii="Arial" w:hAnsi="Arial" w:cs="Arial"/>
          <w:b/>
          <w:sz w:val="24"/>
          <w:szCs w:val="24"/>
        </w:rPr>
        <w:lastRenderedPageBreak/>
        <w:t>Ref:</w:t>
      </w:r>
    </w:p>
    <w:p w14:paraId="5AD21E25" w14:textId="7090C6B3" w:rsidR="00A00CA7" w:rsidRPr="00176BEE" w:rsidRDefault="00A00CA7" w:rsidP="00A00CA7">
      <w:pPr>
        <w:pStyle w:val="ListParagraph"/>
        <w:numPr>
          <w:ilvl w:val="0"/>
          <w:numId w:val="21"/>
        </w:numPr>
        <w:spacing w:after="240"/>
        <w:rPr>
          <w:rFonts w:ascii="Arial" w:hAnsi="Arial" w:cs="Arial"/>
          <w:bCs/>
          <w:sz w:val="24"/>
          <w:szCs w:val="24"/>
        </w:rPr>
      </w:pPr>
      <w:r>
        <w:rPr>
          <w:rFonts w:ascii="Arial" w:hAnsi="Arial" w:cs="Arial"/>
          <w:bCs/>
          <w:sz w:val="24"/>
          <w:szCs w:val="24"/>
        </w:rPr>
        <w:t xml:space="preserve">Rate Generator Model, </w:t>
      </w:r>
      <w:r w:rsidRPr="00A00CA7">
        <w:rPr>
          <w:rFonts w:ascii="Arial" w:hAnsi="Arial" w:cs="Arial"/>
          <w:bCs/>
          <w:sz w:val="24"/>
          <w:szCs w:val="24"/>
        </w:rPr>
        <w:t>Tab 4. Billing Det. For Def-Var</w:t>
      </w:r>
    </w:p>
    <w:p w14:paraId="488350AB" w14:textId="0695BF16" w:rsidR="00484359" w:rsidRDefault="00A00CA7" w:rsidP="00A00CA7">
      <w:pPr>
        <w:spacing w:after="240"/>
        <w:rPr>
          <w:rFonts w:ascii="Arial" w:hAnsi="Arial" w:cs="Arial"/>
          <w:b/>
          <w:sz w:val="24"/>
          <w:szCs w:val="24"/>
        </w:rPr>
      </w:pPr>
      <w:r>
        <w:rPr>
          <w:rFonts w:ascii="Arial" w:hAnsi="Arial" w:cs="Arial"/>
          <w:b/>
          <w:sz w:val="24"/>
          <w:szCs w:val="24"/>
        </w:rPr>
        <w:t xml:space="preserve">Question: </w:t>
      </w:r>
      <w:r w:rsidRPr="00A00CA7">
        <w:rPr>
          <w:rFonts w:ascii="Arial" w:hAnsi="Arial" w:cs="Arial"/>
          <w:bCs/>
          <w:sz w:val="24"/>
          <w:szCs w:val="24"/>
        </w:rPr>
        <w:t>Sioux Lookout Hydro is requesting disposition of Account 1595 (2018) and has populated the percentage allocations by customer class in Tab 4, Column N. These percentage allocations should be derived from the information used to establish the rate riders originally. Please clarify how these percentages were derived and provide reference to previous filings.</w:t>
      </w:r>
      <w:r>
        <w:rPr>
          <w:rFonts w:ascii="Arial" w:hAnsi="Arial" w:cs="Arial"/>
          <w:b/>
          <w:sz w:val="24"/>
          <w:szCs w:val="24"/>
        </w:rPr>
        <w:t xml:space="preserve"> </w:t>
      </w:r>
    </w:p>
    <w:p w14:paraId="39D070A1" w14:textId="4BF4F154" w:rsidR="0057170E" w:rsidRDefault="0057170E" w:rsidP="00A00CA7">
      <w:pPr>
        <w:spacing w:after="240"/>
        <w:rPr>
          <w:rFonts w:ascii="Arial" w:hAnsi="Arial" w:cs="Arial"/>
          <w:b/>
          <w:color w:val="17365D" w:themeColor="text2" w:themeShade="BF"/>
          <w:sz w:val="24"/>
          <w:szCs w:val="24"/>
        </w:rPr>
      </w:pPr>
      <w:r w:rsidRPr="0057170E">
        <w:rPr>
          <w:rFonts w:ascii="Arial" w:hAnsi="Arial" w:cs="Arial"/>
          <w:b/>
          <w:color w:val="17365D" w:themeColor="text2" w:themeShade="BF"/>
          <w:sz w:val="24"/>
          <w:szCs w:val="24"/>
        </w:rPr>
        <w:t>Response</w:t>
      </w:r>
      <w:r w:rsidR="00D62057">
        <w:rPr>
          <w:rFonts w:ascii="Arial" w:hAnsi="Arial" w:cs="Arial"/>
          <w:b/>
          <w:color w:val="17365D" w:themeColor="text2" w:themeShade="BF"/>
          <w:sz w:val="24"/>
          <w:szCs w:val="24"/>
        </w:rPr>
        <w:t>:</w:t>
      </w:r>
    </w:p>
    <w:p w14:paraId="07372276" w14:textId="415969F3" w:rsidR="0057170E" w:rsidRDefault="0057170E" w:rsidP="00A00CA7">
      <w:pPr>
        <w:spacing w:after="240"/>
        <w:rPr>
          <w:rFonts w:ascii="Arial" w:hAnsi="Arial" w:cs="Arial"/>
          <w:bCs/>
          <w:color w:val="17365D" w:themeColor="text2" w:themeShade="BF"/>
          <w:sz w:val="24"/>
          <w:szCs w:val="24"/>
        </w:rPr>
      </w:pPr>
      <w:r>
        <w:rPr>
          <w:rFonts w:ascii="Arial" w:hAnsi="Arial" w:cs="Arial"/>
          <w:bCs/>
          <w:color w:val="17365D" w:themeColor="text2" w:themeShade="BF"/>
          <w:sz w:val="24"/>
          <w:szCs w:val="24"/>
        </w:rPr>
        <w:t>SLH</w:t>
      </w:r>
      <w:r w:rsidR="00E11389">
        <w:rPr>
          <w:rFonts w:ascii="Arial" w:hAnsi="Arial" w:cs="Arial"/>
          <w:bCs/>
          <w:color w:val="17365D" w:themeColor="text2" w:themeShade="BF"/>
          <w:sz w:val="24"/>
          <w:szCs w:val="24"/>
        </w:rPr>
        <w:t>I derived the percentage allocations for the Account (2018) using the DVA Continuity Schedule from its 2018 Cost of Service Application EB-2017-0073. The file name is Sioux Lookout_2018_DVA_Continuity_Schedule_CoS_DRO_20180920.xlsb. SLHI used Tab 5</w:t>
      </w:r>
      <w:r w:rsidR="00A6070B">
        <w:rPr>
          <w:rFonts w:ascii="Arial" w:hAnsi="Arial" w:cs="Arial"/>
          <w:bCs/>
          <w:color w:val="17365D" w:themeColor="text2" w:themeShade="BF"/>
          <w:sz w:val="24"/>
          <w:szCs w:val="24"/>
        </w:rPr>
        <w:t xml:space="preserve"> -</w:t>
      </w:r>
      <w:r w:rsidR="00E11389">
        <w:rPr>
          <w:rFonts w:ascii="Arial" w:hAnsi="Arial" w:cs="Arial"/>
          <w:bCs/>
          <w:color w:val="17365D" w:themeColor="text2" w:themeShade="BF"/>
          <w:sz w:val="24"/>
          <w:szCs w:val="24"/>
        </w:rPr>
        <w:t xml:space="preserve"> Allocation of Balances. However, upon reviewing the allocations discovered that the </w:t>
      </w:r>
      <w:r w:rsidR="008C3AAB">
        <w:rPr>
          <w:rFonts w:ascii="Arial" w:hAnsi="Arial" w:cs="Arial"/>
          <w:bCs/>
          <w:color w:val="17365D" w:themeColor="text2" w:themeShade="BF"/>
          <w:sz w:val="24"/>
          <w:szCs w:val="24"/>
        </w:rPr>
        <w:t>wrong totals were used to determine the allocations</w:t>
      </w:r>
      <w:r w:rsidR="00E11389">
        <w:rPr>
          <w:rFonts w:ascii="Arial" w:hAnsi="Arial" w:cs="Arial"/>
          <w:bCs/>
          <w:color w:val="17365D" w:themeColor="text2" w:themeShade="BF"/>
          <w:sz w:val="24"/>
          <w:szCs w:val="24"/>
        </w:rPr>
        <w:t xml:space="preserve">. </w:t>
      </w:r>
      <w:r w:rsidR="008C3AAB">
        <w:rPr>
          <w:rFonts w:ascii="Arial" w:hAnsi="Arial" w:cs="Arial"/>
          <w:bCs/>
          <w:color w:val="17365D" w:themeColor="text2" w:themeShade="BF"/>
          <w:sz w:val="24"/>
          <w:szCs w:val="24"/>
        </w:rPr>
        <w:t xml:space="preserve">The original application used the </w:t>
      </w:r>
      <w:r w:rsidR="005E53A3">
        <w:rPr>
          <w:rFonts w:ascii="Arial" w:hAnsi="Arial" w:cs="Arial"/>
          <w:bCs/>
          <w:color w:val="17365D" w:themeColor="text2" w:themeShade="BF"/>
          <w:sz w:val="24"/>
          <w:szCs w:val="24"/>
        </w:rPr>
        <w:t xml:space="preserve">totals from row 76. </w:t>
      </w:r>
      <w:r w:rsidR="00E11389">
        <w:rPr>
          <w:rFonts w:ascii="Arial" w:hAnsi="Arial" w:cs="Arial"/>
          <w:bCs/>
          <w:color w:val="17365D" w:themeColor="text2" w:themeShade="BF"/>
          <w:sz w:val="24"/>
          <w:szCs w:val="24"/>
        </w:rPr>
        <w:t>SLHI has corrected the values</w:t>
      </w:r>
      <w:r w:rsidR="005E53A3">
        <w:rPr>
          <w:rFonts w:ascii="Arial" w:hAnsi="Arial" w:cs="Arial"/>
          <w:bCs/>
          <w:color w:val="17365D" w:themeColor="text2" w:themeShade="BF"/>
          <w:sz w:val="24"/>
          <w:szCs w:val="24"/>
        </w:rPr>
        <w:t xml:space="preserve"> using the totals from row 20</w:t>
      </w:r>
      <w:r w:rsidR="00E11389">
        <w:rPr>
          <w:rFonts w:ascii="Arial" w:hAnsi="Arial" w:cs="Arial"/>
          <w:bCs/>
          <w:color w:val="17365D" w:themeColor="text2" w:themeShade="BF"/>
          <w:sz w:val="24"/>
          <w:szCs w:val="24"/>
        </w:rPr>
        <w:t xml:space="preserve"> </w:t>
      </w:r>
      <w:r w:rsidR="008C3AAB">
        <w:rPr>
          <w:rFonts w:ascii="Arial" w:hAnsi="Arial" w:cs="Arial"/>
          <w:bCs/>
          <w:color w:val="17365D" w:themeColor="text2" w:themeShade="BF"/>
          <w:sz w:val="24"/>
          <w:szCs w:val="24"/>
        </w:rPr>
        <w:t>and updated the model to reflect the correct allocations. See the following table for the calculations:</w:t>
      </w:r>
    </w:p>
    <w:p w14:paraId="6A511B71" w14:textId="1AE5B73C" w:rsidR="005E53A3" w:rsidRDefault="00E45D98" w:rsidP="00A00CA7">
      <w:pPr>
        <w:spacing w:after="240"/>
        <w:rPr>
          <w:rFonts w:ascii="Arial" w:hAnsi="Arial" w:cs="Arial"/>
          <w:bCs/>
          <w:color w:val="17365D" w:themeColor="text2" w:themeShade="BF"/>
          <w:sz w:val="24"/>
          <w:szCs w:val="24"/>
        </w:rPr>
      </w:pPr>
      <w:r w:rsidRPr="00E45D98">
        <w:rPr>
          <w:noProof/>
        </w:rPr>
        <w:drawing>
          <wp:inline distT="0" distB="0" distL="0" distR="0" wp14:anchorId="68475D46" wp14:editId="574205CF">
            <wp:extent cx="3943350" cy="2486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43350" cy="2486025"/>
                    </a:xfrm>
                    <a:prstGeom prst="rect">
                      <a:avLst/>
                    </a:prstGeom>
                    <a:noFill/>
                    <a:ln>
                      <a:noFill/>
                    </a:ln>
                  </pic:spPr>
                </pic:pic>
              </a:graphicData>
            </a:graphic>
          </wp:inline>
        </w:drawing>
      </w:r>
    </w:p>
    <w:p w14:paraId="209AFEBE" w14:textId="79B334E3" w:rsidR="008C3AAB" w:rsidRDefault="008C3AAB" w:rsidP="00A00CA7">
      <w:pPr>
        <w:spacing w:after="240"/>
        <w:rPr>
          <w:rFonts w:ascii="Arial" w:hAnsi="Arial" w:cs="Arial"/>
          <w:bCs/>
          <w:color w:val="17365D" w:themeColor="text2" w:themeShade="BF"/>
          <w:sz w:val="24"/>
          <w:szCs w:val="24"/>
        </w:rPr>
      </w:pPr>
    </w:p>
    <w:p w14:paraId="6B00DC3A" w14:textId="25BA6C42" w:rsidR="00E45D98" w:rsidRPr="00E45D98" w:rsidRDefault="00E45D98" w:rsidP="00E45D98">
      <w:pPr>
        <w:spacing w:after="240"/>
        <w:jc w:val="center"/>
        <w:rPr>
          <w:rFonts w:ascii="Arial" w:hAnsi="Arial" w:cs="Arial"/>
          <w:bCs/>
          <w:i/>
          <w:iCs/>
          <w:color w:val="17365D" w:themeColor="text2" w:themeShade="BF"/>
          <w:sz w:val="24"/>
          <w:szCs w:val="24"/>
        </w:rPr>
      </w:pPr>
      <w:r w:rsidRPr="00E45D98">
        <w:rPr>
          <w:rFonts w:ascii="Arial" w:hAnsi="Arial" w:cs="Arial"/>
          <w:bCs/>
          <w:i/>
          <w:iCs/>
          <w:color w:val="17365D" w:themeColor="text2" w:themeShade="BF"/>
          <w:sz w:val="24"/>
          <w:szCs w:val="24"/>
        </w:rPr>
        <w:t>All of which is respectfully submitted.</w:t>
      </w:r>
      <w:bookmarkEnd w:id="4"/>
    </w:p>
    <w:sectPr w:rsidR="00E45D98" w:rsidRPr="00E45D98"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21B85"/>
    <w:multiLevelType w:val="hybridMultilevel"/>
    <w:tmpl w:val="28E8D8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D756DC"/>
    <w:multiLevelType w:val="hybridMultilevel"/>
    <w:tmpl w:val="28E8D8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F65AD4"/>
    <w:multiLevelType w:val="hybridMultilevel"/>
    <w:tmpl w:val="6A62C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6344C1"/>
    <w:multiLevelType w:val="multilevel"/>
    <w:tmpl w:val="B33821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3097B3D"/>
    <w:multiLevelType w:val="hybridMultilevel"/>
    <w:tmpl w:val="28E8D8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5564301"/>
    <w:multiLevelType w:val="hybridMultilevel"/>
    <w:tmpl w:val="28E8D8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D5516E"/>
    <w:multiLevelType w:val="multilevel"/>
    <w:tmpl w:val="7CFC75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B4021FE"/>
    <w:multiLevelType w:val="hybridMultilevel"/>
    <w:tmpl w:val="85BC1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06132"/>
    <w:multiLevelType w:val="hybridMultilevel"/>
    <w:tmpl w:val="11C05F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EE639C"/>
    <w:multiLevelType w:val="hybridMultilevel"/>
    <w:tmpl w:val="B5702686"/>
    <w:lvl w:ilvl="0" w:tplc="0C22D76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63576B"/>
    <w:multiLevelType w:val="hybridMultilevel"/>
    <w:tmpl w:val="B568F4A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98744B"/>
    <w:multiLevelType w:val="hybridMultilevel"/>
    <w:tmpl w:val="6A5E30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8F3468"/>
    <w:multiLevelType w:val="hybridMultilevel"/>
    <w:tmpl w:val="28E8D8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397028A"/>
    <w:multiLevelType w:val="hybridMultilevel"/>
    <w:tmpl w:val="DDA0D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131E62"/>
    <w:multiLevelType w:val="multilevel"/>
    <w:tmpl w:val="7BDE7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366047"/>
    <w:multiLevelType w:val="hybridMultilevel"/>
    <w:tmpl w:val="28E8D8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663732"/>
    <w:multiLevelType w:val="hybridMultilevel"/>
    <w:tmpl w:val="28E8D8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0A54B83"/>
    <w:multiLevelType w:val="multilevel"/>
    <w:tmpl w:val="5F50D3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22F482E"/>
    <w:multiLevelType w:val="hybridMultilevel"/>
    <w:tmpl w:val="C37A9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6C7981"/>
    <w:multiLevelType w:val="hybridMultilevel"/>
    <w:tmpl w:val="28E8D8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EDD4659"/>
    <w:multiLevelType w:val="hybridMultilevel"/>
    <w:tmpl w:val="D93A12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56085818">
    <w:abstractNumId w:val="15"/>
  </w:num>
  <w:num w:numId="2" w16cid:durableId="1742410071">
    <w:abstractNumId w:val="0"/>
  </w:num>
  <w:num w:numId="3" w16cid:durableId="86928810">
    <w:abstractNumId w:val="5"/>
  </w:num>
  <w:num w:numId="4" w16cid:durableId="2008054732">
    <w:abstractNumId w:val="16"/>
  </w:num>
  <w:num w:numId="5" w16cid:durableId="1841043914">
    <w:abstractNumId w:val="1"/>
  </w:num>
  <w:num w:numId="6" w16cid:durableId="256331982">
    <w:abstractNumId w:val="4"/>
  </w:num>
  <w:num w:numId="7" w16cid:durableId="1510831132">
    <w:abstractNumId w:val="8"/>
  </w:num>
  <w:num w:numId="8" w16cid:durableId="672949321">
    <w:abstractNumId w:val="11"/>
  </w:num>
  <w:num w:numId="9" w16cid:durableId="1946423112">
    <w:abstractNumId w:val="6"/>
  </w:num>
  <w:num w:numId="10" w16cid:durableId="923803221">
    <w:abstractNumId w:val="17"/>
  </w:num>
  <w:num w:numId="11" w16cid:durableId="1367943603">
    <w:abstractNumId w:val="3"/>
  </w:num>
  <w:num w:numId="12" w16cid:durableId="255093582">
    <w:abstractNumId w:val="10"/>
  </w:num>
  <w:num w:numId="13" w16cid:durableId="1563635545">
    <w:abstractNumId w:val="14"/>
  </w:num>
  <w:num w:numId="14" w16cid:durableId="1562138389">
    <w:abstractNumId w:val="9"/>
  </w:num>
  <w:num w:numId="15" w16cid:durableId="1352730497">
    <w:abstractNumId w:val="2"/>
  </w:num>
  <w:num w:numId="16" w16cid:durableId="1645353008">
    <w:abstractNumId w:val="2"/>
  </w:num>
  <w:num w:numId="17" w16cid:durableId="1613828947">
    <w:abstractNumId w:val="18"/>
  </w:num>
  <w:num w:numId="18" w16cid:durableId="1205556995">
    <w:abstractNumId w:val="7"/>
  </w:num>
  <w:num w:numId="19" w16cid:durableId="405542975">
    <w:abstractNumId w:val="13"/>
  </w:num>
  <w:num w:numId="20" w16cid:durableId="359596075">
    <w:abstractNumId w:val="12"/>
  </w:num>
  <w:num w:numId="21" w16cid:durableId="1073509850">
    <w:abstractNumId w:val="19"/>
  </w:num>
  <w:num w:numId="22" w16cid:durableId="644432315">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B6B52"/>
    <w:rsid w:val="0003073C"/>
    <w:rsid w:val="00035337"/>
    <w:rsid w:val="00037EE9"/>
    <w:rsid w:val="00054071"/>
    <w:rsid w:val="0006126D"/>
    <w:rsid w:val="00067F57"/>
    <w:rsid w:val="00071BEC"/>
    <w:rsid w:val="00074514"/>
    <w:rsid w:val="000832D4"/>
    <w:rsid w:val="00090160"/>
    <w:rsid w:val="000A7A8D"/>
    <w:rsid w:val="000B0A57"/>
    <w:rsid w:val="000B3E7E"/>
    <w:rsid w:val="000D223C"/>
    <w:rsid w:val="000E4006"/>
    <w:rsid w:val="000F0E95"/>
    <w:rsid w:val="000F1E3A"/>
    <w:rsid w:val="00104717"/>
    <w:rsid w:val="00133BE1"/>
    <w:rsid w:val="00164E99"/>
    <w:rsid w:val="00176BEE"/>
    <w:rsid w:val="00183CC8"/>
    <w:rsid w:val="00187E9B"/>
    <w:rsid w:val="001927C2"/>
    <w:rsid w:val="0019526D"/>
    <w:rsid w:val="001A4DCD"/>
    <w:rsid w:val="00203092"/>
    <w:rsid w:val="0020412A"/>
    <w:rsid w:val="002208C0"/>
    <w:rsid w:val="00224C06"/>
    <w:rsid w:val="002405D4"/>
    <w:rsid w:val="0025687C"/>
    <w:rsid w:val="00274A48"/>
    <w:rsid w:val="00291CCC"/>
    <w:rsid w:val="002A1948"/>
    <w:rsid w:val="002A6415"/>
    <w:rsid w:val="002B7B7C"/>
    <w:rsid w:val="002C2BF2"/>
    <w:rsid w:val="002C7EF6"/>
    <w:rsid w:val="002D4924"/>
    <w:rsid w:val="002F4756"/>
    <w:rsid w:val="00302509"/>
    <w:rsid w:val="003049C5"/>
    <w:rsid w:val="00312EB8"/>
    <w:rsid w:val="00324AFA"/>
    <w:rsid w:val="00326078"/>
    <w:rsid w:val="003303BF"/>
    <w:rsid w:val="00340C00"/>
    <w:rsid w:val="003702D1"/>
    <w:rsid w:val="00373FAD"/>
    <w:rsid w:val="00374722"/>
    <w:rsid w:val="003777B5"/>
    <w:rsid w:val="003832E7"/>
    <w:rsid w:val="00390F2B"/>
    <w:rsid w:val="003A20A0"/>
    <w:rsid w:val="003A58B0"/>
    <w:rsid w:val="003F5BCB"/>
    <w:rsid w:val="00400DFC"/>
    <w:rsid w:val="00412DC6"/>
    <w:rsid w:val="00425009"/>
    <w:rsid w:val="004377B0"/>
    <w:rsid w:val="00445BB6"/>
    <w:rsid w:val="00464260"/>
    <w:rsid w:val="00472C81"/>
    <w:rsid w:val="00475032"/>
    <w:rsid w:val="00484359"/>
    <w:rsid w:val="004859EF"/>
    <w:rsid w:val="00511EC2"/>
    <w:rsid w:val="00514AAF"/>
    <w:rsid w:val="005164F5"/>
    <w:rsid w:val="0052560F"/>
    <w:rsid w:val="00526BDF"/>
    <w:rsid w:val="005666F2"/>
    <w:rsid w:val="0057170E"/>
    <w:rsid w:val="00572064"/>
    <w:rsid w:val="00584369"/>
    <w:rsid w:val="00587A35"/>
    <w:rsid w:val="005E27C0"/>
    <w:rsid w:val="005E53A3"/>
    <w:rsid w:val="005F4693"/>
    <w:rsid w:val="00623602"/>
    <w:rsid w:val="0064279A"/>
    <w:rsid w:val="00651C98"/>
    <w:rsid w:val="00663215"/>
    <w:rsid w:val="006949C1"/>
    <w:rsid w:val="006A5D23"/>
    <w:rsid w:val="006E3D58"/>
    <w:rsid w:val="00703AA4"/>
    <w:rsid w:val="00704EE5"/>
    <w:rsid w:val="007066E2"/>
    <w:rsid w:val="00721318"/>
    <w:rsid w:val="007222FC"/>
    <w:rsid w:val="0072241F"/>
    <w:rsid w:val="00722640"/>
    <w:rsid w:val="0073197E"/>
    <w:rsid w:val="00746080"/>
    <w:rsid w:val="007508EC"/>
    <w:rsid w:val="00756DA9"/>
    <w:rsid w:val="00756E40"/>
    <w:rsid w:val="00772B57"/>
    <w:rsid w:val="00772F96"/>
    <w:rsid w:val="00781D04"/>
    <w:rsid w:val="007A60D9"/>
    <w:rsid w:val="007B13D8"/>
    <w:rsid w:val="007C2D45"/>
    <w:rsid w:val="007F49EB"/>
    <w:rsid w:val="00805FDA"/>
    <w:rsid w:val="00812C1B"/>
    <w:rsid w:val="008173B1"/>
    <w:rsid w:val="00835AD0"/>
    <w:rsid w:val="00841787"/>
    <w:rsid w:val="00846716"/>
    <w:rsid w:val="008747B3"/>
    <w:rsid w:val="008813C3"/>
    <w:rsid w:val="00884852"/>
    <w:rsid w:val="008926F0"/>
    <w:rsid w:val="008964E8"/>
    <w:rsid w:val="008A48F6"/>
    <w:rsid w:val="008C3AAB"/>
    <w:rsid w:val="008E6045"/>
    <w:rsid w:val="0090113B"/>
    <w:rsid w:val="0093258A"/>
    <w:rsid w:val="0094373C"/>
    <w:rsid w:val="00946DEE"/>
    <w:rsid w:val="00951E2B"/>
    <w:rsid w:val="00952939"/>
    <w:rsid w:val="00961EA0"/>
    <w:rsid w:val="009A5C44"/>
    <w:rsid w:val="009B03AF"/>
    <w:rsid w:val="009C4216"/>
    <w:rsid w:val="009D5F4B"/>
    <w:rsid w:val="009E626E"/>
    <w:rsid w:val="009E7CBF"/>
    <w:rsid w:val="00A00CA7"/>
    <w:rsid w:val="00A07077"/>
    <w:rsid w:val="00A50DD0"/>
    <w:rsid w:val="00A516B0"/>
    <w:rsid w:val="00A556D4"/>
    <w:rsid w:val="00A5620A"/>
    <w:rsid w:val="00A6070B"/>
    <w:rsid w:val="00A964B1"/>
    <w:rsid w:val="00AA06D9"/>
    <w:rsid w:val="00AB251C"/>
    <w:rsid w:val="00AC2406"/>
    <w:rsid w:val="00AD3FCF"/>
    <w:rsid w:val="00AE3108"/>
    <w:rsid w:val="00B03802"/>
    <w:rsid w:val="00B069AA"/>
    <w:rsid w:val="00B17DFD"/>
    <w:rsid w:val="00B23A36"/>
    <w:rsid w:val="00B25576"/>
    <w:rsid w:val="00B25EF5"/>
    <w:rsid w:val="00B50EB2"/>
    <w:rsid w:val="00B6722A"/>
    <w:rsid w:val="00B82D78"/>
    <w:rsid w:val="00BA434C"/>
    <w:rsid w:val="00BD4F65"/>
    <w:rsid w:val="00BD7607"/>
    <w:rsid w:val="00BE6A91"/>
    <w:rsid w:val="00C06F9E"/>
    <w:rsid w:val="00C13E6B"/>
    <w:rsid w:val="00C2370B"/>
    <w:rsid w:val="00C2643D"/>
    <w:rsid w:val="00C27193"/>
    <w:rsid w:val="00C624D5"/>
    <w:rsid w:val="00C663BD"/>
    <w:rsid w:val="00C848A0"/>
    <w:rsid w:val="00C859E5"/>
    <w:rsid w:val="00C878C5"/>
    <w:rsid w:val="00C96AEA"/>
    <w:rsid w:val="00CC0B6D"/>
    <w:rsid w:val="00CD01B4"/>
    <w:rsid w:val="00CE1CD3"/>
    <w:rsid w:val="00CE4F01"/>
    <w:rsid w:val="00CF10B1"/>
    <w:rsid w:val="00D30F16"/>
    <w:rsid w:val="00D3340B"/>
    <w:rsid w:val="00D55546"/>
    <w:rsid w:val="00D57E8C"/>
    <w:rsid w:val="00D62057"/>
    <w:rsid w:val="00D6213C"/>
    <w:rsid w:val="00D647C0"/>
    <w:rsid w:val="00D7052B"/>
    <w:rsid w:val="00D77694"/>
    <w:rsid w:val="00D77B0F"/>
    <w:rsid w:val="00DB6B52"/>
    <w:rsid w:val="00DD26C5"/>
    <w:rsid w:val="00DE5488"/>
    <w:rsid w:val="00DE75AC"/>
    <w:rsid w:val="00DF5A52"/>
    <w:rsid w:val="00DF750C"/>
    <w:rsid w:val="00E11389"/>
    <w:rsid w:val="00E17C58"/>
    <w:rsid w:val="00E231C2"/>
    <w:rsid w:val="00E429DA"/>
    <w:rsid w:val="00E45D98"/>
    <w:rsid w:val="00E616AB"/>
    <w:rsid w:val="00E62C2A"/>
    <w:rsid w:val="00E76794"/>
    <w:rsid w:val="00E8586E"/>
    <w:rsid w:val="00E86F26"/>
    <w:rsid w:val="00E96A06"/>
    <w:rsid w:val="00EA0919"/>
    <w:rsid w:val="00EB4C14"/>
    <w:rsid w:val="00EB5240"/>
    <w:rsid w:val="00EC0B55"/>
    <w:rsid w:val="00ED07F4"/>
    <w:rsid w:val="00EE3753"/>
    <w:rsid w:val="00F034BF"/>
    <w:rsid w:val="00F233A3"/>
    <w:rsid w:val="00F23D7A"/>
    <w:rsid w:val="00F26D30"/>
    <w:rsid w:val="00F57152"/>
    <w:rsid w:val="00F7362C"/>
    <w:rsid w:val="00F92F61"/>
    <w:rsid w:val="00FB4F63"/>
    <w:rsid w:val="00FB6F10"/>
    <w:rsid w:val="00FC4CF8"/>
    <w:rsid w:val="00FC5DA7"/>
    <w:rsid w:val="00FE1FD7"/>
    <w:rsid w:val="00FF0C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49891ED5-5734-4002-B938-1752EB33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E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3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222F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7222FC"/>
  </w:style>
  <w:style w:type="character" w:customStyle="1" w:styleId="eop">
    <w:name w:val="eop"/>
    <w:basedOn w:val="DefaultParagraphFont"/>
    <w:rsid w:val="007222FC"/>
  </w:style>
  <w:style w:type="character" w:styleId="Hyperlink">
    <w:name w:val="Hyperlink"/>
    <w:basedOn w:val="DefaultParagraphFont"/>
    <w:uiPriority w:val="99"/>
    <w:unhideWhenUsed/>
    <w:rsid w:val="00324AFA"/>
    <w:rPr>
      <w:color w:val="0000FF" w:themeColor="hyperlink"/>
      <w:u w:val="single"/>
    </w:rPr>
  </w:style>
  <w:style w:type="character" w:styleId="UnresolvedMention">
    <w:name w:val="Unresolved Mention"/>
    <w:basedOn w:val="DefaultParagraphFont"/>
    <w:uiPriority w:val="99"/>
    <w:semiHidden/>
    <w:unhideWhenUsed/>
    <w:rsid w:val="00324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290548578">
      <w:bodyDiv w:val="1"/>
      <w:marLeft w:val="0"/>
      <w:marRight w:val="0"/>
      <w:marTop w:val="0"/>
      <w:marBottom w:val="0"/>
      <w:divBdr>
        <w:top w:val="none" w:sz="0" w:space="0" w:color="auto"/>
        <w:left w:val="none" w:sz="0" w:space="0" w:color="auto"/>
        <w:bottom w:val="none" w:sz="0" w:space="0" w:color="auto"/>
        <w:right w:val="none" w:sz="0" w:space="0" w:color="auto"/>
      </w:divBdr>
    </w:div>
    <w:div w:id="1353654400">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2092851017">
      <w:bodyDiv w:val="1"/>
      <w:marLeft w:val="0"/>
      <w:marRight w:val="0"/>
      <w:marTop w:val="0"/>
      <w:marBottom w:val="0"/>
      <w:divBdr>
        <w:top w:val="none" w:sz="0" w:space="0" w:color="auto"/>
        <w:left w:val="none" w:sz="0" w:space="0" w:color="auto"/>
        <w:bottom w:val="none" w:sz="0" w:space="0" w:color="auto"/>
        <w:right w:val="none" w:sz="0" w:space="0" w:color="auto"/>
      </w:divBdr>
      <w:divsChild>
        <w:div w:id="306279745">
          <w:marLeft w:val="0"/>
          <w:marRight w:val="0"/>
          <w:marTop w:val="0"/>
          <w:marBottom w:val="0"/>
          <w:divBdr>
            <w:top w:val="none" w:sz="0" w:space="0" w:color="auto"/>
            <w:left w:val="none" w:sz="0" w:space="0" w:color="auto"/>
            <w:bottom w:val="none" w:sz="0" w:space="0" w:color="auto"/>
            <w:right w:val="none" w:sz="0" w:space="0" w:color="auto"/>
          </w:divBdr>
        </w:div>
        <w:div w:id="826674944">
          <w:marLeft w:val="0"/>
          <w:marRight w:val="0"/>
          <w:marTop w:val="0"/>
          <w:marBottom w:val="0"/>
          <w:divBdr>
            <w:top w:val="none" w:sz="0" w:space="0" w:color="auto"/>
            <w:left w:val="none" w:sz="0" w:space="0" w:color="auto"/>
            <w:bottom w:val="none" w:sz="0" w:space="0" w:color="auto"/>
            <w:right w:val="none" w:sz="0" w:space="0" w:color="auto"/>
          </w:divBdr>
        </w:div>
        <w:div w:id="846284132">
          <w:marLeft w:val="0"/>
          <w:marRight w:val="0"/>
          <w:marTop w:val="0"/>
          <w:marBottom w:val="0"/>
          <w:divBdr>
            <w:top w:val="none" w:sz="0" w:space="0" w:color="auto"/>
            <w:left w:val="none" w:sz="0" w:space="0" w:color="auto"/>
            <w:bottom w:val="none" w:sz="0" w:space="0" w:color="auto"/>
            <w:right w:val="none" w:sz="0" w:space="0" w:color="auto"/>
          </w:divBdr>
        </w:div>
        <w:div w:id="907836678">
          <w:marLeft w:val="0"/>
          <w:marRight w:val="0"/>
          <w:marTop w:val="0"/>
          <w:marBottom w:val="0"/>
          <w:divBdr>
            <w:top w:val="none" w:sz="0" w:space="0" w:color="auto"/>
            <w:left w:val="none" w:sz="0" w:space="0" w:color="auto"/>
            <w:bottom w:val="none" w:sz="0" w:space="0" w:color="auto"/>
            <w:right w:val="none" w:sz="0" w:space="0" w:color="auto"/>
          </w:divBdr>
        </w:div>
        <w:div w:id="909315557">
          <w:marLeft w:val="0"/>
          <w:marRight w:val="0"/>
          <w:marTop w:val="0"/>
          <w:marBottom w:val="0"/>
          <w:divBdr>
            <w:top w:val="none" w:sz="0" w:space="0" w:color="auto"/>
            <w:left w:val="none" w:sz="0" w:space="0" w:color="auto"/>
            <w:bottom w:val="none" w:sz="0" w:space="0" w:color="auto"/>
            <w:right w:val="none" w:sz="0" w:space="0" w:color="auto"/>
          </w:divBdr>
        </w:div>
        <w:div w:id="964392368">
          <w:marLeft w:val="0"/>
          <w:marRight w:val="0"/>
          <w:marTop w:val="0"/>
          <w:marBottom w:val="0"/>
          <w:divBdr>
            <w:top w:val="none" w:sz="0" w:space="0" w:color="auto"/>
            <w:left w:val="none" w:sz="0" w:space="0" w:color="auto"/>
            <w:bottom w:val="none" w:sz="0" w:space="0" w:color="auto"/>
            <w:right w:val="none" w:sz="0" w:space="0" w:color="auto"/>
          </w:divBdr>
        </w:div>
        <w:div w:id="1129057139">
          <w:marLeft w:val="0"/>
          <w:marRight w:val="0"/>
          <w:marTop w:val="0"/>
          <w:marBottom w:val="0"/>
          <w:divBdr>
            <w:top w:val="none" w:sz="0" w:space="0" w:color="auto"/>
            <w:left w:val="none" w:sz="0" w:space="0" w:color="auto"/>
            <w:bottom w:val="none" w:sz="0" w:space="0" w:color="auto"/>
            <w:right w:val="none" w:sz="0" w:space="0" w:color="auto"/>
          </w:divBdr>
        </w:div>
        <w:div w:id="1148325903">
          <w:marLeft w:val="0"/>
          <w:marRight w:val="0"/>
          <w:marTop w:val="0"/>
          <w:marBottom w:val="0"/>
          <w:divBdr>
            <w:top w:val="none" w:sz="0" w:space="0" w:color="auto"/>
            <w:left w:val="none" w:sz="0" w:space="0" w:color="auto"/>
            <w:bottom w:val="none" w:sz="0" w:space="0" w:color="auto"/>
            <w:right w:val="none" w:sz="0" w:space="0" w:color="auto"/>
          </w:divBdr>
        </w:div>
        <w:div w:id="1263801597">
          <w:marLeft w:val="0"/>
          <w:marRight w:val="0"/>
          <w:marTop w:val="0"/>
          <w:marBottom w:val="0"/>
          <w:divBdr>
            <w:top w:val="none" w:sz="0" w:space="0" w:color="auto"/>
            <w:left w:val="none" w:sz="0" w:space="0" w:color="auto"/>
            <w:bottom w:val="none" w:sz="0" w:space="0" w:color="auto"/>
            <w:right w:val="none" w:sz="0" w:space="0" w:color="auto"/>
          </w:divBdr>
        </w:div>
        <w:div w:id="1410538408">
          <w:marLeft w:val="0"/>
          <w:marRight w:val="0"/>
          <w:marTop w:val="0"/>
          <w:marBottom w:val="0"/>
          <w:divBdr>
            <w:top w:val="none" w:sz="0" w:space="0" w:color="auto"/>
            <w:left w:val="none" w:sz="0" w:space="0" w:color="auto"/>
            <w:bottom w:val="none" w:sz="0" w:space="0" w:color="auto"/>
            <w:right w:val="none" w:sz="0" w:space="0" w:color="auto"/>
          </w:divBdr>
        </w:div>
        <w:div w:id="1625038801">
          <w:marLeft w:val="0"/>
          <w:marRight w:val="0"/>
          <w:marTop w:val="0"/>
          <w:marBottom w:val="0"/>
          <w:divBdr>
            <w:top w:val="none" w:sz="0" w:space="0" w:color="auto"/>
            <w:left w:val="none" w:sz="0" w:space="0" w:color="auto"/>
            <w:bottom w:val="none" w:sz="0" w:space="0" w:color="auto"/>
            <w:right w:val="none" w:sz="0" w:space="0" w:color="auto"/>
          </w:divBdr>
        </w:div>
        <w:div w:id="1833377362">
          <w:marLeft w:val="0"/>
          <w:marRight w:val="0"/>
          <w:marTop w:val="0"/>
          <w:marBottom w:val="0"/>
          <w:divBdr>
            <w:top w:val="none" w:sz="0" w:space="0" w:color="auto"/>
            <w:left w:val="none" w:sz="0" w:space="0" w:color="auto"/>
            <w:bottom w:val="none" w:sz="0" w:space="0" w:color="auto"/>
            <w:right w:val="none" w:sz="0" w:space="0" w:color="auto"/>
          </w:divBdr>
        </w:div>
        <w:div w:id="20447497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eb.ca/newsroom/2022/ontario-energy-board-announces-changes-electricity-prices-households-and-small" TargetMode="External"/><Relationship Id="rId13" Type="http://schemas.openxmlformats.org/officeDocument/2006/relationships/hyperlink" Target="https://www.rds.oeb.ca/CMWebDrawer/Record/762653/File/document" TargetMode="External"/><Relationship Id="rId3" Type="http://schemas.openxmlformats.org/officeDocument/2006/relationships/styles" Target="styles.xml"/><Relationship Id="rId7" Type="http://schemas.openxmlformats.org/officeDocument/2006/relationships/hyperlink" Target="https://www.oeb.ca/newsroom/2022/ontario-energy-board-announces-changes-electricity-prices-households-and-small" TargetMode="External"/><Relationship Id="rId12" Type="http://schemas.openxmlformats.org/officeDocument/2006/relationships/hyperlink" Target="https://www.rds.oeb.ca/CMWebDrawer/Record/764048/File/docu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oeb.ca/sites/default/files/OEB_ltr_2023_inflation%20updates_20221020.pdf" TargetMode="External"/><Relationship Id="rId11" Type="http://schemas.openxmlformats.org/officeDocument/2006/relationships/hyperlink" Target="https://www.rds.oeb.ca/CMWebDrawer/Record/764059/File/docu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ds.oeb.ca/CMWebDrawer/Record/760266/File/document" TargetMode="External"/><Relationship Id="rId4" Type="http://schemas.openxmlformats.org/officeDocument/2006/relationships/settings" Target="settings.xml"/><Relationship Id="rId9" Type="http://schemas.openxmlformats.org/officeDocument/2006/relationships/hyperlink" Target="https://www.rds.oeb.ca/CMWebDrawer/Record/760272/File/document"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subject/>
  <dc:creator>OEB</dc:creator>
  <cp:keywords/>
  <dc:description/>
  <cp:lastModifiedBy>Deanne Kulchyski</cp:lastModifiedBy>
  <cp:revision>8</cp:revision>
  <cp:lastPrinted>2022-12-16T16:00:00Z</cp:lastPrinted>
  <dcterms:created xsi:type="dcterms:W3CDTF">2022-12-16T15:59:00Z</dcterms:created>
  <dcterms:modified xsi:type="dcterms:W3CDTF">2022-12-16T17:07:00Z</dcterms:modified>
</cp:coreProperties>
</file>