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EB13" w14:textId="619956AE" w:rsidR="00E0350F" w:rsidRPr="003832E7" w:rsidRDefault="00E0350F" w:rsidP="00E0350F">
      <w:pPr>
        <w:pStyle w:val="Default"/>
        <w:jc w:val="right"/>
        <w:rPr>
          <w:rFonts w:ascii="Arial" w:hAnsi="Arial" w:cs="Arial"/>
          <w:sz w:val="22"/>
          <w:szCs w:val="22"/>
        </w:rPr>
      </w:pPr>
      <w:r>
        <w:rPr>
          <w:rFonts w:ascii="Arial" w:hAnsi="Arial" w:cs="Arial"/>
          <w:bCs/>
          <w:sz w:val="22"/>
          <w:szCs w:val="22"/>
        </w:rPr>
        <w:t>Tillsonburg Hydro Inc.</w:t>
      </w:r>
    </w:p>
    <w:p w14:paraId="01D1084E" w14:textId="77777777" w:rsidR="00E0350F" w:rsidRPr="00D57E8C" w:rsidRDefault="00E0350F" w:rsidP="00E0350F">
      <w:pPr>
        <w:pStyle w:val="Default"/>
        <w:jc w:val="right"/>
        <w:rPr>
          <w:rFonts w:ascii="Arial" w:hAnsi="Arial" w:cs="Arial"/>
          <w:sz w:val="22"/>
          <w:szCs w:val="22"/>
        </w:rPr>
      </w:pPr>
      <w:r w:rsidRPr="00D57E8C">
        <w:rPr>
          <w:rFonts w:ascii="Arial" w:hAnsi="Arial" w:cs="Arial"/>
          <w:sz w:val="22"/>
          <w:szCs w:val="22"/>
        </w:rPr>
        <w:t>OEB Staff Questions</w:t>
      </w:r>
    </w:p>
    <w:p w14:paraId="76F22E7A" w14:textId="77777777" w:rsidR="00E0350F" w:rsidRDefault="00E0350F" w:rsidP="00E0350F">
      <w:pPr>
        <w:pStyle w:val="Default"/>
        <w:spacing w:after="240"/>
        <w:jc w:val="right"/>
        <w:rPr>
          <w:rFonts w:ascii="Arial" w:hAnsi="Arial" w:cs="Arial"/>
          <w:sz w:val="22"/>
          <w:szCs w:val="22"/>
        </w:rPr>
      </w:pPr>
      <w:r>
        <w:rPr>
          <w:rFonts w:ascii="Arial" w:hAnsi="Arial" w:cs="Arial"/>
          <w:sz w:val="22"/>
          <w:szCs w:val="22"/>
        </w:rPr>
        <w:t>EB-2022</w:t>
      </w:r>
      <w:r w:rsidRPr="00D57E8C">
        <w:rPr>
          <w:rFonts w:ascii="Arial" w:hAnsi="Arial" w:cs="Arial"/>
          <w:sz w:val="22"/>
          <w:szCs w:val="22"/>
        </w:rPr>
        <w:t>-</w:t>
      </w:r>
      <w:r>
        <w:rPr>
          <w:rFonts w:ascii="Arial" w:hAnsi="Arial" w:cs="Arial"/>
          <w:sz w:val="22"/>
          <w:szCs w:val="22"/>
        </w:rPr>
        <w:t>0064</w:t>
      </w:r>
    </w:p>
    <w:p w14:paraId="7CFE2C8D" w14:textId="7B25DF3D" w:rsidR="009F388B" w:rsidRPr="00E0350F" w:rsidRDefault="007A4767" w:rsidP="00E0350F">
      <w:pPr>
        <w:pStyle w:val="Default"/>
        <w:spacing w:after="240"/>
        <w:jc w:val="center"/>
        <w:rPr>
          <w:rFonts w:ascii="Arial" w:hAnsi="Arial" w:cs="Arial"/>
          <w:sz w:val="22"/>
          <w:szCs w:val="22"/>
        </w:rPr>
      </w:pPr>
      <w:r w:rsidRPr="007A4767">
        <w:rPr>
          <w:rFonts w:ascii="Arial" w:hAnsi="Arial" w:cs="Arial"/>
          <w:b/>
          <w:bCs/>
          <w:sz w:val="28"/>
          <w:szCs w:val="28"/>
        </w:rPr>
        <w:br/>
      </w:r>
      <w:r w:rsidR="00887F9E">
        <w:rPr>
          <w:rFonts w:ascii="Arial" w:hAnsi="Arial" w:cs="Arial"/>
          <w:b/>
          <w:bCs/>
          <w:sz w:val="28"/>
          <w:szCs w:val="28"/>
        </w:rPr>
        <w:t>Tillsonburg Hydro Inc</w:t>
      </w:r>
      <w:r w:rsidR="002F2926" w:rsidRPr="007A4767">
        <w:rPr>
          <w:rFonts w:ascii="Arial" w:hAnsi="Arial" w:cs="Arial"/>
          <w:b/>
          <w:bCs/>
          <w:sz w:val="28"/>
          <w:szCs w:val="28"/>
        </w:rPr>
        <w:t>.</w:t>
      </w:r>
      <w:r w:rsidR="00DF4F71" w:rsidRPr="007A4767">
        <w:rPr>
          <w:rFonts w:ascii="Arial" w:hAnsi="Arial" w:cs="Arial"/>
          <w:b/>
          <w:bCs/>
          <w:sz w:val="28"/>
          <w:szCs w:val="28"/>
        </w:rPr>
        <w:t xml:space="preserve"> </w:t>
      </w:r>
      <w:r w:rsidR="00887F9E">
        <w:rPr>
          <w:rFonts w:ascii="Arial" w:hAnsi="Arial" w:cs="Arial"/>
          <w:b/>
          <w:bCs/>
          <w:sz w:val="28"/>
          <w:szCs w:val="28"/>
        </w:rPr>
        <w:t>(THI)</w:t>
      </w:r>
      <w:r w:rsidRPr="007A4767">
        <w:rPr>
          <w:rFonts w:ascii="Arial" w:hAnsi="Arial" w:cs="Arial"/>
          <w:b/>
          <w:bCs/>
          <w:sz w:val="28"/>
          <w:szCs w:val="28"/>
        </w:rPr>
        <w:br/>
        <w:t>EB-2022-00</w:t>
      </w:r>
      <w:r w:rsidR="00887F9E">
        <w:rPr>
          <w:rFonts w:ascii="Arial" w:hAnsi="Arial" w:cs="Arial"/>
          <w:b/>
          <w:bCs/>
          <w:sz w:val="28"/>
          <w:szCs w:val="28"/>
        </w:rPr>
        <w:t>64</w:t>
      </w:r>
    </w:p>
    <w:p w14:paraId="0BCAEA72" w14:textId="4A419575" w:rsidR="00BD3476" w:rsidRPr="00D3478E" w:rsidRDefault="007A4767" w:rsidP="00500BC2">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887F9E">
        <w:rPr>
          <w:rFonts w:ascii="Arial" w:eastAsia="Calibri" w:hAnsi="Arial" w:cs="Arial"/>
          <w:sz w:val="24"/>
          <w:szCs w:val="24"/>
        </w:rPr>
        <w:t>Tillsonburg Hydro Inc</w:t>
      </w:r>
      <w:r>
        <w:rPr>
          <w:rFonts w:ascii="Arial" w:eastAsia="Calibri" w:hAnsi="Arial" w:cs="Arial"/>
          <w:sz w:val="24"/>
          <w:szCs w:val="24"/>
        </w:rPr>
        <w:t>.</w:t>
      </w:r>
      <w:r w:rsidR="00E0350F">
        <w:rPr>
          <w:rFonts w:ascii="Arial" w:eastAsia="Calibri" w:hAnsi="Arial" w:cs="Arial"/>
          <w:sz w:val="24"/>
          <w:szCs w:val="24"/>
        </w:rPr>
        <w:t xml:space="preserve"> (THI)</w:t>
      </w:r>
      <w:r w:rsidRPr="00E86F26">
        <w:rPr>
          <w:rFonts w:ascii="Arial" w:eastAsia="Calibri" w:hAnsi="Arial" w:cs="Arial"/>
          <w:sz w:val="24"/>
          <w:szCs w:val="24"/>
        </w:rPr>
        <w:t xml:space="preserve"> is responsible for ensuring that all documents it files with the </w:t>
      </w:r>
      <w:r w:rsidR="00D900A9">
        <w:rPr>
          <w:rFonts w:ascii="Arial" w:eastAsia="Calibri" w:hAnsi="Arial" w:cs="Arial"/>
          <w:sz w:val="24"/>
          <w:szCs w:val="24"/>
        </w:rPr>
        <w:t>Ontario Energy Board (</w:t>
      </w:r>
      <w:r w:rsidRPr="00E86F26">
        <w:rPr>
          <w:rFonts w:ascii="Arial" w:eastAsia="Calibri" w:hAnsi="Arial" w:cs="Arial"/>
          <w:sz w:val="24"/>
          <w:szCs w:val="24"/>
        </w:rPr>
        <w:t>OEB</w:t>
      </w:r>
      <w:r w:rsidR="00D900A9">
        <w:rPr>
          <w:rFonts w:ascii="Arial" w:eastAsia="Calibri" w:hAnsi="Arial" w:cs="Arial"/>
          <w:sz w:val="24"/>
          <w:szCs w:val="24"/>
        </w:rPr>
        <w:t>)</w:t>
      </w:r>
      <w:r w:rsidRPr="00E86F26">
        <w:rPr>
          <w:rFonts w:ascii="Arial" w:eastAsia="Calibri" w:hAnsi="Arial" w:cs="Arial"/>
          <w:sz w:val="24"/>
          <w:szCs w:val="24"/>
        </w:rPr>
        <w:t xml:space="preserve">, including responses to OEB staff </w:t>
      </w:r>
      <w:r>
        <w:rPr>
          <w:rFonts w:ascii="Arial" w:eastAsia="Calibri" w:hAnsi="Arial" w:cs="Arial"/>
          <w:sz w:val="24"/>
          <w:szCs w:val="24"/>
        </w:rPr>
        <w:t>interrogatories</w:t>
      </w:r>
      <w:r w:rsidRPr="00E86F26">
        <w:rPr>
          <w:rFonts w:ascii="Arial" w:eastAsia="Calibri" w:hAnsi="Arial" w:cs="Arial"/>
          <w:sz w:val="24"/>
          <w:szCs w:val="24"/>
        </w:rPr>
        <w:t xml:space="preserve">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bookmarkEnd w:id="0"/>
      <w:r w:rsidR="00D3478E">
        <w:rPr>
          <w:rFonts w:ascii="Arial" w:eastAsia="Calibri" w:hAnsi="Arial" w:cs="Arial"/>
          <w:sz w:val="24"/>
          <w:szCs w:val="24"/>
        </w:rPr>
        <w:br/>
      </w:r>
    </w:p>
    <w:p w14:paraId="6A276CC6" w14:textId="44DC6EE0" w:rsidR="00887F9E" w:rsidRDefault="00887F9E" w:rsidP="00887F9E">
      <w:pPr>
        <w:rPr>
          <w:rFonts w:ascii="Arial" w:hAnsi="Arial" w:cs="Arial"/>
          <w:b/>
          <w:bCs/>
          <w:sz w:val="24"/>
          <w:szCs w:val="24"/>
        </w:rPr>
      </w:pPr>
      <w:r w:rsidRPr="00512503">
        <w:rPr>
          <w:rFonts w:ascii="Arial" w:hAnsi="Arial" w:cs="Arial"/>
          <w:b/>
          <w:bCs/>
          <w:sz w:val="24"/>
          <w:szCs w:val="24"/>
        </w:rPr>
        <w:t>Staff-1</w:t>
      </w:r>
    </w:p>
    <w:p w14:paraId="57966290" w14:textId="51954CB1" w:rsidR="008430C8" w:rsidRPr="00512503" w:rsidRDefault="008430C8" w:rsidP="00887F9E">
      <w:pPr>
        <w:rPr>
          <w:rFonts w:ascii="Arial" w:hAnsi="Arial" w:cs="Arial"/>
          <w:b/>
          <w:bCs/>
          <w:sz w:val="24"/>
          <w:szCs w:val="24"/>
        </w:rPr>
      </w:pPr>
      <w:r>
        <w:rPr>
          <w:rFonts w:ascii="Arial" w:hAnsi="Arial" w:cs="Arial"/>
          <w:b/>
          <w:bCs/>
          <w:sz w:val="24"/>
          <w:szCs w:val="24"/>
        </w:rPr>
        <w:t xml:space="preserve">Ref: </w:t>
      </w:r>
      <w:r w:rsidRPr="008430C8">
        <w:rPr>
          <w:rFonts w:ascii="Arial" w:hAnsi="Arial" w:cs="Arial"/>
          <w:b/>
          <w:bCs/>
          <w:sz w:val="24"/>
          <w:szCs w:val="24"/>
        </w:rPr>
        <w:t>Application &amp; Evidence, Manager’s Summary, Page 9</w:t>
      </w:r>
    </w:p>
    <w:p w14:paraId="55DB9CC2" w14:textId="4C27D608" w:rsidR="00887F9E" w:rsidRPr="00512503" w:rsidRDefault="00887F9E" w:rsidP="00887F9E">
      <w:pPr>
        <w:rPr>
          <w:rFonts w:ascii="Arial" w:hAnsi="Arial" w:cs="Arial"/>
          <w:sz w:val="24"/>
          <w:szCs w:val="24"/>
        </w:rPr>
      </w:pPr>
      <w:r w:rsidRPr="00512503">
        <w:rPr>
          <w:rFonts w:ascii="Arial" w:hAnsi="Arial" w:cs="Arial"/>
          <w:sz w:val="24"/>
          <w:szCs w:val="24"/>
        </w:rPr>
        <w:t xml:space="preserve">Preamble: </w:t>
      </w:r>
    </w:p>
    <w:p w14:paraId="4F72BA87" w14:textId="2B8FC9D1" w:rsidR="008430C8" w:rsidRDefault="008430C8" w:rsidP="00887F9E">
      <w:pPr>
        <w:rPr>
          <w:rFonts w:ascii="Arial" w:hAnsi="Arial" w:cs="Arial"/>
          <w:sz w:val="24"/>
          <w:szCs w:val="24"/>
        </w:rPr>
      </w:pPr>
      <w:r w:rsidRPr="008430C8">
        <w:rPr>
          <w:rFonts w:ascii="Arial" w:hAnsi="Arial" w:cs="Arial"/>
          <w:sz w:val="24"/>
          <w:szCs w:val="24"/>
        </w:rPr>
        <w:t>The 2021 CDM Guidelines (section 8) require distributors filing an application for 2023 rates to seek disposition of all outstanding LRAMVA balances related to previously established thresholds, including approval of LRAM-eligible amounts in future years (arising from persisting savings) until a distributor’s next rebasing application, unless a distributor does not have complete information on eligible savings.</w:t>
      </w:r>
    </w:p>
    <w:p w14:paraId="03D42340" w14:textId="631AED76" w:rsidR="00887F9E" w:rsidRPr="00887F9E" w:rsidRDefault="00887F9E" w:rsidP="00887F9E">
      <w:pPr>
        <w:rPr>
          <w:rFonts w:ascii="Arial" w:hAnsi="Arial" w:cs="Arial"/>
          <w:sz w:val="24"/>
          <w:szCs w:val="24"/>
        </w:rPr>
      </w:pPr>
      <w:r w:rsidRPr="00512503">
        <w:rPr>
          <w:rFonts w:ascii="Arial" w:hAnsi="Arial" w:cs="Arial"/>
          <w:sz w:val="24"/>
          <w:szCs w:val="24"/>
        </w:rPr>
        <w:t xml:space="preserve">Question: </w:t>
      </w:r>
    </w:p>
    <w:p w14:paraId="7C5906BE" w14:textId="42386147" w:rsidR="00887F9E" w:rsidRPr="00512503" w:rsidRDefault="00887F9E" w:rsidP="00887F9E">
      <w:pPr>
        <w:pStyle w:val="ListParagraph"/>
        <w:numPr>
          <w:ilvl w:val="0"/>
          <w:numId w:val="4"/>
        </w:numPr>
        <w:spacing w:line="252" w:lineRule="auto"/>
        <w:rPr>
          <w:rFonts w:ascii="Arial" w:eastAsia="Times New Roman" w:hAnsi="Arial" w:cs="Arial"/>
          <w:sz w:val="24"/>
          <w:szCs w:val="24"/>
        </w:rPr>
      </w:pPr>
      <w:r w:rsidRPr="00512503">
        <w:rPr>
          <w:rFonts w:ascii="Arial" w:eastAsia="Times New Roman" w:hAnsi="Arial" w:cs="Arial"/>
          <w:sz w:val="24"/>
          <w:szCs w:val="24"/>
        </w:rPr>
        <w:t xml:space="preserve">Please confirm that </w:t>
      </w:r>
      <w:r>
        <w:rPr>
          <w:rFonts w:ascii="Arial" w:eastAsia="Times New Roman" w:hAnsi="Arial" w:cs="Arial"/>
          <w:sz w:val="24"/>
          <w:szCs w:val="24"/>
        </w:rPr>
        <w:t>THI</w:t>
      </w:r>
      <w:r w:rsidRPr="00512503">
        <w:rPr>
          <w:rFonts w:ascii="Arial" w:eastAsia="Times New Roman" w:hAnsi="Arial" w:cs="Arial"/>
          <w:sz w:val="24"/>
          <w:szCs w:val="24"/>
        </w:rPr>
        <w:t xml:space="preserve"> will not be seeking to dispose of any balance in the LRAMVA due to LRAM-eligible CDM activities funded by the IESO through the Conservation First Framework or Interim Framework in a future year’s application. </w:t>
      </w:r>
    </w:p>
    <w:p w14:paraId="41CA724D" w14:textId="77777777" w:rsidR="008430C8" w:rsidRDefault="00887F9E" w:rsidP="00C57E58">
      <w:pPr>
        <w:pStyle w:val="ListParagraph"/>
        <w:numPr>
          <w:ilvl w:val="0"/>
          <w:numId w:val="12"/>
        </w:numPr>
        <w:rPr>
          <w:rFonts w:ascii="Arial" w:hAnsi="Arial" w:cs="Arial"/>
          <w:sz w:val="24"/>
          <w:szCs w:val="24"/>
        </w:rPr>
      </w:pPr>
      <w:r w:rsidRPr="00512503">
        <w:rPr>
          <w:rFonts w:ascii="Arial" w:hAnsi="Arial" w:cs="Arial"/>
          <w:sz w:val="24"/>
          <w:szCs w:val="24"/>
        </w:rPr>
        <w:t>If not confirmed, please explain why a request for disposition was not submitted as part of this application.</w:t>
      </w:r>
    </w:p>
    <w:p w14:paraId="7630F0A9" w14:textId="23DF1B29" w:rsidR="00887F9E" w:rsidRPr="008430C8" w:rsidRDefault="00887F9E" w:rsidP="00C57E58">
      <w:pPr>
        <w:pStyle w:val="ListParagraph"/>
        <w:numPr>
          <w:ilvl w:val="0"/>
          <w:numId w:val="12"/>
        </w:numPr>
        <w:rPr>
          <w:rFonts w:ascii="Arial" w:hAnsi="Arial" w:cs="Arial"/>
          <w:sz w:val="24"/>
          <w:szCs w:val="24"/>
        </w:rPr>
      </w:pPr>
      <w:r w:rsidRPr="008430C8">
        <w:rPr>
          <w:rFonts w:ascii="Arial" w:hAnsi="Arial" w:cs="Arial"/>
          <w:sz w:val="24"/>
          <w:szCs w:val="24"/>
        </w:rPr>
        <w:t xml:space="preserve">If confirmed, please also confirm that THI has verified that, relative to the LRAMVA threshold (if any) established in THI’s most recent rebasing application, the balance in the LRAMVA, and any prospective LRAM-eligible amounts until the next rebasing, are either zero or a debit (i.e., not a credit that would need to be refunded to customers). </w:t>
      </w:r>
    </w:p>
    <w:p w14:paraId="1701D8F7" w14:textId="77777777" w:rsidR="00A543D9" w:rsidRDefault="00A543D9" w:rsidP="00D47B82">
      <w:pPr>
        <w:rPr>
          <w:rFonts w:ascii="Arial" w:hAnsi="Arial" w:cs="Arial"/>
          <w:b/>
          <w:bCs/>
          <w:sz w:val="24"/>
          <w:szCs w:val="24"/>
        </w:rPr>
      </w:pPr>
    </w:p>
    <w:p w14:paraId="7501B5DA" w14:textId="77777777" w:rsidR="00A543D9" w:rsidRDefault="00A543D9" w:rsidP="00D47B82">
      <w:pPr>
        <w:rPr>
          <w:rFonts w:ascii="Arial" w:hAnsi="Arial" w:cs="Arial"/>
          <w:b/>
          <w:bCs/>
          <w:sz w:val="24"/>
          <w:szCs w:val="24"/>
        </w:rPr>
      </w:pPr>
    </w:p>
    <w:p w14:paraId="6A4D41FE" w14:textId="77777777" w:rsidR="00A543D9" w:rsidRDefault="00A543D9" w:rsidP="00D47B82">
      <w:pPr>
        <w:rPr>
          <w:rFonts w:ascii="Arial" w:hAnsi="Arial" w:cs="Arial"/>
          <w:b/>
          <w:bCs/>
          <w:sz w:val="24"/>
          <w:szCs w:val="24"/>
        </w:rPr>
      </w:pPr>
    </w:p>
    <w:p w14:paraId="0FF8CFC3" w14:textId="77777777" w:rsidR="00A543D9" w:rsidRDefault="00A543D9" w:rsidP="00D47B82">
      <w:pPr>
        <w:rPr>
          <w:rFonts w:ascii="Arial" w:hAnsi="Arial" w:cs="Arial"/>
          <w:b/>
          <w:bCs/>
          <w:sz w:val="24"/>
          <w:szCs w:val="24"/>
        </w:rPr>
      </w:pPr>
    </w:p>
    <w:p w14:paraId="6046C40D" w14:textId="77777777" w:rsidR="00A543D9" w:rsidRDefault="00A543D9" w:rsidP="00D47B82">
      <w:pPr>
        <w:rPr>
          <w:rFonts w:ascii="Arial" w:hAnsi="Arial" w:cs="Arial"/>
          <w:b/>
          <w:bCs/>
          <w:sz w:val="24"/>
          <w:szCs w:val="24"/>
        </w:rPr>
      </w:pPr>
    </w:p>
    <w:p w14:paraId="22C58D17" w14:textId="57472AEE" w:rsidR="00D47B82" w:rsidRPr="00512503" w:rsidRDefault="00D47B82" w:rsidP="00D47B82">
      <w:pPr>
        <w:rPr>
          <w:rFonts w:ascii="Arial" w:hAnsi="Arial" w:cs="Arial"/>
          <w:b/>
          <w:bCs/>
          <w:sz w:val="24"/>
          <w:szCs w:val="24"/>
        </w:rPr>
      </w:pPr>
      <w:r w:rsidRPr="00512503">
        <w:rPr>
          <w:rFonts w:ascii="Arial" w:hAnsi="Arial" w:cs="Arial"/>
          <w:b/>
          <w:bCs/>
          <w:sz w:val="24"/>
          <w:szCs w:val="24"/>
        </w:rPr>
        <w:t>Staff-</w:t>
      </w:r>
      <w:r>
        <w:rPr>
          <w:rFonts w:ascii="Arial" w:hAnsi="Arial" w:cs="Arial"/>
          <w:b/>
          <w:bCs/>
          <w:sz w:val="24"/>
          <w:szCs w:val="24"/>
        </w:rPr>
        <w:t>2</w:t>
      </w:r>
    </w:p>
    <w:p w14:paraId="45E20985" w14:textId="4D2E75F2" w:rsidR="00E0350F" w:rsidRPr="00D83E29" w:rsidRDefault="00E0350F" w:rsidP="00D47B82">
      <w:pPr>
        <w:rPr>
          <w:rFonts w:ascii="Arial" w:hAnsi="Arial" w:cs="Arial"/>
          <w:b/>
          <w:bCs/>
          <w:sz w:val="24"/>
          <w:szCs w:val="24"/>
        </w:rPr>
      </w:pPr>
      <w:r w:rsidRPr="00D83E29">
        <w:rPr>
          <w:rFonts w:ascii="Arial" w:hAnsi="Arial" w:cs="Arial"/>
          <w:b/>
          <w:bCs/>
          <w:sz w:val="24"/>
          <w:szCs w:val="24"/>
        </w:rPr>
        <w:t>Ref</w:t>
      </w:r>
      <w:r w:rsidR="00756B7F" w:rsidRPr="00D83E29">
        <w:rPr>
          <w:rFonts w:ascii="Arial" w:hAnsi="Arial" w:cs="Arial"/>
          <w:b/>
          <w:bCs/>
          <w:sz w:val="24"/>
          <w:szCs w:val="24"/>
        </w:rPr>
        <w:t xml:space="preserve"> 1</w:t>
      </w:r>
      <w:r w:rsidRPr="00D83E29">
        <w:rPr>
          <w:rFonts w:ascii="Arial" w:hAnsi="Arial" w:cs="Arial"/>
          <w:b/>
          <w:bCs/>
          <w:sz w:val="24"/>
          <w:szCs w:val="24"/>
        </w:rPr>
        <w:t>: Manager’s Summary, p. 11</w:t>
      </w:r>
    </w:p>
    <w:p w14:paraId="0A6FB396" w14:textId="38916515" w:rsidR="00756B7F" w:rsidRPr="00D83E29" w:rsidRDefault="00756B7F" w:rsidP="00D47B82">
      <w:pPr>
        <w:rPr>
          <w:rFonts w:ascii="Arial" w:hAnsi="Arial" w:cs="Arial"/>
          <w:b/>
          <w:bCs/>
          <w:sz w:val="24"/>
          <w:szCs w:val="24"/>
        </w:rPr>
      </w:pPr>
      <w:r w:rsidRPr="00D83E29">
        <w:rPr>
          <w:rFonts w:ascii="Arial" w:hAnsi="Arial" w:cs="Arial"/>
          <w:b/>
          <w:bCs/>
          <w:sz w:val="24"/>
          <w:szCs w:val="24"/>
        </w:rPr>
        <w:t xml:space="preserve">Ref 2: Rate Generator Model, Tab 11. RTSR – UTRs &amp; Sub-Tx. </w:t>
      </w:r>
    </w:p>
    <w:p w14:paraId="0FC2801A" w14:textId="3F794414" w:rsidR="00D47B82" w:rsidRDefault="00D47B82" w:rsidP="00D47B82">
      <w:pPr>
        <w:rPr>
          <w:rFonts w:ascii="Arial" w:hAnsi="Arial" w:cs="Arial"/>
          <w:sz w:val="24"/>
          <w:szCs w:val="24"/>
        </w:rPr>
      </w:pPr>
      <w:r w:rsidRPr="00512503">
        <w:rPr>
          <w:rFonts w:ascii="Arial" w:hAnsi="Arial" w:cs="Arial"/>
          <w:sz w:val="24"/>
          <w:szCs w:val="24"/>
        </w:rPr>
        <w:t xml:space="preserve">Preamble: </w:t>
      </w:r>
    </w:p>
    <w:p w14:paraId="2A358E61" w14:textId="69CBFE83" w:rsidR="00E0350F" w:rsidRDefault="00E0350F" w:rsidP="00D47B82">
      <w:pPr>
        <w:rPr>
          <w:rFonts w:ascii="Arial" w:hAnsi="Arial" w:cs="Arial"/>
          <w:sz w:val="24"/>
          <w:szCs w:val="24"/>
        </w:rPr>
      </w:pPr>
      <w:r>
        <w:rPr>
          <w:rFonts w:ascii="Arial" w:hAnsi="Arial" w:cs="Arial"/>
          <w:sz w:val="24"/>
          <w:szCs w:val="24"/>
        </w:rPr>
        <w:t xml:space="preserve">THI has indicated that the Rate Generator Model has not yet been updated for changes to both the Uniform Transmission Rates (UTRs) or Hydro One Sub-Transmission Rates for January 1, 2023. </w:t>
      </w:r>
    </w:p>
    <w:p w14:paraId="6E18CF87" w14:textId="288CEC13" w:rsidR="00492E56" w:rsidRDefault="00D47B82" w:rsidP="00D47B82">
      <w:pPr>
        <w:rPr>
          <w:rFonts w:ascii="Arial" w:hAnsi="Arial" w:cs="Arial"/>
          <w:sz w:val="24"/>
          <w:szCs w:val="24"/>
        </w:rPr>
      </w:pPr>
      <w:r w:rsidRPr="00E0350F">
        <w:rPr>
          <w:rFonts w:ascii="Arial" w:hAnsi="Arial" w:cs="Arial"/>
          <w:sz w:val="24"/>
          <w:szCs w:val="24"/>
        </w:rPr>
        <w:t xml:space="preserve">Question: </w:t>
      </w:r>
    </w:p>
    <w:p w14:paraId="44BB0F33" w14:textId="5721036A" w:rsidR="00E0350F" w:rsidRDefault="00E0350F" w:rsidP="00E0350F">
      <w:pPr>
        <w:pStyle w:val="ListParagraph"/>
        <w:numPr>
          <w:ilvl w:val="0"/>
          <w:numId w:val="5"/>
        </w:numPr>
        <w:rPr>
          <w:rFonts w:ascii="Arial" w:hAnsi="Arial" w:cs="Arial"/>
          <w:sz w:val="24"/>
          <w:szCs w:val="24"/>
        </w:rPr>
      </w:pPr>
      <w:r>
        <w:rPr>
          <w:rFonts w:ascii="Arial" w:hAnsi="Arial" w:cs="Arial"/>
          <w:sz w:val="24"/>
          <w:szCs w:val="24"/>
        </w:rPr>
        <w:t xml:space="preserve">OEB staff has updated the UTRs and </w:t>
      </w:r>
      <w:r w:rsidR="00756B7F">
        <w:rPr>
          <w:rFonts w:ascii="Arial" w:hAnsi="Arial" w:cs="Arial"/>
          <w:sz w:val="24"/>
          <w:szCs w:val="24"/>
        </w:rPr>
        <w:t>Hydro One Sub-Transmission Rates for January 1, 2023 in the Rate Generator Model shown below.  Please confirm that the model attached to these staff questions reflect these updates.</w:t>
      </w:r>
    </w:p>
    <w:tbl>
      <w:tblPr>
        <w:tblW w:w="9000" w:type="dxa"/>
        <w:jc w:val="center"/>
        <w:tblLook w:val="04A0" w:firstRow="1" w:lastRow="0" w:firstColumn="1" w:lastColumn="0" w:noHBand="0" w:noVBand="1"/>
      </w:tblPr>
      <w:tblGrid>
        <w:gridCol w:w="6210"/>
        <w:gridCol w:w="683"/>
        <w:gridCol w:w="336"/>
        <w:gridCol w:w="2097"/>
      </w:tblGrid>
      <w:tr w:rsidR="00D83E29" w:rsidRPr="00D83E29" w14:paraId="3C8D9733" w14:textId="77777777" w:rsidTr="00A543D9">
        <w:trPr>
          <w:trHeight w:val="585"/>
          <w:jc w:val="center"/>
        </w:trPr>
        <w:tc>
          <w:tcPr>
            <w:tcW w:w="6210" w:type="dxa"/>
            <w:tcBorders>
              <w:top w:val="nil"/>
              <w:left w:val="nil"/>
              <w:bottom w:val="nil"/>
              <w:right w:val="nil"/>
            </w:tcBorders>
            <w:shd w:val="clear" w:color="000000" w:fill="16365C"/>
            <w:noWrap/>
            <w:vAlign w:val="center"/>
            <w:hideMark/>
          </w:tcPr>
          <w:p w14:paraId="5C42E915" w14:textId="77777777" w:rsidR="00D83E29" w:rsidRPr="00D83E29" w:rsidRDefault="00D83E29" w:rsidP="00D83E29">
            <w:pPr>
              <w:spacing w:after="0" w:line="240" w:lineRule="auto"/>
              <w:rPr>
                <w:rFonts w:ascii="Arial" w:eastAsia="Times New Roman" w:hAnsi="Arial" w:cs="Arial"/>
                <w:b/>
                <w:bCs/>
                <w:color w:val="FFFFFF"/>
                <w:sz w:val="24"/>
                <w:szCs w:val="24"/>
              </w:rPr>
            </w:pPr>
            <w:r w:rsidRPr="00D83E29">
              <w:rPr>
                <w:rFonts w:ascii="Arial" w:eastAsia="Times New Roman" w:hAnsi="Arial" w:cs="Arial"/>
                <w:b/>
                <w:bCs/>
                <w:color w:val="FFFFFF"/>
                <w:sz w:val="24"/>
                <w:szCs w:val="24"/>
              </w:rPr>
              <w:t>Uniform Transmission Rates</w:t>
            </w:r>
          </w:p>
        </w:tc>
        <w:tc>
          <w:tcPr>
            <w:tcW w:w="357" w:type="dxa"/>
            <w:tcBorders>
              <w:top w:val="nil"/>
              <w:left w:val="nil"/>
              <w:bottom w:val="nil"/>
              <w:right w:val="nil"/>
            </w:tcBorders>
            <w:shd w:val="clear" w:color="000000" w:fill="16365C"/>
            <w:vAlign w:val="center"/>
            <w:hideMark/>
          </w:tcPr>
          <w:p w14:paraId="0DF4A080" w14:textId="77777777" w:rsidR="00D83E29" w:rsidRPr="00D83E29" w:rsidRDefault="00D83E29" w:rsidP="00D83E29">
            <w:pPr>
              <w:spacing w:after="0" w:line="240" w:lineRule="auto"/>
              <w:jc w:val="center"/>
              <w:rPr>
                <w:rFonts w:ascii="Arial" w:eastAsia="Times New Roman" w:hAnsi="Arial" w:cs="Arial"/>
                <w:b/>
                <w:bCs/>
                <w:color w:val="FFFFFF"/>
                <w:sz w:val="24"/>
                <w:szCs w:val="24"/>
              </w:rPr>
            </w:pPr>
            <w:r w:rsidRPr="00D83E29">
              <w:rPr>
                <w:rFonts w:ascii="Arial" w:eastAsia="Times New Roman" w:hAnsi="Arial" w:cs="Arial"/>
                <w:b/>
                <w:bCs/>
                <w:color w:val="FFFFFF"/>
                <w:sz w:val="24"/>
                <w:szCs w:val="24"/>
              </w:rPr>
              <w:t>Unit</w:t>
            </w:r>
          </w:p>
        </w:tc>
        <w:tc>
          <w:tcPr>
            <w:tcW w:w="336" w:type="dxa"/>
            <w:tcBorders>
              <w:top w:val="nil"/>
              <w:left w:val="nil"/>
              <w:bottom w:val="nil"/>
              <w:right w:val="nil"/>
            </w:tcBorders>
            <w:shd w:val="clear" w:color="auto" w:fill="auto"/>
            <w:noWrap/>
            <w:vAlign w:val="bottom"/>
            <w:hideMark/>
          </w:tcPr>
          <w:p w14:paraId="7CBE081E" w14:textId="77777777" w:rsidR="00D83E29" w:rsidRPr="00D83E29" w:rsidRDefault="00D83E29" w:rsidP="00D83E29">
            <w:pPr>
              <w:spacing w:after="0" w:line="240" w:lineRule="auto"/>
              <w:jc w:val="center"/>
              <w:rPr>
                <w:rFonts w:ascii="Arial" w:eastAsia="Times New Roman" w:hAnsi="Arial" w:cs="Arial"/>
                <w:b/>
                <w:bCs/>
                <w:color w:val="FFFFFF"/>
                <w:sz w:val="24"/>
                <w:szCs w:val="24"/>
              </w:rPr>
            </w:pPr>
          </w:p>
        </w:tc>
        <w:tc>
          <w:tcPr>
            <w:tcW w:w="2097" w:type="dxa"/>
            <w:tcBorders>
              <w:top w:val="nil"/>
              <w:left w:val="nil"/>
              <w:bottom w:val="nil"/>
              <w:right w:val="nil"/>
            </w:tcBorders>
            <w:shd w:val="clear" w:color="000000" w:fill="16365C"/>
            <w:vAlign w:val="center"/>
            <w:hideMark/>
          </w:tcPr>
          <w:p w14:paraId="214A5AE4" w14:textId="77777777" w:rsidR="00D83E29" w:rsidRPr="00D83E29" w:rsidRDefault="00D83E29" w:rsidP="00D83E29">
            <w:pPr>
              <w:spacing w:after="0" w:line="240" w:lineRule="auto"/>
              <w:jc w:val="center"/>
              <w:rPr>
                <w:rFonts w:ascii="Arial" w:eastAsia="Times New Roman" w:hAnsi="Arial" w:cs="Arial"/>
                <w:b/>
                <w:bCs/>
                <w:color w:val="FFFFFF"/>
                <w:sz w:val="24"/>
                <w:szCs w:val="24"/>
              </w:rPr>
            </w:pPr>
            <w:r w:rsidRPr="00D83E29">
              <w:rPr>
                <w:rFonts w:ascii="Arial" w:eastAsia="Times New Roman" w:hAnsi="Arial" w:cs="Arial"/>
                <w:b/>
                <w:bCs/>
                <w:color w:val="FFFFFF"/>
                <w:sz w:val="24"/>
                <w:szCs w:val="24"/>
              </w:rPr>
              <w:t>2023</w:t>
            </w:r>
          </w:p>
        </w:tc>
      </w:tr>
      <w:tr w:rsidR="00D83E29" w:rsidRPr="00D83E29" w14:paraId="4A27E09C" w14:textId="77777777" w:rsidTr="00A543D9">
        <w:trPr>
          <w:trHeight w:val="300"/>
          <w:jc w:val="center"/>
        </w:trPr>
        <w:tc>
          <w:tcPr>
            <w:tcW w:w="6210" w:type="dxa"/>
            <w:tcBorders>
              <w:top w:val="nil"/>
              <w:left w:val="nil"/>
              <w:bottom w:val="nil"/>
              <w:right w:val="nil"/>
            </w:tcBorders>
            <w:shd w:val="clear" w:color="auto" w:fill="auto"/>
            <w:noWrap/>
            <w:vAlign w:val="bottom"/>
            <w:hideMark/>
          </w:tcPr>
          <w:p w14:paraId="1EEE461D" w14:textId="77777777" w:rsidR="00D83E29" w:rsidRPr="00D83E29" w:rsidRDefault="00D83E29" w:rsidP="00D83E29">
            <w:pPr>
              <w:spacing w:after="0" w:line="240" w:lineRule="auto"/>
              <w:jc w:val="center"/>
              <w:rPr>
                <w:rFonts w:ascii="Arial" w:eastAsia="Times New Roman" w:hAnsi="Arial" w:cs="Arial"/>
                <w:b/>
                <w:bCs/>
                <w:color w:val="FFFFFF"/>
                <w:sz w:val="24"/>
                <w:szCs w:val="24"/>
              </w:rPr>
            </w:pPr>
          </w:p>
        </w:tc>
        <w:tc>
          <w:tcPr>
            <w:tcW w:w="357" w:type="dxa"/>
            <w:tcBorders>
              <w:top w:val="nil"/>
              <w:left w:val="nil"/>
              <w:bottom w:val="nil"/>
              <w:right w:val="nil"/>
            </w:tcBorders>
            <w:shd w:val="clear" w:color="auto" w:fill="auto"/>
            <w:noWrap/>
            <w:vAlign w:val="bottom"/>
            <w:hideMark/>
          </w:tcPr>
          <w:p w14:paraId="36047E0F"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36" w:type="dxa"/>
            <w:tcBorders>
              <w:top w:val="nil"/>
              <w:left w:val="nil"/>
              <w:bottom w:val="nil"/>
              <w:right w:val="nil"/>
            </w:tcBorders>
            <w:shd w:val="clear" w:color="auto" w:fill="auto"/>
            <w:noWrap/>
            <w:vAlign w:val="bottom"/>
            <w:hideMark/>
          </w:tcPr>
          <w:p w14:paraId="6564CFC7"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6783E653"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19718165" w14:textId="77777777" w:rsidTr="00A543D9">
        <w:trPr>
          <w:trHeight w:val="308"/>
          <w:jc w:val="center"/>
        </w:trPr>
        <w:tc>
          <w:tcPr>
            <w:tcW w:w="6210" w:type="dxa"/>
            <w:tcBorders>
              <w:top w:val="nil"/>
              <w:left w:val="nil"/>
              <w:bottom w:val="nil"/>
              <w:right w:val="nil"/>
            </w:tcBorders>
            <w:shd w:val="clear" w:color="auto" w:fill="auto"/>
            <w:noWrap/>
            <w:vAlign w:val="bottom"/>
            <w:hideMark/>
          </w:tcPr>
          <w:p w14:paraId="76E08E12"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Rate Description</w:t>
            </w:r>
          </w:p>
        </w:tc>
        <w:tc>
          <w:tcPr>
            <w:tcW w:w="357" w:type="dxa"/>
            <w:tcBorders>
              <w:top w:val="nil"/>
              <w:left w:val="nil"/>
              <w:bottom w:val="nil"/>
              <w:right w:val="nil"/>
            </w:tcBorders>
            <w:shd w:val="clear" w:color="auto" w:fill="auto"/>
            <w:noWrap/>
            <w:vAlign w:val="bottom"/>
            <w:hideMark/>
          </w:tcPr>
          <w:p w14:paraId="1FB73ABB" w14:textId="77777777" w:rsidR="00D83E29" w:rsidRPr="00D83E29" w:rsidRDefault="00D83E29" w:rsidP="00D83E29">
            <w:pPr>
              <w:spacing w:after="0" w:line="240" w:lineRule="auto"/>
              <w:rPr>
                <w:rFonts w:ascii="Arial" w:eastAsia="Times New Roman" w:hAnsi="Arial" w:cs="Arial"/>
                <w:b/>
                <w:bCs/>
                <w:sz w:val="24"/>
                <w:szCs w:val="24"/>
              </w:rPr>
            </w:pPr>
          </w:p>
        </w:tc>
        <w:tc>
          <w:tcPr>
            <w:tcW w:w="336" w:type="dxa"/>
            <w:tcBorders>
              <w:top w:val="nil"/>
              <w:left w:val="nil"/>
              <w:bottom w:val="nil"/>
              <w:right w:val="nil"/>
            </w:tcBorders>
            <w:shd w:val="clear" w:color="auto" w:fill="auto"/>
            <w:noWrap/>
            <w:vAlign w:val="bottom"/>
            <w:hideMark/>
          </w:tcPr>
          <w:p w14:paraId="5354EAE1"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7BC3967F" w14:textId="77777777" w:rsidR="00D83E29" w:rsidRPr="00D83E29" w:rsidRDefault="00D83E29" w:rsidP="00D83E29">
            <w:pPr>
              <w:spacing w:after="0" w:line="240" w:lineRule="auto"/>
              <w:jc w:val="center"/>
              <w:rPr>
                <w:rFonts w:ascii="Arial" w:eastAsia="Times New Roman" w:hAnsi="Arial" w:cs="Arial"/>
                <w:b/>
                <w:bCs/>
                <w:sz w:val="24"/>
                <w:szCs w:val="24"/>
              </w:rPr>
            </w:pPr>
            <w:r w:rsidRPr="00D83E29">
              <w:rPr>
                <w:rFonts w:ascii="Arial" w:eastAsia="Times New Roman" w:hAnsi="Arial" w:cs="Arial"/>
                <w:b/>
                <w:bCs/>
                <w:sz w:val="24"/>
                <w:szCs w:val="24"/>
              </w:rPr>
              <w:t>Rate</w:t>
            </w:r>
          </w:p>
        </w:tc>
      </w:tr>
      <w:tr w:rsidR="00D83E29" w:rsidRPr="00D83E29" w14:paraId="0C82CF18" w14:textId="77777777" w:rsidTr="00A543D9">
        <w:trPr>
          <w:trHeight w:val="300"/>
          <w:jc w:val="center"/>
        </w:trPr>
        <w:tc>
          <w:tcPr>
            <w:tcW w:w="6210" w:type="dxa"/>
            <w:tcBorders>
              <w:top w:val="nil"/>
              <w:left w:val="nil"/>
              <w:bottom w:val="nil"/>
              <w:right w:val="nil"/>
            </w:tcBorders>
            <w:shd w:val="clear" w:color="auto" w:fill="auto"/>
            <w:noWrap/>
            <w:vAlign w:val="bottom"/>
            <w:hideMark/>
          </w:tcPr>
          <w:p w14:paraId="327DD1E4" w14:textId="77777777" w:rsidR="00D83E29" w:rsidRPr="00D83E29" w:rsidRDefault="00D83E29" w:rsidP="00D83E29">
            <w:pPr>
              <w:spacing w:after="0" w:line="240" w:lineRule="auto"/>
              <w:jc w:val="center"/>
              <w:rPr>
                <w:rFonts w:ascii="Arial" w:eastAsia="Times New Roman" w:hAnsi="Arial" w:cs="Arial"/>
                <w:b/>
                <w:bCs/>
                <w:sz w:val="24"/>
                <w:szCs w:val="24"/>
              </w:rPr>
            </w:pPr>
          </w:p>
        </w:tc>
        <w:tc>
          <w:tcPr>
            <w:tcW w:w="357" w:type="dxa"/>
            <w:tcBorders>
              <w:top w:val="nil"/>
              <w:left w:val="nil"/>
              <w:bottom w:val="nil"/>
              <w:right w:val="nil"/>
            </w:tcBorders>
            <w:shd w:val="clear" w:color="auto" w:fill="auto"/>
            <w:noWrap/>
            <w:vAlign w:val="bottom"/>
            <w:hideMark/>
          </w:tcPr>
          <w:p w14:paraId="1FE9D546"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36" w:type="dxa"/>
            <w:tcBorders>
              <w:top w:val="nil"/>
              <w:left w:val="nil"/>
              <w:bottom w:val="nil"/>
              <w:right w:val="nil"/>
            </w:tcBorders>
            <w:shd w:val="clear" w:color="auto" w:fill="auto"/>
            <w:noWrap/>
            <w:vAlign w:val="bottom"/>
            <w:hideMark/>
          </w:tcPr>
          <w:p w14:paraId="68A78FCE"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7F44C692"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129FAAF6" w14:textId="77777777" w:rsidTr="00A543D9">
        <w:trPr>
          <w:trHeight w:val="310"/>
          <w:jc w:val="center"/>
        </w:trPr>
        <w:tc>
          <w:tcPr>
            <w:tcW w:w="6210" w:type="dxa"/>
            <w:tcBorders>
              <w:top w:val="nil"/>
              <w:left w:val="nil"/>
              <w:bottom w:val="nil"/>
              <w:right w:val="nil"/>
            </w:tcBorders>
            <w:shd w:val="clear" w:color="000000" w:fill="FFFFFF"/>
            <w:noWrap/>
            <w:vAlign w:val="bottom"/>
            <w:hideMark/>
          </w:tcPr>
          <w:p w14:paraId="114F8F88"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Network Service Rate</w:t>
            </w:r>
          </w:p>
        </w:tc>
        <w:tc>
          <w:tcPr>
            <w:tcW w:w="357" w:type="dxa"/>
            <w:tcBorders>
              <w:top w:val="nil"/>
              <w:left w:val="nil"/>
              <w:bottom w:val="nil"/>
              <w:right w:val="nil"/>
            </w:tcBorders>
            <w:shd w:val="clear" w:color="000000" w:fill="FFFFFF"/>
            <w:noWrap/>
            <w:vAlign w:val="bottom"/>
            <w:hideMark/>
          </w:tcPr>
          <w:p w14:paraId="344216A5" w14:textId="77777777" w:rsidR="00D83E29" w:rsidRPr="00D83E29" w:rsidRDefault="00D83E29" w:rsidP="00D83E29">
            <w:pPr>
              <w:spacing w:after="0" w:line="240" w:lineRule="auto"/>
              <w:jc w:val="center"/>
              <w:rPr>
                <w:rFonts w:ascii="Arial" w:eastAsia="Times New Roman" w:hAnsi="Arial" w:cs="Arial"/>
                <w:sz w:val="24"/>
                <w:szCs w:val="24"/>
              </w:rPr>
            </w:pPr>
            <w:r w:rsidRPr="00D83E29">
              <w:rPr>
                <w:rFonts w:ascii="Arial" w:eastAsia="Times New Roman" w:hAnsi="Arial" w:cs="Arial"/>
                <w:sz w:val="24"/>
                <w:szCs w:val="24"/>
              </w:rPr>
              <w:t>kW</w:t>
            </w:r>
          </w:p>
        </w:tc>
        <w:tc>
          <w:tcPr>
            <w:tcW w:w="336" w:type="dxa"/>
            <w:tcBorders>
              <w:top w:val="nil"/>
              <w:left w:val="nil"/>
              <w:bottom w:val="nil"/>
              <w:right w:val="nil"/>
            </w:tcBorders>
            <w:shd w:val="clear" w:color="000000" w:fill="FFFFFF"/>
            <w:noWrap/>
            <w:vAlign w:val="bottom"/>
            <w:hideMark/>
          </w:tcPr>
          <w:p w14:paraId="666B814B"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EBF1DE"/>
            <w:noWrap/>
            <w:vAlign w:val="bottom"/>
            <w:hideMark/>
          </w:tcPr>
          <w:p w14:paraId="454C13C8"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xml:space="preserve"> $                5.60 </w:t>
            </w:r>
          </w:p>
        </w:tc>
      </w:tr>
      <w:tr w:rsidR="00D83E29" w:rsidRPr="00D83E29" w14:paraId="5D473FBA" w14:textId="77777777" w:rsidTr="00A543D9">
        <w:trPr>
          <w:trHeight w:val="300"/>
          <w:jc w:val="center"/>
        </w:trPr>
        <w:tc>
          <w:tcPr>
            <w:tcW w:w="6210" w:type="dxa"/>
            <w:tcBorders>
              <w:top w:val="nil"/>
              <w:left w:val="nil"/>
              <w:bottom w:val="nil"/>
              <w:right w:val="nil"/>
            </w:tcBorders>
            <w:shd w:val="clear" w:color="000000" w:fill="FFFFFF"/>
            <w:noWrap/>
            <w:vAlign w:val="bottom"/>
            <w:hideMark/>
          </w:tcPr>
          <w:p w14:paraId="126E67E7"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357" w:type="dxa"/>
            <w:tcBorders>
              <w:top w:val="nil"/>
              <w:left w:val="nil"/>
              <w:bottom w:val="nil"/>
              <w:right w:val="nil"/>
            </w:tcBorders>
            <w:shd w:val="clear" w:color="000000" w:fill="FFFFFF"/>
            <w:noWrap/>
            <w:vAlign w:val="bottom"/>
            <w:hideMark/>
          </w:tcPr>
          <w:p w14:paraId="3094B5CD"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336" w:type="dxa"/>
            <w:tcBorders>
              <w:top w:val="nil"/>
              <w:left w:val="nil"/>
              <w:bottom w:val="nil"/>
              <w:right w:val="nil"/>
            </w:tcBorders>
            <w:shd w:val="clear" w:color="000000" w:fill="FFFFFF"/>
            <w:noWrap/>
            <w:vAlign w:val="bottom"/>
            <w:hideMark/>
          </w:tcPr>
          <w:p w14:paraId="540F4BBE"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FFFFFF"/>
            <w:noWrap/>
            <w:vAlign w:val="bottom"/>
            <w:hideMark/>
          </w:tcPr>
          <w:p w14:paraId="69D9A2CB"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w:t>
            </w:r>
          </w:p>
        </w:tc>
      </w:tr>
      <w:tr w:rsidR="00D83E29" w:rsidRPr="00D83E29" w14:paraId="54B879BC" w14:textId="77777777" w:rsidTr="00A543D9">
        <w:trPr>
          <w:trHeight w:val="310"/>
          <w:jc w:val="center"/>
        </w:trPr>
        <w:tc>
          <w:tcPr>
            <w:tcW w:w="6210" w:type="dxa"/>
            <w:tcBorders>
              <w:top w:val="nil"/>
              <w:left w:val="nil"/>
              <w:bottom w:val="nil"/>
              <w:right w:val="nil"/>
            </w:tcBorders>
            <w:shd w:val="clear" w:color="000000" w:fill="FFFFFF"/>
            <w:noWrap/>
            <w:vAlign w:val="bottom"/>
            <w:hideMark/>
          </w:tcPr>
          <w:p w14:paraId="1164B7B0"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Line Connection Service Rate</w:t>
            </w:r>
          </w:p>
        </w:tc>
        <w:tc>
          <w:tcPr>
            <w:tcW w:w="357" w:type="dxa"/>
            <w:tcBorders>
              <w:top w:val="nil"/>
              <w:left w:val="nil"/>
              <w:bottom w:val="nil"/>
              <w:right w:val="nil"/>
            </w:tcBorders>
            <w:shd w:val="clear" w:color="000000" w:fill="FFFFFF"/>
            <w:noWrap/>
            <w:vAlign w:val="bottom"/>
            <w:hideMark/>
          </w:tcPr>
          <w:p w14:paraId="5FE78ABD" w14:textId="77777777" w:rsidR="00D83E29" w:rsidRPr="00D83E29" w:rsidRDefault="00D83E29" w:rsidP="00D83E29">
            <w:pPr>
              <w:spacing w:after="0" w:line="240" w:lineRule="auto"/>
              <w:jc w:val="center"/>
              <w:rPr>
                <w:rFonts w:ascii="Arial" w:eastAsia="Times New Roman" w:hAnsi="Arial" w:cs="Arial"/>
                <w:sz w:val="24"/>
                <w:szCs w:val="24"/>
              </w:rPr>
            </w:pPr>
            <w:r w:rsidRPr="00D83E29">
              <w:rPr>
                <w:rFonts w:ascii="Arial" w:eastAsia="Times New Roman" w:hAnsi="Arial" w:cs="Arial"/>
                <w:sz w:val="24"/>
                <w:szCs w:val="24"/>
              </w:rPr>
              <w:t>kW</w:t>
            </w:r>
          </w:p>
        </w:tc>
        <w:tc>
          <w:tcPr>
            <w:tcW w:w="336" w:type="dxa"/>
            <w:tcBorders>
              <w:top w:val="nil"/>
              <w:left w:val="nil"/>
              <w:bottom w:val="nil"/>
              <w:right w:val="nil"/>
            </w:tcBorders>
            <w:shd w:val="clear" w:color="000000" w:fill="FFFFFF"/>
            <w:noWrap/>
            <w:vAlign w:val="bottom"/>
            <w:hideMark/>
          </w:tcPr>
          <w:p w14:paraId="50C27084"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EBF1DE"/>
            <w:noWrap/>
            <w:vAlign w:val="bottom"/>
            <w:hideMark/>
          </w:tcPr>
          <w:p w14:paraId="4E635B75"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xml:space="preserve"> $                0.92 </w:t>
            </w:r>
          </w:p>
        </w:tc>
      </w:tr>
      <w:tr w:rsidR="00D83E29" w:rsidRPr="00D83E29" w14:paraId="4DE6C8FF" w14:textId="77777777" w:rsidTr="00A543D9">
        <w:trPr>
          <w:trHeight w:val="300"/>
          <w:jc w:val="center"/>
        </w:trPr>
        <w:tc>
          <w:tcPr>
            <w:tcW w:w="6210" w:type="dxa"/>
            <w:tcBorders>
              <w:top w:val="nil"/>
              <w:left w:val="nil"/>
              <w:bottom w:val="nil"/>
              <w:right w:val="nil"/>
            </w:tcBorders>
            <w:shd w:val="clear" w:color="000000" w:fill="FFFFFF"/>
            <w:noWrap/>
            <w:vAlign w:val="bottom"/>
            <w:hideMark/>
          </w:tcPr>
          <w:p w14:paraId="44230028"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357" w:type="dxa"/>
            <w:tcBorders>
              <w:top w:val="nil"/>
              <w:left w:val="nil"/>
              <w:bottom w:val="nil"/>
              <w:right w:val="nil"/>
            </w:tcBorders>
            <w:shd w:val="clear" w:color="000000" w:fill="FFFFFF"/>
            <w:noWrap/>
            <w:vAlign w:val="bottom"/>
            <w:hideMark/>
          </w:tcPr>
          <w:p w14:paraId="0DC9D6BA"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336" w:type="dxa"/>
            <w:tcBorders>
              <w:top w:val="nil"/>
              <w:left w:val="nil"/>
              <w:bottom w:val="nil"/>
              <w:right w:val="nil"/>
            </w:tcBorders>
            <w:shd w:val="clear" w:color="000000" w:fill="FFFFFF"/>
            <w:noWrap/>
            <w:vAlign w:val="bottom"/>
            <w:hideMark/>
          </w:tcPr>
          <w:p w14:paraId="133F4908"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FFFFFF"/>
            <w:noWrap/>
            <w:vAlign w:val="bottom"/>
            <w:hideMark/>
          </w:tcPr>
          <w:p w14:paraId="7DE178DE"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w:t>
            </w:r>
          </w:p>
        </w:tc>
      </w:tr>
      <w:tr w:rsidR="00D83E29" w:rsidRPr="00D83E29" w14:paraId="17D8EF5C" w14:textId="77777777" w:rsidTr="00A543D9">
        <w:trPr>
          <w:trHeight w:val="310"/>
          <w:jc w:val="center"/>
        </w:trPr>
        <w:tc>
          <w:tcPr>
            <w:tcW w:w="6210" w:type="dxa"/>
            <w:tcBorders>
              <w:top w:val="nil"/>
              <w:left w:val="nil"/>
              <w:bottom w:val="nil"/>
              <w:right w:val="nil"/>
            </w:tcBorders>
            <w:shd w:val="clear" w:color="000000" w:fill="FFFFFF"/>
            <w:noWrap/>
            <w:vAlign w:val="bottom"/>
            <w:hideMark/>
          </w:tcPr>
          <w:p w14:paraId="29B9AB4A"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Transformation Connection Service Rate</w:t>
            </w:r>
          </w:p>
        </w:tc>
        <w:tc>
          <w:tcPr>
            <w:tcW w:w="357" w:type="dxa"/>
            <w:tcBorders>
              <w:top w:val="nil"/>
              <w:left w:val="nil"/>
              <w:bottom w:val="nil"/>
              <w:right w:val="nil"/>
            </w:tcBorders>
            <w:shd w:val="clear" w:color="000000" w:fill="FFFFFF"/>
            <w:noWrap/>
            <w:vAlign w:val="bottom"/>
            <w:hideMark/>
          </w:tcPr>
          <w:p w14:paraId="52ED08C1" w14:textId="77777777" w:rsidR="00D83E29" w:rsidRPr="00D83E29" w:rsidRDefault="00D83E29" w:rsidP="00D83E29">
            <w:pPr>
              <w:spacing w:after="0" w:line="240" w:lineRule="auto"/>
              <w:jc w:val="center"/>
              <w:rPr>
                <w:rFonts w:ascii="Arial" w:eastAsia="Times New Roman" w:hAnsi="Arial" w:cs="Arial"/>
                <w:sz w:val="24"/>
                <w:szCs w:val="24"/>
              </w:rPr>
            </w:pPr>
            <w:r w:rsidRPr="00D83E29">
              <w:rPr>
                <w:rFonts w:ascii="Arial" w:eastAsia="Times New Roman" w:hAnsi="Arial" w:cs="Arial"/>
                <w:sz w:val="24"/>
                <w:szCs w:val="24"/>
              </w:rPr>
              <w:t>kW</w:t>
            </w:r>
          </w:p>
        </w:tc>
        <w:tc>
          <w:tcPr>
            <w:tcW w:w="336" w:type="dxa"/>
            <w:tcBorders>
              <w:top w:val="nil"/>
              <w:left w:val="nil"/>
              <w:bottom w:val="nil"/>
              <w:right w:val="nil"/>
            </w:tcBorders>
            <w:shd w:val="clear" w:color="000000" w:fill="FFFFFF"/>
            <w:noWrap/>
            <w:vAlign w:val="bottom"/>
            <w:hideMark/>
          </w:tcPr>
          <w:p w14:paraId="6A75A9E7"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EBF1DE"/>
            <w:noWrap/>
            <w:vAlign w:val="bottom"/>
            <w:hideMark/>
          </w:tcPr>
          <w:p w14:paraId="3F04024C"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xml:space="preserve"> $                3.10 </w:t>
            </w:r>
          </w:p>
        </w:tc>
      </w:tr>
      <w:tr w:rsidR="00D83E29" w:rsidRPr="00D83E29" w14:paraId="0D3DAE78" w14:textId="77777777" w:rsidTr="00A543D9">
        <w:trPr>
          <w:trHeight w:val="300"/>
          <w:jc w:val="center"/>
        </w:trPr>
        <w:tc>
          <w:tcPr>
            <w:tcW w:w="6210" w:type="dxa"/>
            <w:tcBorders>
              <w:top w:val="nil"/>
              <w:left w:val="nil"/>
              <w:bottom w:val="nil"/>
              <w:right w:val="nil"/>
            </w:tcBorders>
            <w:shd w:val="clear" w:color="auto" w:fill="auto"/>
            <w:noWrap/>
            <w:vAlign w:val="bottom"/>
            <w:hideMark/>
          </w:tcPr>
          <w:p w14:paraId="7863566A" w14:textId="77777777" w:rsidR="00D83E29" w:rsidRPr="00D83E29" w:rsidRDefault="00D83E29" w:rsidP="00D83E29">
            <w:pPr>
              <w:spacing w:after="0" w:line="240" w:lineRule="auto"/>
              <w:rPr>
                <w:rFonts w:ascii="Arial" w:eastAsia="Times New Roman" w:hAnsi="Arial" w:cs="Arial"/>
                <w:b/>
                <w:bCs/>
                <w:sz w:val="24"/>
                <w:szCs w:val="24"/>
              </w:rPr>
            </w:pPr>
          </w:p>
        </w:tc>
        <w:tc>
          <w:tcPr>
            <w:tcW w:w="357" w:type="dxa"/>
            <w:tcBorders>
              <w:top w:val="nil"/>
              <w:left w:val="nil"/>
              <w:bottom w:val="nil"/>
              <w:right w:val="nil"/>
            </w:tcBorders>
            <w:shd w:val="clear" w:color="auto" w:fill="auto"/>
            <w:noWrap/>
            <w:vAlign w:val="bottom"/>
            <w:hideMark/>
          </w:tcPr>
          <w:p w14:paraId="15F710FA"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36" w:type="dxa"/>
            <w:tcBorders>
              <w:top w:val="nil"/>
              <w:left w:val="nil"/>
              <w:bottom w:val="nil"/>
              <w:right w:val="nil"/>
            </w:tcBorders>
            <w:shd w:val="clear" w:color="auto" w:fill="auto"/>
            <w:noWrap/>
            <w:vAlign w:val="bottom"/>
            <w:hideMark/>
          </w:tcPr>
          <w:p w14:paraId="42531306"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080D9C9B"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7A311256" w14:textId="77777777" w:rsidTr="00A543D9">
        <w:trPr>
          <w:trHeight w:val="300"/>
          <w:jc w:val="center"/>
        </w:trPr>
        <w:tc>
          <w:tcPr>
            <w:tcW w:w="6210" w:type="dxa"/>
            <w:tcBorders>
              <w:top w:val="nil"/>
              <w:left w:val="nil"/>
              <w:bottom w:val="nil"/>
              <w:right w:val="nil"/>
            </w:tcBorders>
            <w:shd w:val="clear" w:color="auto" w:fill="auto"/>
            <w:noWrap/>
            <w:vAlign w:val="bottom"/>
            <w:hideMark/>
          </w:tcPr>
          <w:p w14:paraId="125AE200"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439CDA83"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36" w:type="dxa"/>
            <w:tcBorders>
              <w:top w:val="nil"/>
              <w:left w:val="nil"/>
              <w:bottom w:val="nil"/>
              <w:right w:val="nil"/>
            </w:tcBorders>
            <w:shd w:val="clear" w:color="auto" w:fill="auto"/>
            <w:noWrap/>
            <w:vAlign w:val="bottom"/>
            <w:hideMark/>
          </w:tcPr>
          <w:p w14:paraId="7377BC7D"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5386ECA3"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54940249" w14:textId="77777777" w:rsidTr="00A543D9">
        <w:trPr>
          <w:trHeight w:val="570"/>
          <w:jc w:val="center"/>
        </w:trPr>
        <w:tc>
          <w:tcPr>
            <w:tcW w:w="6210" w:type="dxa"/>
            <w:tcBorders>
              <w:top w:val="nil"/>
              <w:left w:val="nil"/>
              <w:bottom w:val="nil"/>
              <w:right w:val="nil"/>
            </w:tcBorders>
            <w:shd w:val="clear" w:color="000000" w:fill="16365C"/>
            <w:noWrap/>
            <w:vAlign w:val="center"/>
            <w:hideMark/>
          </w:tcPr>
          <w:p w14:paraId="47996760" w14:textId="77777777" w:rsidR="00D83E29" w:rsidRPr="00D83E29" w:rsidRDefault="00D83E29" w:rsidP="00D83E29">
            <w:pPr>
              <w:spacing w:after="0" w:line="240" w:lineRule="auto"/>
              <w:rPr>
                <w:rFonts w:ascii="Arial" w:eastAsia="Times New Roman" w:hAnsi="Arial" w:cs="Arial"/>
                <w:b/>
                <w:bCs/>
                <w:color w:val="FFFFFF"/>
                <w:sz w:val="24"/>
                <w:szCs w:val="24"/>
              </w:rPr>
            </w:pPr>
            <w:r w:rsidRPr="00D83E29">
              <w:rPr>
                <w:rFonts w:ascii="Arial" w:eastAsia="Times New Roman" w:hAnsi="Arial" w:cs="Arial"/>
                <w:b/>
                <w:bCs/>
                <w:color w:val="FFFFFF"/>
                <w:sz w:val="24"/>
                <w:szCs w:val="24"/>
              </w:rPr>
              <w:t>Hydro One Sub-Transmission Rates</w:t>
            </w:r>
          </w:p>
        </w:tc>
        <w:tc>
          <w:tcPr>
            <w:tcW w:w="357" w:type="dxa"/>
            <w:tcBorders>
              <w:top w:val="nil"/>
              <w:left w:val="nil"/>
              <w:bottom w:val="nil"/>
              <w:right w:val="nil"/>
            </w:tcBorders>
            <w:shd w:val="clear" w:color="000000" w:fill="16365C"/>
            <w:vAlign w:val="center"/>
            <w:hideMark/>
          </w:tcPr>
          <w:p w14:paraId="631FAAB6" w14:textId="77777777" w:rsidR="00D83E29" w:rsidRPr="00D83E29" w:rsidRDefault="00D83E29" w:rsidP="00D83E29">
            <w:pPr>
              <w:spacing w:after="0" w:line="240" w:lineRule="auto"/>
              <w:jc w:val="center"/>
              <w:rPr>
                <w:rFonts w:ascii="Arial" w:eastAsia="Times New Roman" w:hAnsi="Arial" w:cs="Arial"/>
                <w:b/>
                <w:bCs/>
                <w:color w:val="FFFFFF"/>
                <w:sz w:val="24"/>
                <w:szCs w:val="24"/>
              </w:rPr>
            </w:pPr>
            <w:r w:rsidRPr="00D83E29">
              <w:rPr>
                <w:rFonts w:ascii="Arial" w:eastAsia="Times New Roman" w:hAnsi="Arial" w:cs="Arial"/>
                <w:b/>
                <w:bCs/>
                <w:color w:val="FFFFFF"/>
                <w:sz w:val="24"/>
                <w:szCs w:val="24"/>
              </w:rPr>
              <w:t>Unit</w:t>
            </w:r>
          </w:p>
        </w:tc>
        <w:tc>
          <w:tcPr>
            <w:tcW w:w="336" w:type="dxa"/>
            <w:tcBorders>
              <w:top w:val="nil"/>
              <w:left w:val="nil"/>
              <w:bottom w:val="nil"/>
              <w:right w:val="nil"/>
            </w:tcBorders>
            <w:shd w:val="clear" w:color="auto" w:fill="auto"/>
            <w:noWrap/>
            <w:vAlign w:val="bottom"/>
            <w:hideMark/>
          </w:tcPr>
          <w:p w14:paraId="50E4E3FB" w14:textId="77777777" w:rsidR="00D83E29" w:rsidRPr="00D83E29" w:rsidRDefault="00D83E29" w:rsidP="00D83E29">
            <w:pPr>
              <w:spacing w:after="0" w:line="240" w:lineRule="auto"/>
              <w:jc w:val="center"/>
              <w:rPr>
                <w:rFonts w:ascii="Arial" w:eastAsia="Times New Roman" w:hAnsi="Arial" w:cs="Arial"/>
                <w:b/>
                <w:bCs/>
                <w:color w:val="FFFFFF"/>
                <w:sz w:val="24"/>
                <w:szCs w:val="24"/>
              </w:rPr>
            </w:pPr>
          </w:p>
        </w:tc>
        <w:tc>
          <w:tcPr>
            <w:tcW w:w="2097" w:type="dxa"/>
            <w:tcBorders>
              <w:top w:val="nil"/>
              <w:left w:val="nil"/>
              <w:bottom w:val="nil"/>
              <w:right w:val="nil"/>
            </w:tcBorders>
            <w:shd w:val="clear" w:color="000000" w:fill="16365C"/>
            <w:vAlign w:val="center"/>
            <w:hideMark/>
          </w:tcPr>
          <w:p w14:paraId="780AE22E" w14:textId="77777777" w:rsidR="00D83E29" w:rsidRPr="00D83E29" w:rsidRDefault="00D83E29" w:rsidP="00D83E29">
            <w:pPr>
              <w:spacing w:after="0" w:line="240" w:lineRule="auto"/>
              <w:jc w:val="center"/>
              <w:rPr>
                <w:rFonts w:ascii="Arial" w:eastAsia="Times New Roman" w:hAnsi="Arial" w:cs="Arial"/>
                <w:b/>
                <w:bCs/>
                <w:color w:val="FFFFFF"/>
                <w:sz w:val="24"/>
                <w:szCs w:val="24"/>
              </w:rPr>
            </w:pPr>
            <w:r w:rsidRPr="00D83E29">
              <w:rPr>
                <w:rFonts w:ascii="Arial" w:eastAsia="Times New Roman" w:hAnsi="Arial" w:cs="Arial"/>
                <w:b/>
                <w:bCs/>
                <w:color w:val="FFFFFF"/>
                <w:sz w:val="24"/>
                <w:szCs w:val="24"/>
              </w:rPr>
              <w:t>2023</w:t>
            </w:r>
          </w:p>
        </w:tc>
      </w:tr>
      <w:tr w:rsidR="00D83E29" w:rsidRPr="00D83E29" w14:paraId="40988E6D" w14:textId="77777777" w:rsidTr="00A543D9">
        <w:trPr>
          <w:trHeight w:val="315"/>
          <w:jc w:val="center"/>
        </w:trPr>
        <w:tc>
          <w:tcPr>
            <w:tcW w:w="6210" w:type="dxa"/>
            <w:tcBorders>
              <w:top w:val="nil"/>
              <w:left w:val="nil"/>
              <w:bottom w:val="nil"/>
              <w:right w:val="nil"/>
            </w:tcBorders>
            <w:shd w:val="clear" w:color="000000" w:fill="FFFFFF"/>
            <w:noWrap/>
            <w:vAlign w:val="bottom"/>
            <w:hideMark/>
          </w:tcPr>
          <w:p w14:paraId="4D2882DC"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w:t>
            </w:r>
          </w:p>
        </w:tc>
        <w:tc>
          <w:tcPr>
            <w:tcW w:w="357" w:type="dxa"/>
            <w:tcBorders>
              <w:top w:val="nil"/>
              <w:left w:val="nil"/>
              <w:bottom w:val="nil"/>
              <w:right w:val="nil"/>
            </w:tcBorders>
            <w:shd w:val="clear" w:color="000000" w:fill="FFFFFF"/>
            <w:noWrap/>
            <w:vAlign w:val="bottom"/>
            <w:hideMark/>
          </w:tcPr>
          <w:p w14:paraId="263111AF" w14:textId="77777777" w:rsidR="00D83E29" w:rsidRPr="00D83E29" w:rsidRDefault="00D83E29" w:rsidP="00D83E29">
            <w:pPr>
              <w:spacing w:after="0" w:line="240" w:lineRule="auto"/>
              <w:jc w:val="center"/>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36" w:type="dxa"/>
            <w:tcBorders>
              <w:top w:val="nil"/>
              <w:left w:val="nil"/>
              <w:bottom w:val="nil"/>
              <w:right w:val="nil"/>
            </w:tcBorders>
            <w:shd w:val="clear" w:color="auto" w:fill="auto"/>
            <w:noWrap/>
            <w:vAlign w:val="bottom"/>
            <w:hideMark/>
          </w:tcPr>
          <w:p w14:paraId="43801F4C" w14:textId="77777777" w:rsidR="00D83E29" w:rsidRPr="00D83E29" w:rsidRDefault="00D83E29" w:rsidP="00D83E29">
            <w:pPr>
              <w:spacing w:after="0" w:line="240" w:lineRule="auto"/>
              <w:jc w:val="center"/>
              <w:rPr>
                <w:rFonts w:ascii="Arial" w:eastAsia="Times New Roman" w:hAnsi="Arial" w:cs="Arial"/>
                <w:color w:val="000000"/>
                <w:sz w:val="24"/>
                <w:szCs w:val="24"/>
              </w:rPr>
            </w:pPr>
          </w:p>
        </w:tc>
        <w:tc>
          <w:tcPr>
            <w:tcW w:w="2097" w:type="dxa"/>
            <w:tcBorders>
              <w:top w:val="nil"/>
              <w:left w:val="nil"/>
              <w:bottom w:val="nil"/>
              <w:right w:val="nil"/>
            </w:tcBorders>
            <w:shd w:val="clear" w:color="auto" w:fill="auto"/>
            <w:noWrap/>
            <w:vAlign w:val="bottom"/>
            <w:hideMark/>
          </w:tcPr>
          <w:p w14:paraId="253D6D58"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0D459C18" w14:textId="77777777" w:rsidTr="00A543D9">
        <w:trPr>
          <w:trHeight w:val="60"/>
          <w:jc w:val="center"/>
        </w:trPr>
        <w:tc>
          <w:tcPr>
            <w:tcW w:w="6210" w:type="dxa"/>
            <w:tcBorders>
              <w:top w:val="nil"/>
              <w:left w:val="nil"/>
              <w:bottom w:val="nil"/>
              <w:right w:val="nil"/>
            </w:tcBorders>
            <w:shd w:val="clear" w:color="000000" w:fill="FFFFFF"/>
            <w:noWrap/>
            <w:vAlign w:val="bottom"/>
            <w:hideMark/>
          </w:tcPr>
          <w:p w14:paraId="379CD40C"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57" w:type="dxa"/>
            <w:tcBorders>
              <w:top w:val="nil"/>
              <w:left w:val="nil"/>
              <w:bottom w:val="nil"/>
              <w:right w:val="nil"/>
            </w:tcBorders>
            <w:shd w:val="clear" w:color="000000" w:fill="FFFFFF"/>
            <w:noWrap/>
            <w:vAlign w:val="bottom"/>
            <w:hideMark/>
          </w:tcPr>
          <w:p w14:paraId="167FB225" w14:textId="77777777" w:rsidR="00D83E29" w:rsidRPr="00D83E29" w:rsidRDefault="00D83E29" w:rsidP="00D83E29">
            <w:pPr>
              <w:spacing w:after="0" w:line="240" w:lineRule="auto"/>
              <w:jc w:val="center"/>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36" w:type="dxa"/>
            <w:tcBorders>
              <w:top w:val="nil"/>
              <w:left w:val="nil"/>
              <w:bottom w:val="nil"/>
              <w:right w:val="nil"/>
            </w:tcBorders>
            <w:shd w:val="clear" w:color="auto" w:fill="auto"/>
            <w:noWrap/>
            <w:vAlign w:val="bottom"/>
            <w:hideMark/>
          </w:tcPr>
          <w:p w14:paraId="3BE1EA7E" w14:textId="77777777" w:rsidR="00D83E29" w:rsidRPr="00D83E29" w:rsidRDefault="00D83E29" w:rsidP="00D83E29">
            <w:pPr>
              <w:spacing w:after="0" w:line="240" w:lineRule="auto"/>
              <w:jc w:val="center"/>
              <w:rPr>
                <w:rFonts w:ascii="Arial" w:eastAsia="Times New Roman" w:hAnsi="Arial" w:cs="Arial"/>
                <w:color w:val="000000"/>
                <w:sz w:val="24"/>
                <w:szCs w:val="24"/>
              </w:rPr>
            </w:pPr>
          </w:p>
        </w:tc>
        <w:tc>
          <w:tcPr>
            <w:tcW w:w="2097" w:type="dxa"/>
            <w:tcBorders>
              <w:top w:val="nil"/>
              <w:left w:val="nil"/>
              <w:bottom w:val="nil"/>
              <w:right w:val="nil"/>
            </w:tcBorders>
            <w:shd w:val="clear" w:color="auto" w:fill="auto"/>
            <w:noWrap/>
            <w:vAlign w:val="bottom"/>
            <w:hideMark/>
          </w:tcPr>
          <w:p w14:paraId="64EDAE53"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3B21FD12" w14:textId="77777777" w:rsidTr="00A543D9">
        <w:trPr>
          <w:trHeight w:val="60"/>
          <w:jc w:val="center"/>
        </w:trPr>
        <w:tc>
          <w:tcPr>
            <w:tcW w:w="6210" w:type="dxa"/>
            <w:tcBorders>
              <w:top w:val="nil"/>
              <w:left w:val="nil"/>
              <w:bottom w:val="nil"/>
              <w:right w:val="nil"/>
            </w:tcBorders>
            <w:shd w:val="clear" w:color="auto" w:fill="auto"/>
            <w:noWrap/>
            <w:vAlign w:val="bottom"/>
            <w:hideMark/>
          </w:tcPr>
          <w:p w14:paraId="4281F473"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0E8BAE4E"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36" w:type="dxa"/>
            <w:tcBorders>
              <w:top w:val="nil"/>
              <w:left w:val="nil"/>
              <w:bottom w:val="nil"/>
              <w:right w:val="nil"/>
            </w:tcBorders>
            <w:shd w:val="clear" w:color="auto" w:fill="auto"/>
            <w:noWrap/>
            <w:vAlign w:val="bottom"/>
            <w:hideMark/>
          </w:tcPr>
          <w:p w14:paraId="1FAAA79A"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70EC7A70"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4A4B1CB0" w14:textId="77777777" w:rsidTr="00A543D9">
        <w:trPr>
          <w:trHeight w:val="300"/>
          <w:jc w:val="center"/>
        </w:trPr>
        <w:tc>
          <w:tcPr>
            <w:tcW w:w="6210" w:type="dxa"/>
            <w:tcBorders>
              <w:top w:val="nil"/>
              <w:left w:val="nil"/>
              <w:bottom w:val="nil"/>
              <w:right w:val="nil"/>
            </w:tcBorders>
            <w:shd w:val="clear" w:color="auto" w:fill="auto"/>
            <w:noWrap/>
            <w:vAlign w:val="bottom"/>
            <w:hideMark/>
          </w:tcPr>
          <w:p w14:paraId="21F6620C"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Rate Description</w:t>
            </w:r>
          </w:p>
        </w:tc>
        <w:tc>
          <w:tcPr>
            <w:tcW w:w="357" w:type="dxa"/>
            <w:tcBorders>
              <w:top w:val="nil"/>
              <w:left w:val="nil"/>
              <w:bottom w:val="nil"/>
              <w:right w:val="nil"/>
            </w:tcBorders>
            <w:shd w:val="clear" w:color="auto" w:fill="auto"/>
            <w:noWrap/>
            <w:vAlign w:val="bottom"/>
            <w:hideMark/>
          </w:tcPr>
          <w:p w14:paraId="041C3D48" w14:textId="77777777" w:rsidR="00D83E29" w:rsidRPr="00D83E29" w:rsidRDefault="00D83E29" w:rsidP="00D83E29">
            <w:pPr>
              <w:spacing w:after="0" w:line="240" w:lineRule="auto"/>
              <w:rPr>
                <w:rFonts w:ascii="Arial" w:eastAsia="Times New Roman" w:hAnsi="Arial" w:cs="Arial"/>
                <w:b/>
                <w:bCs/>
                <w:sz w:val="24"/>
                <w:szCs w:val="24"/>
              </w:rPr>
            </w:pPr>
          </w:p>
        </w:tc>
        <w:tc>
          <w:tcPr>
            <w:tcW w:w="336" w:type="dxa"/>
            <w:tcBorders>
              <w:top w:val="nil"/>
              <w:left w:val="nil"/>
              <w:bottom w:val="nil"/>
              <w:right w:val="nil"/>
            </w:tcBorders>
            <w:shd w:val="clear" w:color="auto" w:fill="auto"/>
            <w:noWrap/>
            <w:vAlign w:val="bottom"/>
            <w:hideMark/>
          </w:tcPr>
          <w:p w14:paraId="4A679B3E"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03BB7A2F" w14:textId="77777777" w:rsidR="00D83E29" w:rsidRPr="00D83E29" w:rsidRDefault="00D83E29" w:rsidP="00D83E29">
            <w:pPr>
              <w:spacing w:after="0" w:line="240" w:lineRule="auto"/>
              <w:jc w:val="center"/>
              <w:rPr>
                <w:rFonts w:ascii="Arial" w:eastAsia="Times New Roman" w:hAnsi="Arial" w:cs="Arial"/>
                <w:b/>
                <w:bCs/>
                <w:sz w:val="24"/>
                <w:szCs w:val="24"/>
              </w:rPr>
            </w:pPr>
            <w:r w:rsidRPr="00D83E29">
              <w:rPr>
                <w:rFonts w:ascii="Arial" w:eastAsia="Times New Roman" w:hAnsi="Arial" w:cs="Arial"/>
                <w:b/>
                <w:bCs/>
                <w:sz w:val="24"/>
                <w:szCs w:val="24"/>
              </w:rPr>
              <w:t>Rate</w:t>
            </w:r>
          </w:p>
        </w:tc>
      </w:tr>
      <w:tr w:rsidR="00D83E29" w:rsidRPr="00D83E29" w14:paraId="2293EA20" w14:textId="77777777" w:rsidTr="00A543D9">
        <w:trPr>
          <w:trHeight w:val="300"/>
          <w:jc w:val="center"/>
        </w:trPr>
        <w:tc>
          <w:tcPr>
            <w:tcW w:w="6210" w:type="dxa"/>
            <w:tcBorders>
              <w:top w:val="nil"/>
              <w:left w:val="nil"/>
              <w:bottom w:val="nil"/>
              <w:right w:val="nil"/>
            </w:tcBorders>
            <w:shd w:val="clear" w:color="auto" w:fill="auto"/>
            <w:noWrap/>
            <w:vAlign w:val="bottom"/>
            <w:hideMark/>
          </w:tcPr>
          <w:p w14:paraId="3E986DF2" w14:textId="77777777" w:rsidR="00D83E29" w:rsidRPr="00D83E29" w:rsidRDefault="00D83E29" w:rsidP="00D83E29">
            <w:pPr>
              <w:spacing w:after="0" w:line="240" w:lineRule="auto"/>
              <w:jc w:val="center"/>
              <w:rPr>
                <w:rFonts w:ascii="Arial" w:eastAsia="Times New Roman" w:hAnsi="Arial" w:cs="Arial"/>
                <w:b/>
                <w:bCs/>
                <w:sz w:val="24"/>
                <w:szCs w:val="24"/>
              </w:rPr>
            </w:pPr>
          </w:p>
        </w:tc>
        <w:tc>
          <w:tcPr>
            <w:tcW w:w="357" w:type="dxa"/>
            <w:tcBorders>
              <w:top w:val="nil"/>
              <w:left w:val="nil"/>
              <w:bottom w:val="nil"/>
              <w:right w:val="nil"/>
            </w:tcBorders>
            <w:shd w:val="clear" w:color="auto" w:fill="auto"/>
            <w:noWrap/>
            <w:vAlign w:val="bottom"/>
            <w:hideMark/>
          </w:tcPr>
          <w:p w14:paraId="78BEA6DD"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336" w:type="dxa"/>
            <w:tcBorders>
              <w:top w:val="nil"/>
              <w:left w:val="nil"/>
              <w:bottom w:val="nil"/>
              <w:right w:val="nil"/>
            </w:tcBorders>
            <w:shd w:val="clear" w:color="auto" w:fill="auto"/>
            <w:noWrap/>
            <w:vAlign w:val="bottom"/>
            <w:hideMark/>
          </w:tcPr>
          <w:p w14:paraId="45147734" w14:textId="77777777" w:rsidR="00D83E29" w:rsidRPr="00D83E29" w:rsidRDefault="00D83E29" w:rsidP="00D83E29">
            <w:pPr>
              <w:spacing w:after="0" w:line="240" w:lineRule="auto"/>
              <w:rPr>
                <w:rFonts w:ascii="Times New Roman" w:eastAsia="Times New Roman" w:hAnsi="Times New Roman" w:cs="Times New Roman"/>
                <w:sz w:val="20"/>
                <w:szCs w:val="20"/>
              </w:rPr>
            </w:pPr>
          </w:p>
        </w:tc>
        <w:tc>
          <w:tcPr>
            <w:tcW w:w="2097" w:type="dxa"/>
            <w:tcBorders>
              <w:top w:val="nil"/>
              <w:left w:val="nil"/>
              <w:bottom w:val="nil"/>
              <w:right w:val="nil"/>
            </w:tcBorders>
            <w:shd w:val="clear" w:color="auto" w:fill="auto"/>
            <w:noWrap/>
            <w:vAlign w:val="bottom"/>
            <w:hideMark/>
          </w:tcPr>
          <w:p w14:paraId="3D2DD6BD"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79859ED7" w14:textId="77777777" w:rsidTr="00A543D9">
        <w:trPr>
          <w:trHeight w:val="310"/>
          <w:jc w:val="center"/>
        </w:trPr>
        <w:tc>
          <w:tcPr>
            <w:tcW w:w="6210" w:type="dxa"/>
            <w:tcBorders>
              <w:top w:val="nil"/>
              <w:left w:val="nil"/>
              <w:bottom w:val="nil"/>
              <w:right w:val="nil"/>
            </w:tcBorders>
            <w:shd w:val="clear" w:color="000000" w:fill="FFFFFF"/>
            <w:noWrap/>
            <w:vAlign w:val="bottom"/>
            <w:hideMark/>
          </w:tcPr>
          <w:p w14:paraId="1F89A2D2"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Network Service Rate</w:t>
            </w:r>
          </w:p>
        </w:tc>
        <w:tc>
          <w:tcPr>
            <w:tcW w:w="357" w:type="dxa"/>
            <w:tcBorders>
              <w:top w:val="nil"/>
              <w:left w:val="nil"/>
              <w:bottom w:val="nil"/>
              <w:right w:val="nil"/>
            </w:tcBorders>
            <w:shd w:val="clear" w:color="000000" w:fill="FFFFFF"/>
            <w:noWrap/>
            <w:vAlign w:val="bottom"/>
            <w:hideMark/>
          </w:tcPr>
          <w:p w14:paraId="7E3819EB" w14:textId="77777777" w:rsidR="00D83E29" w:rsidRPr="00D83E29" w:rsidRDefault="00D83E29" w:rsidP="00D83E29">
            <w:pPr>
              <w:spacing w:after="0" w:line="240" w:lineRule="auto"/>
              <w:jc w:val="center"/>
              <w:rPr>
                <w:rFonts w:ascii="Arial" w:eastAsia="Times New Roman" w:hAnsi="Arial" w:cs="Arial"/>
                <w:sz w:val="24"/>
                <w:szCs w:val="24"/>
              </w:rPr>
            </w:pPr>
            <w:r w:rsidRPr="00D83E29">
              <w:rPr>
                <w:rFonts w:ascii="Arial" w:eastAsia="Times New Roman" w:hAnsi="Arial" w:cs="Arial"/>
                <w:sz w:val="24"/>
                <w:szCs w:val="24"/>
              </w:rPr>
              <w:t>kW</w:t>
            </w:r>
          </w:p>
        </w:tc>
        <w:tc>
          <w:tcPr>
            <w:tcW w:w="336" w:type="dxa"/>
            <w:tcBorders>
              <w:top w:val="nil"/>
              <w:left w:val="nil"/>
              <w:bottom w:val="nil"/>
              <w:right w:val="nil"/>
            </w:tcBorders>
            <w:shd w:val="clear" w:color="000000" w:fill="FFFFFF"/>
            <w:noWrap/>
            <w:vAlign w:val="bottom"/>
            <w:hideMark/>
          </w:tcPr>
          <w:p w14:paraId="49473F16"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EBF1DE"/>
            <w:noWrap/>
            <w:vAlign w:val="bottom"/>
            <w:hideMark/>
          </w:tcPr>
          <w:p w14:paraId="4D4C0C6D"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xml:space="preserve"> $            4.6545 </w:t>
            </w:r>
          </w:p>
        </w:tc>
      </w:tr>
      <w:tr w:rsidR="00D83E29" w:rsidRPr="00D83E29" w14:paraId="69464CA9" w14:textId="77777777" w:rsidTr="00A543D9">
        <w:trPr>
          <w:trHeight w:val="300"/>
          <w:jc w:val="center"/>
        </w:trPr>
        <w:tc>
          <w:tcPr>
            <w:tcW w:w="6210" w:type="dxa"/>
            <w:tcBorders>
              <w:top w:val="nil"/>
              <w:left w:val="nil"/>
              <w:bottom w:val="nil"/>
              <w:right w:val="nil"/>
            </w:tcBorders>
            <w:shd w:val="clear" w:color="000000" w:fill="FFFFFF"/>
            <w:noWrap/>
            <w:vAlign w:val="bottom"/>
            <w:hideMark/>
          </w:tcPr>
          <w:p w14:paraId="162B97DE"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57" w:type="dxa"/>
            <w:tcBorders>
              <w:top w:val="nil"/>
              <w:left w:val="nil"/>
              <w:bottom w:val="nil"/>
              <w:right w:val="nil"/>
            </w:tcBorders>
            <w:shd w:val="clear" w:color="000000" w:fill="FFFFFF"/>
            <w:noWrap/>
            <w:vAlign w:val="bottom"/>
            <w:hideMark/>
          </w:tcPr>
          <w:p w14:paraId="216DD992"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36" w:type="dxa"/>
            <w:tcBorders>
              <w:top w:val="nil"/>
              <w:left w:val="nil"/>
              <w:bottom w:val="nil"/>
              <w:right w:val="nil"/>
            </w:tcBorders>
            <w:shd w:val="clear" w:color="000000" w:fill="FFFFFF"/>
            <w:noWrap/>
            <w:vAlign w:val="bottom"/>
            <w:hideMark/>
          </w:tcPr>
          <w:p w14:paraId="0E40792E"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2097" w:type="dxa"/>
            <w:tcBorders>
              <w:top w:val="nil"/>
              <w:left w:val="nil"/>
              <w:bottom w:val="nil"/>
              <w:right w:val="nil"/>
            </w:tcBorders>
            <w:shd w:val="clear" w:color="000000" w:fill="FFFFFF"/>
            <w:noWrap/>
            <w:vAlign w:val="bottom"/>
            <w:hideMark/>
          </w:tcPr>
          <w:p w14:paraId="5A758398"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w:t>
            </w:r>
          </w:p>
        </w:tc>
      </w:tr>
      <w:tr w:rsidR="00D83E29" w:rsidRPr="00D83E29" w14:paraId="1394BE2A" w14:textId="77777777" w:rsidTr="00A543D9">
        <w:trPr>
          <w:trHeight w:val="310"/>
          <w:jc w:val="center"/>
        </w:trPr>
        <w:tc>
          <w:tcPr>
            <w:tcW w:w="6210" w:type="dxa"/>
            <w:tcBorders>
              <w:top w:val="nil"/>
              <w:left w:val="nil"/>
              <w:bottom w:val="nil"/>
              <w:right w:val="nil"/>
            </w:tcBorders>
            <w:shd w:val="clear" w:color="000000" w:fill="FFFFFF"/>
            <w:noWrap/>
            <w:vAlign w:val="bottom"/>
            <w:hideMark/>
          </w:tcPr>
          <w:p w14:paraId="48F7E58E"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Line Connection Service Rate</w:t>
            </w:r>
          </w:p>
        </w:tc>
        <w:tc>
          <w:tcPr>
            <w:tcW w:w="357" w:type="dxa"/>
            <w:tcBorders>
              <w:top w:val="nil"/>
              <w:left w:val="nil"/>
              <w:bottom w:val="nil"/>
              <w:right w:val="nil"/>
            </w:tcBorders>
            <w:shd w:val="clear" w:color="000000" w:fill="FFFFFF"/>
            <w:noWrap/>
            <w:vAlign w:val="bottom"/>
            <w:hideMark/>
          </w:tcPr>
          <w:p w14:paraId="692E6395" w14:textId="77777777" w:rsidR="00D83E29" w:rsidRPr="00D83E29" w:rsidRDefault="00D83E29" w:rsidP="00D83E29">
            <w:pPr>
              <w:spacing w:after="0" w:line="240" w:lineRule="auto"/>
              <w:jc w:val="center"/>
              <w:rPr>
                <w:rFonts w:ascii="Arial" w:eastAsia="Times New Roman" w:hAnsi="Arial" w:cs="Arial"/>
                <w:sz w:val="24"/>
                <w:szCs w:val="24"/>
              </w:rPr>
            </w:pPr>
            <w:r w:rsidRPr="00D83E29">
              <w:rPr>
                <w:rFonts w:ascii="Arial" w:eastAsia="Times New Roman" w:hAnsi="Arial" w:cs="Arial"/>
                <w:sz w:val="24"/>
                <w:szCs w:val="24"/>
              </w:rPr>
              <w:t>kW</w:t>
            </w:r>
          </w:p>
        </w:tc>
        <w:tc>
          <w:tcPr>
            <w:tcW w:w="336" w:type="dxa"/>
            <w:tcBorders>
              <w:top w:val="nil"/>
              <w:left w:val="nil"/>
              <w:bottom w:val="nil"/>
              <w:right w:val="nil"/>
            </w:tcBorders>
            <w:shd w:val="clear" w:color="000000" w:fill="FFFFFF"/>
            <w:noWrap/>
            <w:vAlign w:val="bottom"/>
            <w:hideMark/>
          </w:tcPr>
          <w:p w14:paraId="33AF33A8"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EBF1DE"/>
            <w:noWrap/>
            <w:vAlign w:val="bottom"/>
            <w:hideMark/>
          </w:tcPr>
          <w:p w14:paraId="635D766A"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xml:space="preserve"> $            0.6056 </w:t>
            </w:r>
          </w:p>
        </w:tc>
      </w:tr>
      <w:tr w:rsidR="00D83E29" w:rsidRPr="00D83E29" w14:paraId="4FB722AD" w14:textId="77777777" w:rsidTr="00A543D9">
        <w:trPr>
          <w:trHeight w:val="300"/>
          <w:jc w:val="center"/>
        </w:trPr>
        <w:tc>
          <w:tcPr>
            <w:tcW w:w="6210" w:type="dxa"/>
            <w:tcBorders>
              <w:top w:val="nil"/>
              <w:left w:val="nil"/>
              <w:bottom w:val="nil"/>
              <w:right w:val="nil"/>
            </w:tcBorders>
            <w:shd w:val="clear" w:color="000000" w:fill="FFFFFF"/>
            <w:noWrap/>
            <w:vAlign w:val="bottom"/>
            <w:hideMark/>
          </w:tcPr>
          <w:p w14:paraId="4C501C30"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57" w:type="dxa"/>
            <w:tcBorders>
              <w:top w:val="nil"/>
              <w:left w:val="nil"/>
              <w:bottom w:val="nil"/>
              <w:right w:val="nil"/>
            </w:tcBorders>
            <w:shd w:val="clear" w:color="000000" w:fill="FFFFFF"/>
            <w:noWrap/>
            <w:vAlign w:val="bottom"/>
            <w:hideMark/>
          </w:tcPr>
          <w:p w14:paraId="3856297E"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36" w:type="dxa"/>
            <w:tcBorders>
              <w:top w:val="nil"/>
              <w:left w:val="nil"/>
              <w:bottom w:val="nil"/>
              <w:right w:val="nil"/>
            </w:tcBorders>
            <w:shd w:val="clear" w:color="000000" w:fill="FFFFFF"/>
            <w:noWrap/>
            <w:vAlign w:val="bottom"/>
            <w:hideMark/>
          </w:tcPr>
          <w:p w14:paraId="5C828842"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2097" w:type="dxa"/>
            <w:tcBorders>
              <w:top w:val="nil"/>
              <w:left w:val="nil"/>
              <w:bottom w:val="nil"/>
              <w:right w:val="nil"/>
            </w:tcBorders>
            <w:shd w:val="clear" w:color="000000" w:fill="FFFFFF"/>
            <w:noWrap/>
            <w:vAlign w:val="bottom"/>
            <w:hideMark/>
          </w:tcPr>
          <w:p w14:paraId="16B242BE"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w:t>
            </w:r>
          </w:p>
        </w:tc>
      </w:tr>
      <w:tr w:rsidR="00D83E29" w:rsidRPr="00D83E29" w14:paraId="68D14546" w14:textId="77777777" w:rsidTr="00A543D9">
        <w:trPr>
          <w:trHeight w:val="310"/>
          <w:jc w:val="center"/>
        </w:trPr>
        <w:tc>
          <w:tcPr>
            <w:tcW w:w="6210" w:type="dxa"/>
            <w:tcBorders>
              <w:top w:val="nil"/>
              <w:left w:val="nil"/>
              <w:bottom w:val="nil"/>
              <w:right w:val="nil"/>
            </w:tcBorders>
            <w:shd w:val="clear" w:color="000000" w:fill="FFFFFF"/>
            <w:noWrap/>
            <w:vAlign w:val="bottom"/>
            <w:hideMark/>
          </w:tcPr>
          <w:p w14:paraId="3FBA34C5"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Transformation Connection Service Rate</w:t>
            </w:r>
          </w:p>
        </w:tc>
        <w:tc>
          <w:tcPr>
            <w:tcW w:w="357" w:type="dxa"/>
            <w:tcBorders>
              <w:top w:val="nil"/>
              <w:left w:val="nil"/>
              <w:bottom w:val="nil"/>
              <w:right w:val="nil"/>
            </w:tcBorders>
            <w:shd w:val="clear" w:color="000000" w:fill="FFFFFF"/>
            <w:noWrap/>
            <w:vAlign w:val="bottom"/>
            <w:hideMark/>
          </w:tcPr>
          <w:p w14:paraId="65872EF3" w14:textId="77777777" w:rsidR="00D83E29" w:rsidRPr="00D83E29" w:rsidRDefault="00D83E29" w:rsidP="00D83E29">
            <w:pPr>
              <w:spacing w:after="0" w:line="240" w:lineRule="auto"/>
              <w:jc w:val="center"/>
              <w:rPr>
                <w:rFonts w:ascii="Arial" w:eastAsia="Times New Roman" w:hAnsi="Arial" w:cs="Arial"/>
                <w:sz w:val="24"/>
                <w:szCs w:val="24"/>
              </w:rPr>
            </w:pPr>
            <w:r w:rsidRPr="00D83E29">
              <w:rPr>
                <w:rFonts w:ascii="Arial" w:eastAsia="Times New Roman" w:hAnsi="Arial" w:cs="Arial"/>
                <w:sz w:val="24"/>
                <w:szCs w:val="24"/>
              </w:rPr>
              <w:t>kW</w:t>
            </w:r>
          </w:p>
        </w:tc>
        <w:tc>
          <w:tcPr>
            <w:tcW w:w="336" w:type="dxa"/>
            <w:tcBorders>
              <w:top w:val="nil"/>
              <w:left w:val="nil"/>
              <w:bottom w:val="nil"/>
              <w:right w:val="nil"/>
            </w:tcBorders>
            <w:shd w:val="clear" w:color="000000" w:fill="FFFFFF"/>
            <w:noWrap/>
            <w:vAlign w:val="bottom"/>
            <w:hideMark/>
          </w:tcPr>
          <w:p w14:paraId="0E2101C3"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EBF1DE"/>
            <w:noWrap/>
            <w:vAlign w:val="bottom"/>
            <w:hideMark/>
          </w:tcPr>
          <w:p w14:paraId="234D5562"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xml:space="preserve"> $            2.8924 </w:t>
            </w:r>
          </w:p>
        </w:tc>
      </w:tr>
      <w:tr w:rsidR="00D83E29" w:rsidRPr="00D83E29" w14:paraId="7512DA05" w14:textId="77777777" w:rsidTr="00A543D9">
        <w:trPr>
          <w:trHeight w:val="300"/>
          <w:jc w:val="center"/>
        </w:trPr>
        <w:tc>
          <w:tcPr>
            <w:tcW w:w="6210" w:type="dxa"/>
            <w:tcBorders>
              <w:top w:val="nil"/>
              <w:left w:val="nil"/>
              <w:bottom w:val="nil"/>
              <w:right w:val="nil"/>
            </w:tcBorders>
            <w:shd w:val="clear" w:color="000000" w:fill="FFFFFF"/>
            <w:noWrap/>
            <w:vAlign w:val="bottom"/>
            <w:hideMark/>
          </w:tcPr>
          <w:p w14:paraId="3F5B82DE"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57" w:type="dxa"/>
            <w:tcBorders>
              <w:top w:val="nil"/>
              <w:left w:val="nil"/>
              <w:bottom w:val="nil"/>
              <w:right w:val="nil"/>
            </w:tcBorders>
            <w:shd w:val="clear" w:color="000000" w:fill="FFFFFF"/>
            <w:noWrap/>
            <w:vAlign w:val="bottom"/>
            <w:hideMark/>
          </w:tcPr>
          <w:p w14:paraId="34B862D4"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336" w:type="dxa"/>
            <w:tcBorders>
              <w:top w:val="nil"/>
              <w:left w:val="nil"/>
              <w:bottom w:val="nil"/>
              <w:right w:val="nil"/>
            </w:tcBorders>
            <w:shd w:val="clear" w:color="000000" w:fill="FFFFFF"/>
            <w:noWrap/>
            <w:vAlign w:val="bottom"/>
            <w:hideMark/>
          </w:tcPr>
          <w:p w14:paraId="20B4333D"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 </w:t>
            </w:r>
          </w:p>
        </w:tc>
        <w:tc>
          <w:tcPr>
            <w:tcW w:w="2097" w:type="dxa"/>
            <w:tcBorders>
              <w:top w:val="nil"/>
              <w:left w:val="nil"/>
              <w:bottom w:val="nil"/>
              <w:right w:val="nil"/>
            </w:tcBorders>
            <w:shd w:val="clear" w:color="000000" w:fill="FFFFFF"/>
            <w:noWrap/>
            <w:vAlign w:val="bottom"/>
            <w:hideMark/>
          </w:tcPr>
          <w:p w14:paraId="3C1E64EE"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w:t>
            </w:r>
          </w:p>
        </w:tc>
      </w:tr>
      <w:tr w:rsidR="00D83E29" w:rsidRPr="00D83E29" w14:paraId="1AC25D1B" w14:textId="77777777" w:rsidTr="00A543D9">
        <w:trPr>
          <w:trHeight w:val="310"/>
          <w:jc w:val="center"/>
        </w:trPr>
        <w:tc>
          <w:tcPr>
            <w:tcW w:w="6210" w:type="dxa"/>
            <w:tcBorders>
              <w:top w:val="nil"/>
              <w:left w:val="nil"/>
              <w:bottom w:val="nil"/>
              <w:right w:val="nil"/>
            </w:tcBorders>
            <w:shd w:val="clear" w:color="000000" w:fill="FFFFFF"/>
            <w:noWrap/>
            <w:vAlign w:val="bottom"/>
            <w:hideMark/>
          </w:tcPr>
          <w:p w14:paraId="6F42F0AB" w14:textId="77777777" w:rsidR="00D83E29" w:rsidRPr="00D83E29" w:rsidRDefault="00D83E29" w:rsidP="00D83E29">
            <w:pPr>
              <w:spacing w:after="0" w:line="240" w:lineRule="auto"/>
              <w:rPr>
                <w:rFonts w:ascii="Arial" w:eastAsia="Times New Roman" w:hAnsi="Arial" w:cs="Arial"/>
                <w:color w:val="000000"/>
                <w:sz w:val="24"/>
                <w:szCs w:val="24"/>
              </w:rPr>
            </w:pPr>
            <w:r w:rsidRPr="00D83E29">
              <w:rPr>
                <w:rFonts w:ascii="Arial" w:eastAsia="Times New Roman" w:hAnsi="Arial" w:cs="Arial"/>
                <w:color w:val="000000"/>
                <w:sz w:val="24"/>
                <w:szCs w:val="24"/>
              </w:rPr>
              <w:t>Both Line and Transformation Connection Service Rate</w:t>
            </w:r>
          </w:p>
        </w:tc>
        <w:tc>
          <w:tcPr>
            <w:tcW w:w="357" w:type="dxa"/>
            <w:tcBorders>
              <w:top w:val="nil"/>
              <w:left w:val="nil"/>
              <w:bottom w:val="nil"/>
              <w:right w:val="nil"/>
            </w:tcBorders>
            <w:shd w:val="clear" w:color="000000" w:fill="FFFFFF"/>
            <w:noWrap/>
            <w:vAlign w:val="bottom"/>
            <w:hideMark/>
          </w:tcPr>
          <w:p w14:paraId="7617BDE3" w14:textId="77777777" w:rsidR="00D83E29" w:rsidRPr="00D83E29" w:rsidRDefault="00D83E29" w:rsidP="00D83E29">
            <w:pPr>
              <w:spacing w:after="0" w:line="240" w:lineRule="auto"/>
              <w:jc w:val="center"/>
              <w:rPr>
                <w:rFonts w:ascii="Arial" w:eastAsia="Times New Roman" w:hAnsi="Arial" w:cs="Arial"/>
                <w:sz w:val="24"/>
                <w:szCs w:val="24"/>
              </w:rPr>
            </w:pPr>
            <w:r w:rsidRPr="00D83E29">
              <w:rPr>
                <w:rFonts w:ascii="Arial" w:eastAsia="Times New Roman" w:hAnsi="Arial" w:cs="Arial"/>
                <w:sz w:val="24"/>
                <w:szCs w:val="24"/>
              </w:rPr>
              <w:t>kW</w:t>
            </w:r>
          </w:p>
        </w:tc>
        <w:tc>
          <w:tcPr>
            <w:tcW w:w="336" w:type="dxa"/>
            <w:tcBorders>
              <w:top w:val="nil"/>
              <w:left w:val="nil"/>
              <w:bottom w:val="nil"/>
              <w:right w:val="nil"/>
            </w:tcBorders>
            <w:shd w:val="clear" w:color="000000" w:fill="FFFFFF"/>
            <w:noWrap/>
            <w:vAlign w:val="bottom"/>
            <w:hideMark/>
          </w:tcPr>
          <w:p w14:paraId="07DCB1B8" w14:textId="77777777" w:rsidR="00D83E29" w:rsidRPr="00D83E29" w:rsidRDefault="00D83E29" w:rsidP="00D83E29">
            <w:pPr>
              <w:spacing w:after="0" w:line="240" w:lineRule="auto"/>
              <w:rPr>
                <w:rFonts w:ascii="Arial" w:eastAsia="Times New Roman" w:hAnsi="Arial" w:cs="Arial"/>
                <w:sz w:val="24"/>
                <w:szCs w:val="24"/>
              </w:rPr>
            </w:pPr>
            <w:r w:rsidRPr="00D83E29">
              <w:rPr>
                <w:rFonts w:ascii="Arial" w:eastAsia="Times New Roman" w:hAnsi="Arial" w:cs="Arial"/>
                <w:sz w:val="24"/>
                <w:szCs w:val="24"/>
              </w:rPr>
              <w:t> </w:t>
            </w:r>
          </w:p>
        </w:tc>
        <w:tc>
          <w:tcPr>
            <w:tcW w:w="2097" w:type="dxa"/>
            <w:tcBorders>
              <w:top w:val="nil"/>
              <w:left w:val="nil"/>
              <w:bottom w:val="nil"/>
              <w:right w:val="nil"/>
            </w:tcBorders>
            <w:shd w:val="clear" w:color="000000" w:fill="EBF1DE"/>
            <w:noWrap/>
            <w:vAlign w:val="bottom"/>
            <w:hideMark/>
          </w:tcPr>
          <w:p w14:paraId="389A83E3" w14:textId="77777777" w:rsidR="00D83E29" w:rsidRPr="00D83E29" w:rsidRDefault="00D83E29" w:rsidP="00D83E29">
            <w:pPr>
              <w:spacing w:after="0" w:line="240" w:lineRule="auto"/>
              <w:rPr>
                <w:rFonts w:ascii="Arial" w:eastAsia="Times New Roman" w:hAnsi="Arial" w:cs="Arial"/>
                <w:b/>
                <w:bCs/>
                <w:sz w:val="24"/>
                <w:szCs w:val="24"/>
              </w:rPr>
            </w:pPr>
            <w:r w:rsidRPr="00D83E29">
              <w:rPr>
                <w:rFonts w:ascii="Arial" w:eastAsia="Times New Roman" w:hAnsi="Arial" w:cs="Arial"/>
                <w:b/>
                <w:bCs/>
                <w:sz w:val="24"/>
                <w:szCs w:val="24"/>
              </w:rPr>
              <w:t xml:space="preserve"> $            3.4980 </w:t>
            </w:r>
          </w:p>
        </w:tc>
      </w:tr>
    </w:tbl>
    <w:p w14:paraId="3C56F6E0" w14:textId="77777777" w:rsidR="00756B7F" w:rsidRPr="00D83E29" w:rsidRDefault="00756B7F" w:rsidP="00D83E29">
      <w:pPr>
        <w:rPr>
          <w:rFonts w:ascii="Arial" w:hAnsi="Arial" w:cs="Arial"/>
          <w:sz w:val="24"/>
          <w:szCs w:val="24"/>
        </w:rPr>
      </w:pPr>
    </w:p>
    <w:p w14:paraId="3620D0AD" w14:textId="3C32B795" w:rsidR="00492E56" w:rsidRPr="00512503" w:rsidRDefault="00492E56" w:rsidP="00492E56">
      <w:pPr>
        <w:rPr>
          <w:rFonts w:ascii="Arial" w:hAnsi="Arial" w:cs="Arial"/>
          <w:b/>
          <w:bCs/>
          <w:sz w:val="24"/>
          <w:szCs w:val="24"/>
        </w:rPr>
      </w:pPr>
      <w:r w:rsidRPr="00512503">
        <w:rPr>
          <w:rFonts w:ascii="Arial" w:hAnsi="Arial" w:cs="Arial"/>
          <w:b/>
          <w:bCs/>
          <w:sz w:val="24"/>
          <w:szCs w:val="24"/>
        </w:rPr>
        <w:lastRenderedPageBreak/>
        <w:t>Staff-</w:t>
      </w:r>
      <w:r>
        <w:rPr>
          <w:rFonts w:ascii="Arial" w:hAnsi="Arial" w:cs="Arial"/>
          <w:b/>
          <w:bCs/>
          <w:sz w:val="24"/>
          <w:szCs w:val="24"/>
        </w:rPr>
        <w:t>3</w:t>
      </w:r>
    </w:p>
    <w:p w14:paraId="7905420D" w14:textId="25E2A320" w:rsidR="00D83E29" w:rsidRPr="00D83E29" w:rsidRDefault="00D83E29" w:rsidP="00492E56">
      <w:pPr>
        <w:rPr>
          <w:rFonts w:ascii="Arial" w:hAnsi="Arial" w:cs="Arial"/>
          <w:b/>
          <w:bCs/>
          <w:sz w:val="24"/>
          <w:szCs w:val="24"/>
        </w:rPr>
      </w:pPr>
      <w:r w:rsidRPr="00D83E29">
        <w:rPr>
          <w:rFonts w:ascii="Arial" w:hAnsi="Arial" w:cs="Arial"/>
          <w:b/>
          <w:bCs/>
          <w:sz w:val="24"/>
          <w:szCs w:val="24"/>
        </w:rPr>
        <w:t>Ref: Rate Generator Model, Tab 17. Regulatory Charges</w:t>
      </w:r>
      <w:r>
        <w:rPr>
          <w:rFonts w:ascii="Arial" w:hAnsi="Arial" w:cs="Arial"/>
          <w:b/>
          <w:bCs/>
          <w:sz w:val="24"/>
          <w:szCs w:val="24"/>
        </w:rPr>
        <w:t>, Cells E15 to E17</w:t>
      </w:r>
    </w:p>
    <w:p w14:paraId="23F25A96" w14:textId="4C35C0F5" w:rsidR="00492E56" w:rsidRDefault="00492E56" w:rsidP="00492E56">
      <w:pPr>
        <w:rPr>
          <w:rFonts w:ascii="Arial" w:hAnsi="Arial" w:cs="Arial"/>
          <w:sz w:val="24"/>
          <w:szCs w:val="24"/>
        </w:rPr>
      </w:pPr>
      <w:r w:rsidRPr="00512503">
        <w:rPr>
          <w:rFonts w:ascii="Arial" w:hAnsi="Arial" w:cs="Arial"/>
          <w:sz w:val="24"/>
          <w:szCs w:val="24"/>
        </w:rPr>
        <w:t xml:space="preserve">Preamble: </w:t>
      </w:r>
    </w:p>
    <w:p w14:paraId="4538593C" w14:textId="71988F01" w:rsidR="00D83E29" w:rsidRPr="00512503" w:rsidRDefault="00D83E29" w:rsidP="00492E56">
      <w:pPr>
        <w:rPr>
          <w:rFonts w:ascii="Arial" w:hAnsi="Arial" w:cs="Arial"/>
          <w:sz w:val="24"/>
          <w:szCs w:val="24"/>
        </w:rPr>
      </w:pPr>
      <w:r>
        <w:rPr>
          <w:rFonts w:ascii="Arial" w:hAnsi="Arial" w:cs="Arial"/>
          <w:sz w:val="24"/>
          <w:szCs w:val="24"/>
        </w:rPr>
        <w:t xml:space="preserve">The data in the reference are based on regulatory charges in January 1, 2022. </w:t>
      </w:r>
    </w:p>
    <w:p w14:paraId="7D214C3F" w14:textId="77777777" w:rsidR="00D83E29" w:rsidRDefault="00D83E29" w:rsidP="00492E56">
      <w:pPr>
        <w:rPr>
          <w:rFonts w:ascii="Arial" w:hAnsi="Arial" w:cs="Arial"/>
          <w:sz w:val="24"/>
          <w:szCs w:val="24"/>
        </w:rPr>
      </w:pPr>
      <w:r>
        <w:rPr>
          <w:rFonts w:ascii="Arial" w:hAnsi="Arial" w:cs="Arial"/>
          <w:sz w:val="24"/>
          <w:szCs w:val="24"/>
        </w:rPr>
        <w:t>Question:</w:t>
      </w:r>
    </w:p>
    <w:p w14:paraId="6C292CD1" w14:textId="55629BA7" w:rsidR="00D83E29" w:rsidRPr="00A543D9" w:rsidRDefault="00D83E29" w:rsidP="00A543D9">
      <w:pPr>
        <w:pStyle w:val="ListParagraph"/>
        <w:numPr>
          <w:ilvl w:val="0"/>
          <w:numId w:val="6"/>
        </w:numPr>
        <w:rPr>
          <w:rFonts w:ascii="Arial" w:hAnsi="Arial" w:cs="Arial"/>
          <w:sz w:val="24"/>
          <w:szCs w:val="24"/>
        </w:rPr>
      </w:pPr>
      <w:r w:rsidRPr="00D83E29">
        <w:rPr>
          <w:rFonts w:ascii="Arial" w:hAnsi="Arial" w:cs="Arial"/>
          <w:sz w:val="24"/>
          <w:szCs w:val="24"/>
        </w:rPr>
        <w:t>OEB staff has updated</w:t>
      </w:r>
      <w:r>
        <w:rPr>
          <w:rFonts w:ascii="Arial" w:hAnsi="Arial" w:cs="Arial"/>
          <w:sz w:val="24"/>
          <w:szCs w:val="24"/>
        </w:rPr>
        <w:t xml:space="preserve"> the regulatory charges in the reference to reflect the </w:t>
      </w:r>
      <w:r w:rsidR="00343093">
        <w:rPr>
          <w:rFonts w:ascii="Arial" w:hAnsi="Arial" w:cs="Arial"/>
          <w:sz w:val="24"/>
          <w:szCs w:val="24"/>
        </w:rPr>
        <w:t xml:space="preserve">regulatory charges effective </w:t>
      </w:r>
      <w:r>
        <w:rPr>
          <w:rFonts w:ascii="Arial" w:hAnsi="Arial" w:cs="Arial"/>
          <w:sz w:val="24"/>
          <w:szCs w:val="24"/>
        </w:rPr>
        <w:t xml:space="preserve">January 1, 2023 as shown below. Please confirm that the Rate Generator Model attached to these staff questions reflect these updates. </w:t>
      </w:r>
    </w:p>
    <w:tbl>
      <w:tblPr>
        <w:tblW w:w="8460" w:type="dxa"/>
        <w:jc w:val="center"/>
        <w:tblLook w:val="04A0" w:firstRow="1" w:lastRow="0" w:firstColumn="1" w:lastColumn="0" w:noHBand="0" w:noVBand="1"/>
      </w:tblPr>
      <w:tblGrid>
        <w:gridCol w:w="6316"/>
        <w:gridCol w:w="783"/>
        <w:gridCol w:w="1361"/>
      </w:tblGrid>
      <w:tr w:rsidR="00D83E29" w:rsidRPr="00D83E29" w14:paraId="6C3BCCFC" w14:textId="77777777" w:rsidTr="00A543D9">
        <w:trPr>
          <w:trHeight w:val="315"/>
          <w:jc w:val="center"/>
        </w:trPr>
        <w:tc>
          <w:tcPr>
            <w:tcW w:w="6316" w:type="dxa"/>
            <w:tcBorders>
              <w:top w:val="nil"/>
              <w:left w:val="nil"/>
              <w:bottom w:val="nil"/>
              <w:right w:val="nil"/>
            </w:tcBorders>
            <w:shd w:val="clear" w:color="auto" w:fill="auto"/>
            <w:noWrap/>
            <w:vAlign w:val="bottom"/>
            <w:hideMark/>
          </w:tcPr>
          <w:p w14:paraId="4A2C93B7" w14:textId="77777777" w:rsidR="00D83E29" w:rsidRPr="00D83E29" w:rsidRDefault="00D83E29" w:rsidP="00D83E29">
            <w:pPr>
              <w:spacing w:after="0" w:line="240" w:lineRule="auto"/>
              <w:rPr>
                <w:rFonts w:ascii="Calibri" w:eastAsia="Times New Roman" w:hAnsi="Calibri" w:cs="Calibri"/>
                <w:b/>
                <w:bCs/>
                <w:color w:val="000000"/>
              </w:rPr>
            </w:pPr>
            <w:r w:rsidRPr="00D83E29">
              <w:rPr>
                <w:rFonts w:ascii="Calibri" w:eastAsia="Times New Roman" w:hAnsi="Calibri" w:cs="Calibri"/>
                <w:b/>
                <w:bCs/>
                <w:color w:val="000000"/>
              </w:rPr>
              <w:t>Regulatory Charges</w:t>
            </w:r>
          </w:p>
        </w:tc>
        <w:tc>
          <w:tcPr>
            <w:tcW w:w="783" w:type="dxa"/>
            <w:tcBorders>
              <w:top w:val="nil"/>
              <w:left w:val="nil"/>
              <w:bottom w:val="nil"/>
              <w:right w:val="nil"/>
            </w:tcBorders>
            <w:shd w:val="clear" w:color="auto" w:fill="auto"/>
            <w:noWrap/>
            <w:vAlign w:val="bottom"/>
            <w:hideMark/>
          </w:tcPr>
          <w:p w14:paraId="2B2BACDF" w14:textId="77777777" w:rsidR="00D83E29" w:rsidRPr="00D83E29" w:rsidRDefault="00D83E29" w:rsidP="00D83E29">
            <w:pPr>
              <w:spacing w:after="0" w:line="240" w:lineRule="auto"/>
              <w:rPr>
                <w:rFonts w:ascii="Calibri" w:eastAsia="Times New Roman" w:hAnsi="Calibri" w:cs="Calibri"/>
                <w:b/>
                <w:bCs/>
                <w:color w:val="000000"/>
              </w:rPr>
            </w:pPr>
          </w:p>
        </w:tc>
        <w:tc>
          <w:tcPr>
            <w:tcW w:w="1361" w:type="dxa"/>
            <w:tcBorders>
              <w:top w:val="nil"/>
              <w:left w:val="nil"/>
              <w:bottom w:val="nil"/>
              <w:right w:val="nil"/>
            </w:tcBorders>
            <w:shd w:val="clear" w:color="auto" w:fill="auto"/>
            <w:noWrap/>
            <w:vAlign w:val="bottom"/>
            <w:hideMark/>
          </w:tcPr>
          <w:p w14:paraId="4E9CB0E9" w14:textId="77777777" w:rsidR="00D83E29" w:rsidRPr="00D83E29" w:rsidRDefault="00D83E29" w:rsidP="00D83E29">
            <w:pPr>
              <w:spacing w:after="0" w:line="240" w:lineRule="auto"/>
              <w:rPr>
                <w:rFonts w:ascii="Times New Roman" w:eastAsia="Times New Roman" w:hAnsi="Times New Roman" w:cs="Times New Roman"/>
                <w:sz w:val="20"/>
                <w:szCs w:val="20"/>
              </w:rPr>
            </w:pPr>
          </w:p>
        </w:tc>
      </w:tr>
      <w:tr w:rsidR="00D83E29" w:rsidRPr="00D83E29" w14:paraId="0F60E26A" w14:textId="77777777" w:rsidTr="00A543D9">
        <w:trPr>
          <w:trHeight w:val="525"/>
          <w:jc w:val="center"/>
        </w:trPr>
        <w:tc>
          <w:tcPr>
            <w:tcW w:w="63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33C06E" w14:textId="77777777" w:rsidR="00D83E29" w:rsidRPr="00D83E29" w:rsidRDefault="00D83E29" w:rsidP="00D83E29">
            <w:pPr>
              <w:spacing w:after="0" w:line="240" w:lineRule="auto"/>
              <w:rPr>
                <w:rFonts w:ascii="Arial" w:eastAsia="Times New Roman" w:hAnsi="Arial" w:cs="Arial"/>
                <w:b/>
                <w:bCs/>
                <w:color w:val="000000"/>
                <w:sz w:val="20"/>
                <w:szCs w:val="20"/>
              </w:rPr>
            </w:pPr>
            <w:r w:rsidRPr="00D83E29">
              <w:rPr>
                <w:rFonts w:ascii="Arial" w:eastAsia="Times New Roman" w:hAnsi="Arial" w:cs="Arial"/>
                <w:b/>
                <w:bCs/>
                <w:color w:val="000000"/>
                <w:sz w:val="20"/>
                <w:szCs w:val="20"/>
              </w:rPr>
              <w:t>Effective Date of Regulatory Charges</w:t>
            </w:r>
          </w:p>
        </w:tc>
        <w:tc>
          <w:tcPr>
            <w:tcW w:w="78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56A108E" w14:textId="77777777" w:rsidR="00D83E29" w:rsidRPr="00D83E29" w:rsidRDefault="00D83E29" w:rsidP="00D83E29">
            <w:pPr>
              <w:spacing w:after="0" w:line="240" w:lineRule="auto"/>
              <w:rPr>
                <w:rFonts w:ascii="Calibri" w:eastAsia="Times New Roman" w:hAnsi="Calibri" w:cs="Calibri"/>
                <w:color w:val="000000"/>
              </w:rPr>
            </w:pPr>
            <w:r w:rsidRPr="00D83E29">
              <w:rPr>
                <w:rFonts w:ascii="Calibri" w:eastAsia="Times New Roman" w:hAnsi="Calibri" w:cs="Calibri"/>
                <w:color w:val="000000"/>
              </w:rPr>
              <w:t> </w:t>
            </w:r>
          </w:p>
        </w:tc>
        <w:tc>
          <w:tcPr>
            <w:tcW w:w="1361" w:type="dxa"/>
            <w:tcBorders>
              <w:top w:val="single" w:sz="8" w:space="0" w:color="auto"/>
              <w:left w:val="nil"/>
              <w:bottom w:val="single" w:sz="8" w:space="0" w:color="auto"/>
              <w:right w:val="single" w:sz="8" w:space="0" w:color="auto"/>
            </w:tcBorders>
            <w:shd w:val="clear" w:color="auto" w:fill="auto"/>
            <w:noWrap/>
            <w:vAlign w:val="center"/>
            <w:hideMark/>
          </w:tcPr>
          <w:p w14:paraId="55EA0F7C" w14:textId="77777777" w:rsidR="00D83E29" w:rsidRPr="00D83E29" w:rsidRDefault="00D83E29" w:rsidP="00D83E29">
            <w:pPr>
              <w:spacing w:after="0" w:line="240" w:lineRule="auto"/>
              <w:jc w:val="center"/>
              <w:rPr>
                <w:rFonts w:ascii="Arial" w:eastAsia="Times New Roman" w:hAnsi="Arial" w:cs="Arial"/>
                <w:b/>
                <w:bCs/>
                <w:color w:val="000000"/>
                <w:sz w:val="20"/>
                <w:szCs w:val="20"/>
              </w:rPr>
            </w:pPr>
            <w:r w:rsidRPr="00D83E29">
              <w:rPr>
                <w:rFonts w:ascii="Arial" w:eastAsia="Times New Roman" w:hAnsi="Arial" w:cs="Arial"/>
                <w:b/>
                <w:bCs/>
                <w:color w:val="000000"/>
                <w:sz w:val="20"/>
                <w:szCs w:val="20"/>
              </w:rPr>
              <w:t>January 1, 2023</w:t>
            </w:r>
          </w:p>
        </w:tc>
      </w:tr>
      <w:tr w:rsidR="00D83E29" w:rsidRPr="00D83E29" w14:paraId="66087C5F" w14:textId="77777777" w:rsidTr="00A543D9">
        <w:trPr>
          <w:trHeight w:val="585"/>
          <w:jc w:val="center"/>
        </w:trPr>
        <w:tc>
          <w:tcPr>
            <w:tcW w:w="6316" w:type="dxa"/>
            <w:tcBorders>
              <w:top w:val="nil"/>
              <w:left w:val="single" w:sz="8" w:space="0" w:color="auto"/>
              <w:bottom w:val="single" w:sz="8" w:space="0" w:color="auto"/>
              <w:right w:val="nil"/>
            </w:tcBorders>
            <w:shd w:val="clear" w:color="auto" w:fill="auto"/>
            <w:vAlign w:val="center"/>
            <w:hideMark/>
          </w:tcPr>
          <w:p w14:paraId="12DAB23C" w14:textId="77777777" w:rsidR="00D83E29" w:rsidRPr="00D83E29" w:rsidRDefault="00D83E29" w:rsidP="00D83E29">
            <w:pPr>
              <w:spacing w:after="0" w:line="240" w:lineRule="auto"/>
              <w:rPr>
                <w:rFonts w:ascii="Arial" w:eastAsia="Times New Roman" w:hAnsi="Arial" w:cs="Arial"/>
                <w:color w:val="000000"/>
                <w:sz w:val="20"/>
                <w:szCs w:val="20"/>
              </w:rPr>
            </w:pPr>
            <w:r w:rsidRPr="00D83E29">
              <w:rPr>
                <w:rFonts w:ascii="Arial" w:eastAsia="Times New Roman" w:hAnsi="Arial" w:cs="Arial"/>
                <w:color w:val="000000"/>
                <w:sz w:val="20"/>
                <w:szCs w:val="20"/>
              </w:rPr>
              <w:t>Wholesale Market Service Rate (WMS) - not including CBR</w:t>
            </w:r>
          </w:p>
        </w:tc>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6AF46456" w14:textId="77777777" w:rsidR="00D83E29" w:rsidRPr="00D83E29" w:rsidRDefault="00D83E29" w:rsidP="00D83E29">
            <w:pPr>
              <w:spacing w:after="0" w:line="240" w:lineRule="auto"/>
              <w:jc w:val="center"/>
              <w:rPr>
                <w:rFonts w:ascii="Arial" w:eastAsia="Times New Roman" w:hAnsi="Arial" w:cs="Arial"/>
                <w:color w:val="000000"/>
                <w:sz w:val="20"/>
                <w:szCs w:val="20"/>
              </w:rPr>
            </w:pPr>
            <w:r w:rsidRPr="00D83E29">
              <w:rPr>
                <w:rFonts w:ascii="Arial" w:eastAsia="Times New Roman" w:hAnsi="Arial" w:cs="Arial"/>
                <w:color w:val="000000"/>
                <w:sz w:val="20"/>
                <w:szCs w:val="20"/>
              </w:rPr>
              <w:t>$/kWh</w:t>
            </w:r>
          </w:p>
        </w:tc>
        <w:tc>
          <w:tcPr>
            <w:tcW w:w="1361" w:type="dxa"/>
            <w:tcBorders>
              <w:top w:val="nil"/>
              <w:left w:val="nil"/>
              <w:bottom w:val="single" w:sz="8" w:space="0" w:color="auto"/>
              <w:right w:val="single" w:sz="8" w:space="0" w:color="auto"/>
            </w:tcBorders>
            <w:shd w:val="clear" w:color="auto" w:fill="auto"/>
            <w:noWrap/>
            <w:vAlign w:val="center"/>
            <w:hideMark/>
          </w:tcPr>
          <w:p w14:paraId="4D94F1AE" w14:textId="77777777" w:rsidR="00D83E29" w:rsidRPr="00D83E29" w:rsidRDefault="00D83E29" w:rsidP="00D83E29">
            <w:pPr>
              <w:spacing w:after="0" w:line="240" w:lineRule="auto"/>
              <w:jc w:val="right"/>
              <w:rPr>
                <w:rFonts w:ascii="Arial" w:eastAsia="Times New Roman" w:hAnsi="Arial" w:cs="Arial"/>
                <w:color w:val="000000"/>
                <w:sz w:val="20"/>
                <w:szCs w:val="20"/>
              </w:rPr>
            </w:pPr>
            <w:r w:rsidRPr="00D83E29">
              <w:rPr>
                <w:rFonts w:ascii="Arial" w:eastAsia="Times New Roman" w:hAnsi="Arial" w:cs="Arial"/>
                <w:color w:val="000000"/>
                <w:sz w:val="20"/>
                <w:szCs w:val="20"/>
              </w:rPr>
              <w:t>0.0041</w:t>
            </w:r>
          </w:p>
        </w:tc>
      </w:tr>
      <w:tr w:rsidR="00D83E29" w:rsidRPr="00D83E29" w14:paraId="130E9924" w14:textId="77777777" w:rsidTr="00A543D9">
        <w:trPr>
          <w:trHeight w:val="525"/>
          <w:jc w:val="center"/>
        </w:trPr>
        <w:tc>
          <w:tcPr>
            <w:tcW w:w="6316" w:type="dxa"/>
            <w:tcBorders>
              <w:top w:val="single" w:sz="8" w:space="0" w:color="auto"/>
              <w:left w:val="single" w:sz="8" w:space="0" w:color="auto"/>
              <w:bottom w:val="single" w:sz="8" w:space="0" w:color="auto"/>
              <w:right w:val="nil"/>
            </w:tcBorders>
            <w:shd w:val="clear" w:color="auto" w:fill="auto"/>
            <w:vAlign w:val="center"/>
            <w:hideMark/>
          </w:tcPr>
          <w:p w14:paraId="6E983262" w14:textId="77777777" w:rsidR="00D83E29" w:rsidRPr="00D83E29" w:rsidRDefault="00D83E29" w:rsidP="00D83E29">
            <w:pPr>
              <w:spacing w:after="0" w:line="240" w:lineRule="auto"/>
              <w:rPr>
                <w:rFonts w:ascii="Arial" w:eastAsia="Times New Roman" w:hAnsi="Arial" w:cs="Arial"/>
                <w:color w:val="000000"/>
                <w:sz w:val="20"/>
                <w:szCs w:val="20"/>
              </w:rPr>
            </w:pPr>
            <w:r w:rsidRPr="00D83E29">
              <w:rPr>
                <w:rFonts w:ascii="Arial" w:eastAsia="Times New Roman" w:hAnsi="Arial" w:cs="Arial"/>
                <w:color w:val="000000"/>
                <w:sz w:val="20"/>
                <w:szCs w:val="20"/>
              </w:rPr>
              <w:t xml:space="preserve">Capacity Based Recovery (CBR) - Applicable for Class B Customers </w:t>
            </w:r>
          </w:p>
        </w:tc>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5FD1CCB1" w14:textId="77777777" w:rsidR="00D83E29" w:rsidRPr="00D83E29" w:rsidRDefault="00D83E29" w:rsidP="00D83E29">
            <w:pPr>
              <w:spacing w:after="0" w:line="240" w:lineRule="auto"/>
              <w:jc w:val="center"/>
              <w:rPr>
                <w:rFonts w:ascii="Arial" w:eastAsia="Times New Roman" w:hAnsi="Arial" w:cs="Arial"/>
                <w:color w:val="000000"/>
                <w:sz w:val="20"/>
                <w:szCs w:val="20"/>
              </w:rPr>
            </w:pPr>
            <w:r w:rsidRPr="00D83E29">
              <w:rPr>
                <w:rFonts w:ascii="Arial" w:eastAsia="Times New Roman" w:hAnsi="Arial" w:cs="Arial"/>
                <w:color w:val="000000"/>
                <w:sz w:val="20"/>
                <w:szCs w:val="20"/>
              </w:rPr>
              <w:t>$/kWh</w:t>
            </w:r>
          </w:p>
        </w:tc>
        <w:tc>
          <w:tcPr>
            <w:tcW w:w="1361" w:type="dxa"/>
            <w:tcBorders>
              <w:top w:val="nil"/>
              <w:left w:val="nil"/>
              <w:bottom w:val="single" w:sz="8" w:space="0" w:color="auto"/>
              <w:right w:val="single" w:sz="8" w:space="0" w:color="auto"/>
            </w:tcBorders>
            <w:shd w:val="clear" w:color="auto" w:fill="auto"/>
            <w:noWrap/>
            <w:vAlign w:val="center"/>
            <w:hideMark/>
          </w:tcPr>
          <w:p w14:paraId="23F542C1" w14:textId="77777777" w:rsidR="00D83E29" w:rsidRPr="00D83E29" w:rsidRDefault="00D83E29" w:rsidP="00D83E29">
            <w:pPr>
              <w:spacing w:after="0" w:line="240" w:lineRule="auto"/>
              <w:jc w:val="right"/>
              <w:rPr>
                <w:rFonts w:ascii="Arial" w:eastAsia="Times New Roman" w:hAnsi="Arial" w:cs="Arial"/>
                <w:color w:val="000000"/>
                <w:sz w:val="20"/>
                <w:szCs w:val="20"/>
              </w:rPr>
            </w:pPr>
            <w:r w:rsidRPr="00D83E29">
              <w:rPr>
                <w:rFonts w:ascii="Arial" w:eastAsia="Times New Roman" w:hAnsi="Arial" w:cs="Arial"/>
                <w:color w:val="000000"/>
                <w:sz w:val="20"/>
                <w:szCs w:val="20"/>
              </w:rPr>
              <w:t>0.0004</w:t>
            </w:r>
          </w:p>
        </w:tc>
      </w:tr>
      <w:tr w:rsidR="00D83E29" w:rsidRPr="00D83E29" w14:paraId="43E7785C" w14:textId="77777777" w:rsidTr="00A543D9">
        <w:trPr>
          <w:trHeight w:val="525"/>
          <w:jc w:val="center"/>
        </w:trPr>
        <w:tc>
          <w:tcPr>
            <w:tcW w:w="6316" w:type="dxa"/>
            <w:tcBorders>
              <w:top w:val="nil"/>
              <w:left w:val="single" w:sz="8" w:space="0" w:color="auto"/>
              <w:bottom w:val="single" w:sz="8" w:space="0" w:color="auto"/>
              <w:right w:val="nil"/>
            </w:tcBorders>
            <w:shd w:val="clear" w:color="auto" w:fill="auto"/>
            <w:vAlign w:val="center"/>
            <w:hideMark/>
          </w:tcPr>
          <w:p w14:paraId="3215C84E" w14:textId="77777777" w:rsidR="00D83E29" w:rsidRPr="00D83E29" w:rsidRDefault="00D83E29" w:rsidP="00D83E29">
            <w:pPr>
              <w:spacing w:after="0" w:line="240" w:lineRule="auto"/>
              <w:rPr>
                <w:rFonts w:ascii="Arial" w:eastAsia="Times New Roman" w:hAnsi="Arial" w:cs="Arial"/>
                <w:color w:val="000000"/>
                <w:sz w:val="20"/>
                <w:szCs w:val="20"/>
              </w:rPr>
            </w:pPr>
            <w:r w:rsidRPr="00D83E29">
              <w:rPr>
                <w:rFonts w:ascii="Arial" w:eastAsia="Times New Roman" w:hAnsi="Arial" w:cs="Arial"/>
                <w:color w:val="000000"/>
                <w:sz w:val="20"/>
                <w:szCs w:val="20"/>
              </w:rPr>
              <w:t>Rural or Remote Electricity Rate Protection Charge (RRRP)</w:t>
            </w:r>
          </w:p>
        </w:tc>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08B22418" w14:textId="77777777" w:rsidR="00D83E29" w:rsidRPr="00D83E29" w:rsidRDefault="00D83E29" w:rsidP="00D83E29">
            <w:pPr>
              <w:spacing w:after="0" w:line="240" w:lineRule="auto"/>
              <w:jc w:val="center"/>
              <w:rPr>
                <w:rFonts w:ascii="Arial" w:eastAsia="Times New Roman" w:hAnsi="Arial" w:cs="Arial"/>
                <w:color w:val="000000"/>
                <w:sz w:val="20"/>
                <w:szCs w:val="20"/>
              </w:rPr>
            </w:pPr>
            <w:r w:rsidRPr="00D83E29">
              <w:rPr>
                <w:rFonts w:ascii="Arial" w:eastAsia="Times New Roman" w:hAnsi="Arial" w:cs="Arial"/>
                <w:color w:val="000000"/>
                <w:sz w:val="20"/>
                <w:szCs w:val="20"/>
              </w:rPr>
              <w:t>$/kWh</w:t>
            </w:r>
          </w:p>
        </w:tc>
        <w:tc>
          <w:tcPr>
            <w:tcW w:w="1361" w:type="dxa"/>
            <w:tcBorders>
              <w:top w:val="nil"/>
              <w:left w:val="nil"/>
              <w:bottom w:val="single" w:sz="8" w:space="0" w:color="auto"/>
              <w:right w:val="single" w:sz="8" w:space="0" w:color="auto"/>
            </w:tcBorders>
            <w:shd w:val="clear" w:color="auto" w:fill="auto"/>
            <w:noWrap/>
            <w:vAlign w:val="center"/>
            <w:hideMark/>
          </w:tcPr>
          <w:p w14:paraId="0DA667C4" w14:textId="77777777" w:rsidR="00D83E29" w:rsidRPr="00D83E29" w:rsidRDefault="00D83E29" w:rsidP="00D83E29">
            <w:pPr>
              <w:spacing w:after="0" w:line="240" w:lineRule="auto"/>
              <w:jc w:val="right"/>
              <w:rPr>
                <w:rFonts w:ascii="Arial" w:eastAsia="Times New Roman" w:hAnsi="Arial" w:cs="Arial"/>
                <w:color w:val="000000"/>
                <w:sz w:val="20"/>
                <w:szCs w:val="20"/>
              </w:rPr>
            </w:pPr>
            <w:r w:rsidRPr="00D83E29">
              <w:rPr>
                <w:rFonts w:ascii="Arial" w:eastAsia="Times New Roman" w:hAnsi="Arial" w:cs="Arial"/>
                <w:color w:val="000000"/>
                <w:sz w:val="20"/>
                <w:szCs w:val="20"/>
              </w:rPr>
              <w:t>0.0007</w:t>
            </w:r>
          </w:p>
        </w:tc>
      </w:tr>
    </w:tbl>
    <w:p w14:paraId="346EF66E" w14:textId="35A1C76F" w:rsidR="00D83E29" w:rsidRDefault="00D83E29" w:rsidP="00A543D9">
      <w:pPr>
        <w:rPr>
          <w:rFonts w:ascii="Arial" w:hAnsi="Arial" w:cs="Arial"/>
          <w:sz w:val="24"/>
          <w:szCs w:val="24"/>
        </w:rPr>
      </w:pPr>
    </w:p>
    <w:p w14:paraId="7F955478" w14:textId="76AACD43" w:rsidR="00FA14B7" w:rsidRDefault="00FA14B7" w:rsidP="00FA14B7">
      <w:pPr>
        <w:rPr>
          <w:rFonts w:ascii="Arial" w:hAnsi="Arial" w:cs="Arial"/>
          <w:b/>
          <w:bCs/>
          <w:sz w:val="24"/>
          <w:szCs w:val="24"/>
        </w:rPr>
      </w:pPr>
      <w:r w:rsidRPr="005E0CFF">
        <w:rPr>
          <w:rFonts w:ascii="Arial" w:hAnsi="Arial" w:cs="Arial"/>
          <w:b/>
          <w:bCs/>
          <w:sz w:val="24"/>
          <w:szCs w:val="24"/>
        </w:rPr>
        <w:t>Staff-</w:t>
      </w:r>
      <w:r>
        <w:rPr>
          <w:rFonts w:ascii="Arial" w:hAnsi="Arial" w:cs="Arial"/>
          <w:b/>
          <w:bCs/>
          <w:sz w:val="24"/>
          <w:szCs w:val="24"/>
        </w:rPr>
        <w:t>4</w:t>
      </w:r>
    </w:p>
    <w:p w14:paraId="1ED689D7" w14:textId="2F5E5691" w:rsidR="00FA14B7" w:rsidRDefault="00FA14B7" w:rsidP="00FA14B7">
      <w:pPr>
        <w:rPr>
          <w:rFonts w:ascii="Arial" w:hAnsi="Arial" w:cs="Arial"/>
          <w:b/>
          <w:bCs/>
          <w:sz w:val="24"/>
          <w:szCs w:val="24"/>
        </w:rPr>
      </w:pPr>
      <w:r>
        <w:rPr>
          <w:rFonts w:ascii="Arial" w:hAnsi="Arial" w:cs="Arial"/>
          <w:b/>
          <w:bCs/>
          <w:sz w:val="24"/>
          <w:szCs w:val="24"/>
        </w:rPr>
        <w:t>Ref: Rate Generator Model, Tab 3. Continuity Schedule</w:t>
      </w:r>
      <w:r w:rsidR="005669D9">
        <w:rPr>
          <w:rFonts w:ascii="Arial" w:hAnsi="Arial" w:cs="Arial"/>
          <w:b/>
          <w:bCs/>
          <w:sz w:val="24"/>
          <w:szCs w:val="24"/>
        </w:rPr>
        <w:t xml:space="preserve">, </w:t>
      </w:r>
      <w:r w:rsidR="004F77E8">
        <w:rPr>
          <w:rFonts w:ascii="Arial" w:hAnsi="Arial" w:cs="Arial"/>
          <w:b/>
          <w:bCs/>
          <w:sz w:val="24"/>
          <w:szCs w:val="24"/>
        </w:rPr>
        <w:t xml:space="preserve">Cells BT </w:t>
      </w:r>
      <w:proofErr w:type="gramStart"/>
      <w:r w:rsidR="004F77E8">
        <w:rPr>
          <w:rFonts w:ascii="Arial" w:hAnsi="Arial" w:cs="Arial"/>
          <w:b/>
          <w:bCs/>
          <w:sz w:val="24"/>
          <w:szCs w:val="24"/>
        </w:rPr>
        <w:t>23</w:t>
      </w:r>
      <w:proofErr w:type="gramEnd"/>
      <w:r w:rsidR="004F77E8">
        <w:rPr>
          <w:rFonts w:ascii="Arial" w:hAnsi="Arial" w:cs="Arial"/>
          <w:b/>
          <w:bCs/>
          <w:sz w:val="24"/>
          <w:szCs w:val="24"/>
        </w:rPr>
        <w:t xml:space="preserve"> and Cell BT 25</w:t>
      </w:r>
    </w:p>
    <w:p w14:paraId="6BDBAA41" w14:textId="77777777" w:rsidR="004F77E8" w:rsidRDefault="004F77E8" w:rsidP="004F77E8">
      <w:pPr>
        <w:rPr>
          <w:rFonts w:ascii="Arial" w:hAnsi="Arial" w:cs="Arial"/>
          <w:sz w:val="24"/>
          <w:szCs w:val="24"/>
        </w:rPr>
      </w:pPr>
      <w:r w:rsidRPr="00512503">
        <w:rPr>
          <w:rFonts w:ascii="Arial" w:hAnsi="Arial" w:cs="Arial"/>
          <w:sz w:val="24"/>
          <w:szCs w:val="24"/>
        </w:rPr>
        <w:t xml:space="preserve">Preamble: </w:t>
      </w:r>
    </w:p>
    <w:p w14:paraId="6CEC4AFF" w14:textId="29E2F005" w:rsidR="00950BEC" w:rsidRDefault="00D623CA" w:rsidP="004F77E8">
      <w:pPr>
        <w:rPr>
          <w:rFonts w:ascii="Arial" w:hAnsi="Arial" w:cs="Arial"/>
          <w:sz w:val="24"/>
          <w:szCs w:val="24"/>
        </w:rPr>
      </w:pPr>
      <w:r>
        <w:rPr>
          <w:rFonts w:ascii="Arial" w:hAnsi="Arial" w:cs="Arial"/>
          <w:sz w:val="24"/>
          <w:szCs w:val="24"/>
        </w:rPr>
        <w:t>In the reference, t</w:t>
      </w:r>
      <w:r w:rsidR="004F77E8">
        <w:rPr>
          <w:rFonts w:ascii="Arial" w:hAnsi="Arial" w:cs="Arial"/>
          <w:sz w:val="24"/>
          <w:szCs w:val="24"/>
        </w:rPr>
        <w:t>he total claim</w:t>
      </w:r>
      <w:r>
        <w:rPr>
          <w:rFonts w:ascii="Arial" w:hAnsi="Arial" w:cs="Arial"/>
          <w:sz w:val="24"/>
          <w:szCs w:val="24"/>
        </w:rPr>
        <w:t xml:space="preserve"> amount</w:t>
      </w:r>
      <w:r w:rsidR="004F77E8">
        <w:rPr>
          <w:rFonts w:ascii="Arial" w:hAnsi="Arial" w:cs="Arial"/>
          <w:sz w:val="24"/>
          <w:szCs w:val="24"/>
        </w:rPr>
        <w:t xml:space="preserve"> in cell BT23 </w:t>
      </w:r>
      <w:r>
        <w:rPr>
          <w:rFonts w:ascii="Arial" w:hAnsi="Arial" w:cs="Arial"/>
          <w:sz w:val="24"/>
          <w:szCs w:val="24"/>
        </w:rPr>
        <w:t>(a credit of $421,706</w:t>
      </w:r>
      <w:r w:rsidR="007B3565">
        <w:rPr>
          <w:rFonts w:ascii="Arial" w:hAnsi="Arial" w:cs="Arial"/>
          <w:sz w:val="24"/>
          <w:szCs w:val="24"/>
        </w:rPr>
        <w:t xml:space="preserve"> in Account 1580 - RSVA – Wholesale market Service Charge</w:t>
      </w:r>
      <w:r>
        <w:rPr>
          <w:rFonts w:ascii="Arial" w:hAnsi="Arial" w:cs="Arial"/>
          <w:sz w:val="24"/>
          <w:szCs w:val="24"/>
        </w:rPr>
        <w:t xml:space="preserve">) </w:t>
      </w:r>
      <w:r w:rsidR="007B3565">
        <w:rPr>
          <w:rFonts w:ascii="Arial" w:hAnsi="Arial" w:cs="Arial"/>
          <w:sz w:val="24"/>
          <w:szCs w:val="24"/>
        </w:rPr>
        <w:t xml:space="preserve">is the same as </w:t>
      </w:r>
      <w:r w:rsidR="00264B1C">
        <w:rPr>
          <w:rFonts w:ascii="Arial" w:hAnsi="Arial" w:cs="Arial"/>
          <w:sz w:val="24"/>
          <w:szCs w:val="24"/>
        </w:rPr>
        <w:t>t</w:t>
      </w:r>
      <w:r w:rsidR="004F77E8">
        <w:rPr>
          <w:rFonts w:ascii="Arial" w:hAnsi="Arial" w:cs="Arial"/>
          <w:sz w:val="24"/>
          <w:szCs w:val="24"/>
        </w:rPr>
        <w:t>he total claim</w:t>
      </w:r>
      <w:r>
        <w:rPr>
          <w:rFonts w:ascii="Arial" w:hAnsi="Arial" w:cs="Arial"/>
          <w:sz w:val="24"/>
          <w:szCs w:val="24"/>
        </w:rPr>
        <w:t xml:space="preserve"> amount</w:t>
      </w:r>
      <w:r w:rsidR="004F77E8">
        <w:rPr>
          <w:rFonts w:ascii="Arial" w:hAnsi="Arial" w:cs="Arial"/>
          <w:sz w:val="24"/>
          <w:szCs w:val="24"/>
        </w:rPr>
        <w:t xml:space="preserve"> in </w:t>
      </w:r>
      <w:r w:rsidR="00264B1C">
        <w:rPr>
          <w:rFonts w:ascii="Arial" w:hAnsi="Arial" w:cs="Arial"/>
          <w:sz w:val="24"/>
          <w:szCs w:val="24"/>
        </w:rPr>
        <w:t>c</w:t>
      </w:r>
      <w:r w:rsidR="004F77E8">
        <w:rPr>
          <w:rFonts w:ascii="Arial" w:hAnsi="Arial" w:cs="Arial"/>
          <w:sz w:val="24"/>
          <w:szCs w:val="24"/>
        </w:rPr>
        <w:t>ell BT25</w:t>
      </w:r>
      <w:r>
        <w:rPr>
          <w:rFonts w:ascii="Arial" w:hAnsi="Arial" w:cs="Arial"/>
          <w:sz w:val="24"/>
          <w:szCs w:val="24"/>
        </w:rPr>
        <w:t xml:space="preserve"> (a credit of $421,706</w:t>
      </w:r>
      <w:r w:rsidR="007B3565">
        <w:rPr>
          <w:rFonts w:ascii="Arial" w:hAnsi="Arial" w:cs="Arial"/>
          <w:sz w:val="24"/>
          <w:szCs w:val="24"/>
        </w:rPr>
        <w:t xml:space="preserve"> in Account 1580 - Variance WMS Sub Account CBR Class B)</w:t>
      </w:r>
      <w:r w:rsidR="004F77E8">
        <w:rPr>
          <w:rFonts w:ascii="Arial" w:hAnsi="Arial" w:cs="Arial"/>
          <w:sz w:val="24"/>
          <w:szCs w:val="24"/>
        </w:rPr>
        <w:t xml:space="preserve">.  </w:t>
      </w:r>
    </w:p>
    <w:p w14:paraId="651F6151" w14:textId="725E51CB" w:rsidR="004F77E8" w:rsidRDefault="002F6DB9" w:rsidP="004F77E8">
      <w:pPr>
        <w:rPr>
          <w:rFonts w:ascii="Arial" w:hAnsi="Arial" w:cs="Arial"/>
          <w:sz w:val="24"/>
          <w:szCs w:val="24"/>
        </w:rPr>
      </w:pPr>
      <w:r>
        <w:rPr>
          <w:rFonts w:ascii="Arial" w:hAnsi="Arial" w:cs="Arial"/>
          <w:sz w:val="24"/>
          <w:szCs w:val="24"/>
        </w:rPr>
        <w:t>The total claim in Account 1580 - RSVA – Wholesale market Service Charge</w:t>
      </w:r>
      <w:r w:rsidR="00C2656D">
        <w:rPr>
          <w:rFonts w:ascii="Arial" w:hAnsi="Arial" w:cs="Arial"/>
          <w:sz w:val="24"/>
          <w:szCs w:val="24"/>
        </w:rPr>
        <w:t xml:space="preserve"> should</w:t>
      </w:r>
      <w:r>
        <w:rPr>
          <w:rFonts w:ascii="Arial" w:hAnsi="Arial" w:cs="Arial"/>
          <w:sz w:val="24"/>
          <w:szCs w:val="24"/>
        </w:rPr>
        <w:t xml:space="preserve"> </w:t>
      </w:r>
      <w:r w:rsidR="00C2656D">
        <w:rPr>
          <w:rFonts w:ascii="Arial" w:hAnsi="Arial" w:cs="Arial"/>
          <w:sz w:val="24"/>
          <w:szCs w:val="24"/>
        </w:rPr>
        <w:t>capture the difference between</w:t>
      </w:r>
      <w:r>
        <w:rPr>
          <w:rFonts w:ascii="Arial" w:hAnsi="Arial" w:cs="Arial"/>
          <w:sz w:val="24"/>
          <w:szCs w:val="24"/>
        </w:rPr>
        <w:t xml:space="preserve"> the amount charged by the IESO (based on the monthly settlement invoice) for the </w:t>
      </w:r>
      <w:r w:rsidR="00C2656D">
        <w:rPr>
          <w:rFonts w:ascii="Arial" w:hAnsi="Arial" w:cs="Arial"/>
          <w:sz w:val="24"/>
          <w:szCs w:val="24"/>
        </w:rPr>
        <w:t xml:space="preserve">wholesale market services or the </w:t>
      </w:r>
      <w:r>
        <w:rPr>
          <w:rFonts w:ascii="Arial" w:hAnsi="Arial" w:cs="Arial"/>
          <w:sz w:val="24"/>
          <w:szCs w:val="24"/>
        </w:rPr>
        <w:t>operation of the IESO administered markets</w:t>
      </w:r>
      <w:r w:rsidR="00C2656D">
        <w:rPr>
          <w:rFonts w:ascii="Arial" w:hAnsi="Arial" w:cs="Arial"/>
          <w:sz w:val="24"/>
          <w:szCs w:val="24"/>
        </w:rPr>
        <w:t>/</w:t>
      </w:r>
      <w:r>
        <w:rPr>
          <w:rFonts w:ascii="Arial" w:hAnsi="Arial" w:cs="Arial"/>
          <w:sz w:val="24"/>
          <w:szCs w:val="24"/>
        </w:rPr>
        <w:t xml:space="preserve">controlled grid and the amount billed to customers using the OEB-approved Whole </w:t>
      </w:r>
      <w:r w:rsidR="00C57E58">
        <w:rPr>
          <w:rFonts w:ascii="Arial" w:hAnsi="Arial" w:cs="Arial"/>
          <w:sz w:val="24"/>
          <w:szCs w:val="24"/>
        </w:rPr>
        <w:t>M</w:t>
      </w:r>
      <w:r>
        <w:rPr>
          <w:rFonts w:ascii="Arial" w:hAnsi="Arial" w:cs="Arial"/>
          <w:sz w:val="24"/>
          <w:szCs w:val="24"/>
        </w:rPr>
        <w:t xml:space="preserve">arket </w:t>
      </w:r>
      <w:r w:rsidR="00C57E58">
        <w:rPr>
          <w:rFonts w:ascii="Arial" w:hAnsi="Arial" w:cs="Arial"/>
          <w:sz w:val="24"/>
          <w:szCs w:val="24"/>
        </w:rPr>
        <w:t>S</w:t>
      </w:r>
      <w:r>
        <w:rPr>
          <w:rFonts w:ascii="Arial" w:hAnsi="Arial" w:cs="Arial"/>
          <w:sz w:val="24"/>
          <w:szCs w:val="24"/>
        </w:rPr>
        <w:t>ervice Rate, including accruals</w:t>
      </w:r>
      <w:r w:rsidR="004F77E8">
        <w:rPr>
          <w:rFonts w:ascii="Arial" w:hAnsi="Arial" w:cs="Arial"/>
          <w:sz w:val="24"/>
          <w:szCs w:val="24"/>
        </w:rPr>
        <w:t xml:space="preserve">.  </w:t>
      </w:r>
    </w:p>
    <w:p w14:paraId="23D74B33" w14:textId="1BCBB191" w:rsidR="00C2656D" w:rsidRPr="00512503" w:rsidRDefault="00C2656D" w:rsidP="004F77E8">
      <w:pPr>
        <w:rPr>
          <w:rFonts w:ascii="Arial" w:hAnsi="Arial" w:cs="Arial"/>
          <w:sz w:val="24"/>
          <w:szCs w:val="24"/>
        </w:rPr>
      </w:pPr>
      <w:r>
        <w:rPr>
          <w:rFonts w:ascii="Arial" w:hAnsi="Arial" w:cs="Arial"/>
          <w:sz w:val="24"/>
          <w:szCs w:val="24"/>
        </w:rPr>
        <w:t xml:space="preserve">The total claim in Account </w:t>
      </w:r>
      <w:r w:rsidRPr="00C2656D">
        <w:rPr>
          <w:rFonts w:ascii="Arial" w:hAnsi="Arial" w:cs="Arial"/>
          <w:sz w:val="24"/>
          <w:szCs w:val="24"/>
        </w:rPr>
        <w:t>1580 - Variance WMS Sub Account CBR Class B</w:t>
      </w:r>
      <w:r>
        <w:rPr>
          <w:rFonts w:ascii="Arial" w:hAnsi="Arial" w:cs="Arial"/>
          <w:sz w:val="24"/>
          <w:szCs w:val="24"/>
        </w:rPr>
        <w:t xml:space="preserve"> should </w:t>
      </w:r>
      <w:r w:rsidRPr="00C2656D">
        <w:rPr>
          <w:rFonts w:ascii="Arial" w:hAnsi="Arial" w:cs="Arial"/>
          <w:sz w:val="24"/>
          <w:szCs w:val="24"/>
        </w:rPr>
        <w:t>capture the difference between the billed WMS revenues of $0.0004/kWh booked in Account 4062 Billed - WMS, Sub-account CBR Class B and the charges from the IESO booked in Account 4708 Charges - WMS, Sub-account CBR Class B.</w:t>
      </w:r>
    </w:p>
    <w:p w14:paraId="7FE55B3B" w14:textId="5C7597E7" w:rsidR="004F77E8" w:rsidRDefault="004F77E8" w:rsidP="004F77E8">
      <w:pPr>
        <w:rPr>
          <w:rFonts w:ascii="Arial" w:hAnsi="Arial" w:cs="Arial"/>
          <w:sz w:val="24"/>
          <w:szCs w:val="24"/>
        </w:rPr>
      </w:pPr>
      <w:r>
        <w:rPr>
          <w:rFonts w:ascii="Arial" w:hAnsi="Arial" w:cs="Arial"/>
          <w:sz w:val="24"/>
          <w:szCs w:val="24"/>
        </w:rPr>
        <w:lastRenderedPageBreak/>
        <w:t>Question</w:t>
      </w:r>
      <w:r w:rsidR="00D140EC">
        <w:rPr>
          <w:rFonts w:ascii="Arial" w:hAnsi="Arial" w:cs="Arial"/>
          <w:sz w:val="24"/>
          <w:szCs w:val="24"/>
        </w:rPr>
        <w:t>s</w:t>
      </w:r>
      <w:r>
        <w:rPr>
          <w:rFonts w:ascii="Arial" w:hAnsi="Arial" w:cs="Arial"/>
          <w:sz w:val="24"/>
          <w:szCs w:val="24"/>
        </w:rPr>
        <w:t>:</w:t>
      </w:r>
    </w:p>
    <w:p w14:paraId="617E4257" w14:textId="22360E5B" w:rsidR="002F6DB9" w:rsidRPr="00C2656D" w:rsidRDefault="00C2656D" w:rsidP="00C2656D">
      <w:pPr>
        <w:pStyle w:val="ListParagraph"/>
        <w:numPr>
          <w:ilvl w:val="0"/>
          <w:numId w:val="9"/>
        </w:numPr>
        <w:rPr>
          <w:rFonts w:ascii="Arial" w:hAnsi="Arial" w:cs="Arial"/>
          <w:sz w:val="24"/>
          <w:szCs w:val="24"/>
        </w:rPr>
      </w:pPr>
      <w:r w:rsidRPr="00C2656D">
        <w:rPr>
          <w:rFonts w:ascii="Arial" w:hAnsi="Arial" w:cs="Arial"/>
          <w:sz w:val="24"/>
          <w:szCs w:val="24"/>
        </w:rPr>
        <w:t xml:space="preserve">There appears to be double counting since the total claim amounts </w:t>
      </w:r>
      <w:r>
        <w:rPr>
          <w:rFonts w:ascii="Arial" w:hAnsi="Arial" w:cs="Arial"/>
          <w:sz w:val="24"/>
          <w:szCs w:val="24"/>
        </w:rPr>
        <w:t>in these two accounts are identical</w:t>
      </w:r>
      <w:r w:rsidRPr="00C2656D">
        <w:rPr>
          <w:rFonts w:ascii="Arial" w:hAnsi="Arial" w:cs="Arial"/>
          <w:sz w:val="24"/>
          <w:szCs w:val="24"/>
        </w:rPr>
        <w:t xml:space="preserve">. </w:t>
      </w:r>
      <w:r w:rsidR="00D623CA" w:rsidRPr="00C2656D">
        <w:rPr>
          <w:rFonts w:ascii="Arial" w:hAnsi="Arial" w:cs="Arial"/>
          <w:sz w:val="24"/>
          <w:szCs w:val="24"/>
        </w:rPr>
        <w:t xml:space="preserve">Please </w:t>
      </w:r>
      <w:r w:rsidR="002F6DB9" w:rsidRPr="00C2656D">
        <w:rPr>
          <w:rFonts w:ascii="Arial" w:hAnsi="Arial" w:cs="Arial"/>
          <w:sz w:val="24"/>
          <w:szCs w:val="24"/>
        </w:rPr>
        <w:t xml:space="preserve">explain why </w:t>
      </w:r>
      <w:r>
        <w:rPr>
          <w:rFonts w:ascii="Arial" w:hAnsi="Arial" w:cs="Arial"/>
          <w:sz w:val="24"/>
          <w:szCs w:val="24"/>
        </w:rPr>
        <w:t>they are</w:t>
      </w:r>
      <w:r w:rsidR="002F6DB9" w:rsidRPr="00C2656D">
        <w:rPr>
          <w:rFonts w:ascii="Arial" w:hAnsi="Arial" w:cs="Arial"/>
          <w:sz w:val="24"/>
          <w:szCs w:val="24"/>
        </w:rPr>
        <w:t xml:space="preserve"> identical.</w:t>
      </w:r>
    </w:p>
    <w:p w14:paraId="5567AF68" w14:textId="4D424527" w:rsidR="00FA14B7" w:rsidRPr="002F6DB9" w:rsidRDefault="002F6DB9" w:rsidP="002F6DB9">
      <w:pPr>
        <w:pStyle w:val="ListParagraph"/>
        <w:numPr>
          <w:ilvl w:val="0"/>
          <w:numId w:val="9"/>
        </w:numPr>
        <w:rPr>
          <w:rFonts w:ascii="Arial" w:hAnsi="Arial" w:cs="Arial"/>
          <w:sz w:val="24"/>
          <w:szCs w:val="24"/>
        </w:rPr>
      </w:pPr>
      <w:r>
        <w:rPr>
          <w:rFonts w:ascii="Arial" w:hAnsi="Arial" w:cs="Arial"/>
          <w:sz w:val="24"/>
          <w:szCs w:val="24"/>
        </w:rPr>
        <w:t>Please c</w:t>
      </w:r>
      <w:r w:rsidR="00264B1C" w:rsidRPr="002F6DB9">
        <w:rPr>
          <w:rFonts w:ascii="Arial" w:hAnsi="Arial" w:cs="Arial"/>
          <w:sz w:val="24"/>
          <w:szCs w:val="24"/>
        </w:rPr>
        <w:t xml:space="preserve">heck the accuracy of the numbers in </w:t>
      </w:r>
      <w:r w:rsidR="00CA308F" w:rsidRPr="002F6DB9">
        <w:rPr>
          <w:rFonts w:ascii="Arial" w:hAnsi="Arial" w:cs="Arial"/>
          <w:sz w:val="24"/>
          <w:szCs w:val="24"/>
        </w:rPr>
        <w:t xml:space="preserve">the RSVA – Wholesale Market Service Charge </w:t>
      </w:r>
      <w:r w:rsidR="00264B1C" w:rsidRPr="002F6DB9">
        <w:rPr>
          <w:rFonts w:ascii="Arial" w:hAnsi="Arial" w:cs="Arial"/>
          <w:sz w:val="24"/>
          <w:szCs w:val="24"/>
        </w:rPr>
        <w:t xml:space="preserve">Account </w:t>
      </w:r>
      <w:r w:rsidR="00CA308F" w:rsidRPr="002F6DB9">
        <w:rPr>
          <w:rFonts w:ascii="Arial" w:hAnsi="Arial" w:cs="Arial"/>
          <w:sz w:val="24"/>
          <w:szCs w:val="24"/>
        </w:rPr>
        <w:t xml:space="preserve">1580 and the Variance WMS – Sub-account CBR Class B 1580 in the </w:t>
      </w:r>
      <w:r w:rsidR="00D623CA" w:rsidRPr="002F6DB9">
        <w:rPr>
          <w:rFonts w:ascii="Arial" w:hAnsi="Arial" w:cs="Arial"/>
          <w:sz w:val="24"/>
          <w:szCs w:val="24"/>
        </w:rPr>
        <w:t>Rate Generator Model</w:t>
      </w:r>
      <w:r w:rsidR="00264B1C" w:rsidRPr="002F6DB9">
        <w:rPr>
          <w:rFonts w:ascii="Arial" w:hAnsi="Arial" w:cs="Arial"/>
          <w:sz w:val="24"/>
          <w:szCs w:val="24"/>
        </w:rPr>
        <w:t xml:space="preserve"> and </w:t>
      </w:r>
      <w:r w:rsidR="00950BEC" w:rsidRPr="002F6DB9">
        <w:rPr>
          <w:rFonts w:ascii="Arial" w:hAnsi="Arial" w:cs="Arial"/>
          <w:sz w:val="24"/>
          <w:szCs w:val="24"/>
        </w:rPr>
        <w:t>revise the evidence</w:t>
      </w:r>
      <w:r w:rsidR="00264B1C" w:rsidRPr="002F6DB9">
        <w:rPr>
          <w:rFonts w:ascii="Arial" w:hAnsi="Arial" w:cs="Arial"/>
          <w:sz w:val="24"/>
          <w:szCs w:val="24"/>
        </w:rPr>
        <w:t xml:space="preserve"> as needed.</w:t>
      </w:r>
    </w:p>
    <w:p w14:paraId="090FB087" w14:textId="77777777" w:rsidR="007B3565" w:rsidRPr="007B3565" w:rsidRDefault="007B3565" w:rsidP="007B3565">
      <w:pPr>
        <w:rPr>
          <w:rFonts w:ascii="Arial" w:hAnsi="Arial" w:cs="Arial"/>
          <w:sz w:val="24"/>
          <w:szCs w:val="24"/>
        </w:rPr>
      </w:pPr>
    </w:p>
    <w:p w14:paraId="580853D4" w14:textId="59B951FC" w:rsidR="005E0CFF" w:rsidRDefault="005E0CFF" w:rsidP="005E0CFF">
      <w:pPr>
        <w:rPr>
          <w:rFonts w:ascii="Arial" w:hAnsi="Arial" w:cs="Arial"/>
          <w:b/>
          <w:bCs/>
          <w:sz w:val="24"/>
          <w:szCs w:val="24"/>
        </w:rPr>
      </w:pPr>
      <w:r w:rsidRPr="005E0CFF">
        <w:rPr>
          <w:rFonts w:ascii="Arial" w:hAnsi="Arial" w:cs="Arial"/>
          <w:b/>
          <w:bCs/>
          <w:sz w:val="24"/>
          <w:szCs w:val="24"/>
        </w:rPr>
        <w:t>Staff-</w:t>
      </w:r>
      <w:r w:rsidR="00FA14B7">
        <w:rPr>
          <w:rFonts w:ascii="Arial" w:hAnsi="Arial" w:cs="Arial"/>
          <w:b/>
          <w:bCs/>
          <w:sz w:val="24"/>
          <w:szCs w:val="24"/>
        </w:rPr>
        <w:t>5</w:t>
      </w:r>
    </w:p>
    <w:p w14:paraId="22CFF347" w14:textId="4A0507BB" w:rsidR="00580B27" w:rsidRDefault="00580B27" w:rsidP="00343093">
      <w:pPr>
        <w:rPr>
          <w:rFonts w:ascii="Arial" w:hAnsi="Arial" w:cs="Arial"/>
          <w:b/>
          <w:bCs/>
          <w:sz w:val="24"/>
          <w:szCs w:val="24"/>
        </w:rPr>
      </w:pPr>
      <w:r>
        <w:rPr>
          <w:rFonts w:ascii="Arial" w:hAnsi="Arial" w:cs="Arial"/>
          <w:b/>
          <w:bCs/>
          <w:sz w:val="24"/>
          <w:szCs w:val="24"/>
        </w:rPr>
        <w:t>Ref 1: Rate Generator Model, Tab 4. Billing Det. For Def-Var, Cells C28 to C32</w:t>
      </w:r>
    </w:p>
    <w:p w14:paraId="5613DD15" w14:textId="3C34A0AE" w:rsidR="00343093" w:rsidRDefault="00343093" w:rsidP="00343093">
      <w:pPr>
        <w:rPr>
          <w:rFonts w:ascii="Arial" w:hAnsi="Arial" w:cs="Arial"/>
          <w:b/>
          <w:bCs/>
          <w:sz w:val="24"/>
          <w:szCs w:val="24"/>
        </w:rPr>
      </w:pPr>
      <w:r w:rsidRPr="00D83E29">
        <w:rPr>
          <w:rFonts w:ascii="Arial" w:hAnsi="Arial" w:cs="Arial"/>
          <w:b/>
          <w:bCs/>
          <w:sz w:val="24"/>
          <w:szCs w:val="24"/>
        </w:rPr>
        <w:t>Ref</w:t>
      </w:r>
      <w:r>
        <w:rPr>
          <w:rFonts w:ascii="Arial" w:hAnsi="Arial" w:cs="Arial"/>
          <w:b/>
          <w:bCs/>
          <w:sz w:val="24"/>
          <w:szCs w:val="24"/>
        </w:rPr>
        <w:t xml:space="preserve"> </w:t>
      </w:r>
      <w:r w:rsidR="00580B27">
        <w:rPr>
          <w:rFonts w:ascii="Arial" w:hAnsi="Arial" w:cs="Arial"/>
          <w:b/>
          <w:bCs/>
          <w:sz w:val="24"/>
          <w:szCs w:val="24"/>
        </w:rPr>
        <w:t>2</w:t>
      </w:r>
      <w:r w:rsidRPr="00D83E29">
        <w:rPr>
          <w:rFonts w:ascii="Arial" w:hAnsi="Arial" w:cs="Arial"/>
          <w:b/>
          <w:bCs/>
          <w:sz w:val="24"/>
          <w:szCs w:val="24"/>
        </w:rPr>
        <w:t xml:space="preserve">: </w:t>
      </w:r>
      <w:r>
        <w:rPr>
          <w:rFonts w:ascii="Arial" w:hAnsi="Arial" w:cs="Arial"/>
          <w:b/>
          <w:bCs/>
          <w:sz w:val="24"/>
          <w:szCs w:val="24"/>
        </w:rPr>
        <w:t>Manager’s Summary, pp. 8-9</w:t>
      </w:r>
    </w:p>
    <w:p w14:paraId="3A13BFDD" w14:textId="3E71AFCD" w:rsidR="005720F4" w:rsidRPr="00D83E29" w:rsidRDefault="005720F4" w:rsidP="00343093">
      <w:pPr>
        <w:rPr>
          <w:rFonts w:ascii="Arial" w:hAnsi="Arial" w:cs="Arial"/>
          <w:b/>
          <w:bCs/>
          <w:sz w:val="24"/>
          <w:szCs w:val="24"/>
        </w:rPr>
      </w:pPr>
      <w:r>
        <w:rPr>
          <w:rFonts w:ascii="Arial" w:hAnsi="Arial" w:cs="Arial"/>
          <w:b/>
          <w:bCs/>
          <w:sz w:val="24"/>
          <w:szCs w:val="24"/>
        </w:rPr>
        <w:t xml:space="preserve">Ref </w:t>
      </w:r>
      <w:r w:rsidR="00A543C8">
        <w:rPr>
          <w:rFonts w:ascii="Arial" w:hAnsi="Arial" w:cs="Arial"/>
          <w:b/>
          <w:bCs/>
          <w:sz w:val="24"/>
          <w:szCs w:val="24"/>
        </w:rPr>
        <w:t>3</w:t>
      </w:r>
      <w:r>
        <w:rPr>
          <w:rFonts w:ascii="Arial" w:hAnsi="Arial" w:cs="Arial"/>
          <w:b/>
          <w:bCs/>
          <w:sz w:val="24"/>
          <w:szCs w:val="24"/>
        </w:rPr>
        <w:t xml:space="preserve">: </w:t>
      </w:r>
      <w:r w:rsidR="00B829F2">
        <w:rPr>
          <w:rFonts w:ascii="Arial" w:hAnsi="Arial" w:cs="Arial"/>
          <w:b/>
          <w:bCs/>
          <w:sz w:val="24"/>
          <w:szCs w:val="24"/>
        </w:rPr>
        <w:t xml:space="preserve">Tillsonburg’s 2022 IRM </w:t>
      </w:r>
      <w:r>
        <w:rPr>
          <w:rFonts w:ascii="Arial" w:hAnsi="Arial" w:cs="Arial"/>
          <w:b/>
          <w:bCs/>
          <w:sz w:val="24"/>
          <w:szCs w:val="24"/>
        </w:rPr>
        <w:t xml:space="preserve">Decision and Rate Order (EB-2021-0059), p. </w:t>
      </w:r>
      <w:r w:rsidR="00A543C8">
        <w:rPr>
          <w:rFonts w:ascii="Arial" w:hAnsi="Arial" w:cs="Arial"/>
          <w:b/>
          <w:bCs/>
          <w:sz w:val="24"/>
          <w:szCs w:val="24"/>
        </w:rPr>
        <w:t>7</w:t>
      </w:r>
    </w:p>
    <w:p w14:paraId="44E5A7E4" w14:textId="7197DF9C" w:rsidR="00343093" w:rsidRDefault="00343093" w:rsidP="00343093">
      <w:pPr>
        <w:rPr>
          <w:rFonts w:ascii="Arial" w:hAnsi="Arial" w:cs="Arial"/>
          <w:sz w:val="24"/>
          <w:szCs w:val="24"/>
        </w:rPr>
      </w:pPr>
      <w:r w:rsidRPr="00512503">
        <w:rPr>
          <w:rFonts w:ascii="Arial" w:hAnsi="Arial" w:cs="Arial"/>
          <w:sz w:val="24"/>
          <w:szCs w:val="24"/>
        </w:rPr>
        <w:t xml:space="preserve">Preamble: </w:t>
      </w:r>
    </w:p>
    <w:p w14:paraId="6AC83771" w14:textId="43B9C7B8" w:rsidR="00A543C8" w:rsidRDefault="005720F4" w:rsidP="00A543C8">
      <w:pPr>
        <w:rPr>
          <w:rFonts w:ascii="Arial" w:hAnsi="Arial" w:cs="Arial"/>
          <w:sz w:val="24"/>
          <w:szCs w:val="24"/>
        </w:rPr>
      </w:pPr>
      <w:r>
        <w:rPr>
          <w:rFonts w:ascii="Arial" w:hAnsi="Arial" w:cs="Arial"/>
          <w:sz w:val="24"/>
          <w:szCs w:val="24"/>
        </w:rPr>
        <w:t xml:space="preserve">In reference </w:t>
      </w:r>
      <w:r w:rsidR="00580B27">
        <w:rPr>
          <w:rFonts w:ascii="Arial" w:hAnsi="Arial" w:cs="Arial"/>
          <w:sz w:val="24"/>
          <w:szCs w:val="24"/>
        </w:rPr>
        <w:t>1</w:t>
      </w:r>
      <w:r>
        <w:rPr>
          <w:rFonts w:ascii="Arial" w:hAnsi="Arial" w:cs="Arial"/>
          <w:sz w:val="24"/>
          <w:szCs w:val="24"/>
        </w:rPr>
        <w:t>,</w:t>
      </w:r>
      <w:r w:rsidR="00A543C8">
        <w:rPr>
          <w:rFonts w:ascii="Arial" w:hAnsi="Arial" w:cs="Arial"/>
          <w:sz w:val="24"/>
          <w:szCs w:val="24"/>
        </w:rPr>
        <w:t xml:space="preserve"> </w:t>
      </w:r>
      <w:r w:rsidR="003F794C">
        <w:rPr>
          <w:rFonts w:ascii="Arial" w:hAnsi="Arial" w:cs="Arial"/>
          <w:sz w:val="24"/>
          <w:szCs w:val="24"/>
        </w:rPr>
        <w:t xml:space="preserve">Tillsonburg </w:t>
      </w:r>
      <w:r w:rsidR="00343093">
        <w:rPr>
          <w:rFonts w:ascii="Arial" w:hAnsi="Arial" w:cs="Arial"/>
          <w:sz w:val="24"/>
          <w:szCs w:val="24"/>
        </w:rPr>
        <w:t xml:space="preserve">Hydro requested no disposition of its Group 1 DVA balances. </w:t>
      </w:r>
    </w:p>
    <w:p w14:paraId="6A6A503E" w14:textId="1495B75B" w:rsidR="00343093" w:rsidRDefault="005720F4" w:rsidP="00324048">
      <w:pPr>
        <w:rPr>
          <w:rFonts w:ascii="Arial" w:hAnsi="Arial" w:cs="Arial"/>
          <w:sz w:val="24"/>
          <w:szCs w:val="24"/>
        </w:rPr>
      </w:pPr>
      <w:r>
        <w:rPr>
          <w:rFonts w:ascii="Arial" w:hAnsi="Arial" w:cs="Arial"/>
          <w:sz w:val="24"/>
          <w:szCs w:val="24"/>
        </w:rPr>
        <w:t xml:space="preserve">In </w:t>
      </w:r>
      <w:r w:rsidR="00A543C8">
        <w:rPr>
          <w:rFonts w:ascii="Arial" w:hAnsi="Arial" w:cs="Arial"/>
          <w:sz w:val="24"/>
          <w:szCs w:val="24"/>
        </w:rPr>
        <w:t>r</w:t>
      </w:r>
      <w:r>
        <w:rPr>
          <w:rFonts w:ascii="Arial" w:hAnsi="Arial" w:cs="Arial"/>
          <w:sz w:val="24"/>
          <w:szCs w:val="24"/>
        </w:rPr>
        <w:t xml:space="preserve">eference </w:t>
      </w:r>
      <w:r w:rsidR="00580B27">
        <w:rPr>
          <w:rFonts w:ascii="Arial" w:hAnsi="Arial" w:cs="Arial"/>
          <w:sz w:val="24"/>
          <w:szCs w:val="24"/>
        </w:rPr>
        <w:t>2</w:t>
      </w:r>
      <w:r>
        <w:rPr>
          <w:rFonts w:ascii="Arial" w:hAnsi="Arial" w:cs="Arial"/>
          <w:sz w:val="24"/>
          <w:szCs w:val="24"/>
        </w:rPr>
        <w:t xml:space="preserve">, </w:t>
      </w:r>
      <w:r w:rsidR="007969AD">
        <w:rPr>
          <w:rFonts w:ascii="Arial" w:hAnsi="Arial" w:cs="Arial"/>
          <w:sz w:val="24"/>
          <w:szCs w:val="24"/>
        </w:rPr>
        <w:t xml:space="preserve">Tillsonburg Hydro </w:t>
      </w:r>
      <w:r w:rsidR="00324048" w:rsidRPr="00324048">
        <w:rPr>
          <w:rFonts w:ascii="Arial" w:hAnsi="Arial" w:cs="Arial"/>
          <w:sz w:val="24"/>
          <w:szCs w:val="24"/>
        </w:rPr>
        <w:t>confirm</w:t>
      </w:r>
      <w:r w:rsidR="00324048">
        <w:rPr>
          <w:rFonts w:ascii="Arial" w:hAnsi="Arial" w:cs="Arial"/>
          <w:sz w:val="24"/>
          <w:szCs w:val="24"/>
        </w:rPr>
        <w:t>ed</w:t>
      </w:r>
      <w:r w:rsidR="00324048" w:rsidRPr="00324048">
        <w:rPr>
          <w:rFonts w:ascii="Arial" w:hAnsi="Arial" w:cs="Arial"/>
          <w:sz w:val="24"/>
          <w:szCs w:val="24"/>
        </w:rPr>
        <w:t xml:space="preserve"> that the accounting guidance has been</w:t>
      </w:r>
      <w:r w:rsidR="00324048">
        <w:rPr>
          <w:rFonts w:ascii="Arial" w:hAnsi="Arial" w:cs="Arial"/>
          <w:sz w:val="24"/>
          <w:szCs w:val="24"/>
        </w:rPr>
        <w:t xml:space="preserve"> </w:t>
      </w:r>
      <w:r w:rsidR="00324048" w:rsidRPr="00324048">
        <w:rPr>
          <w:rFonts w:ascii="Arial" w:hAnsi="Arial" w:cs="Arial"/>
          <w:sz w:val="24"/>
          <w:szCs w:val="24"/>
        </w:rPr>
        <w:t>applied through the December 31, 2020 balances.</w:t>
      </w:r>
    </w:p>
    <w:p w14:paraId="729F0B2C" w14:textId="20464F81" w:rsidR="00E9746C" w:rsidRDefault="00A543C8" w:rsidP="00A543C8">
      <w:pPr>
        <w:rPr>
          <w:rFonts w:ascii="Arial" w:hAnsi="Arial" w:cs="Arial"/>
          <w:sz w:val="24"/>
          <w:szCs w:val="24"/>
        </w:rPr>
      </w:pPr>
      <w:r>
        <w:rPr>
          <w:rFonts w:ascii="Arial" w:hAnsi="Arial" w:cs="Arial"/>
          <w:sz w:val="24"/>
          <w:szCs w:val="24"/>
        </w:rPr>
        <w:t xml:space="preserve">In reference </w:t>
      </w:r>
      <w:r w:rsidR="00580B27">
        <w:rPr>
          <w:rFonts w:ascii="Arial" w:hAnsi="Arial" w:cs="Arial"/>
          <w:sz w:val="24"/>
          <w:szCs w:val="24"/>
        </w:rPr>
        <w:t>3</w:t>
      </w:r>
      <w:r>
        <w:rPr>
          <w:rFonts w:ascii="Arial" w:hAnsi="Arial" w:cs="Arial"/>
          <w:sz w:val="24"/>
          <w:szCs w:val="24"/>
        </w:rPr>
        <w:t xml:space="preserve">, </w:t>
      </w:r>
      <w:r w:rsidR="00E9746C">
        <w:rPr>
          <w:rFonts w:ascii="Arial" w:hAnsi="Arial" w:cs="Arial"/>
          <w:sz w:val="24"/>
          <w:szCs w:val="24"/>
        </w:rPr>
        <w:t xml:space="preserve">the </w:t>
      </w:r>
      <w:r w:rsidR="002F3610">
        <w:rPr>
          <w:rFonts w:ascii="Arial" w:hAnsi="Arial" w:cs="Arial"/>
          <w:sz w:val="24"/>
          <w:szCs w:val="24"/>
        </w:rPr>
        <w:t>D</w:t>
      </w:r>
      <w:r w:rsidR="00E9746C">
        <w:rPr>
          <w:rFonts w:ascii="Arial" w:hAnsi="Arial" w:cs="Arial"/>
          <w:sz w:val="24"/>
          <w:szCs w:val="24"/>
        </w:rPr>
        <w:t xml:space="preserve">ecision and </w:t>
      </w:r>
      <w:r w:rsidR="002F3610">
        <w:rPr>
          <w:rFonts w:ascii="Arial" w:hAnsi="Arial" w:cs="Arial"/>
          <w:sz w:val="24"/>
          <w:szCs w:val="24"/>
        </w:rPr>
        <w:t>Rate O</w:t>
      </w:r>
      <w:r w:rsidR="00E9746C">
        <w:rPr>
          <w:rFonts w:ascii="Arial" w:hAnsi="Arial" w:cs="Arial"/>
          <w:sz w:val="24"/>
          <w:szCs w:val="24"/>
        </w:rPr>
        <w:t>rder states that:</w:t>
      </w:r>
    </w:p>
    <w:p w14:paraId="4377EB5E" w14:textId="2774C219" w:rsidR="00201DE8" w:rsidRDefault="00E9746C" w:rsidP="00201DE8">
      <w:pPr>
        <w:ind w:left="720"/>
        <w:rPr>
          <w:rFonts w:ascii="Arial" w:hAnsi="Arial" w:cs="Arial"/>
          <w:sz w:val="24"/>
          <w:szCs w:val="24"/>
        </w:rPr>
      </w:pPr>
      <w:r>
        <w:rPr>
          <w:rFonts w:ascii="Arial" w:hAnsi="Arial" w:cs="Arial"/>
          <w:sz w:val="24"/>
          <w:szCs w:val="24"/>
        </w:rPr>
        <w:t>T</w:t>
      </w:r>
      <w:r w:rsidR="00A543C8" w:rsidRPr="00A543C8">
        <w:rPr>
          <w:rFonts w:ascii="Arial" w:hAnsi="Arial" w:cs="Arial"/>
          <w:sz w:val="24"/>
          <w:szCs w:val="24"/>
        </w:rPr>
        <w:t>he OEB f</w:t>
      </w:r>
      <w:r w:rsidR="00A543C8">
        <w:rPr>
          <w:rFonts w:ascii="Arial" w:hAnsi="Arial" w:cs="Arial"/>
          <w:sz w:val="24"/>
          <w:szCs w:val="24"/>
        </w:rPr>
        <w:t>ound</w:t>
      </w:r>
      <w:r w:rsidR="00A543C8" w:rsidRPr="00A543C8">
        <w:rPr>
          <w:rFonts w:ascii="Arial" w:hAnsi="Arial" w:cs="Arial"/>
          <w:sz w:val="24"/>
          <w:szCs w:val="24"/>
        </w:rPr>
        <w:t xml:space="preserve"> that no disposition </w:t>
      </w:r>
      <w:r w:rsidR="00324048">
        <w:rPr>
          <w:rFonts w:ascii="Arial" w:hAnsi="Arial" w:cs="Arial"/>
          <w:sz w:val="24"/>
          <w:szCs w:val="24"/>
        </w:rPr>
        <w:t xml:space="preserve">for Group 1 DVA balances ending December 31, </w:t>
      </w:r>
      <w:proofErr w:type="gramStart"/>
      <w:r w:rsidR="00324048">
        <w:rPr>
          <w:rFonts w:ascii="Arial" w:hAnsi="Arial" w:cs="Arial"/>
          <w:sz w:val="24"/>
          <w:szCs w:val="24"/>
        </w:rPr>
        <w:t>2020</w:t>
      </w:r>
      <w:proofErr w:type="gramEnd"/>
      <w:r w:rsidR="00324048">
        <w:rPr>
          <w:rFonts w:ascii="Arial" w:hAnsi="Arial" w:cs="Arial"/>
          <w:sz w:val="24"/>
          <w:szCs w:val="24"/>
        </w:rPr>
        <w:t xml:space="preserve"> </w:t>
      </w:r>
      <w:r w:rsidR="00A543C8">
        <w:rPr>
          <w:rFonts w:ascii="Arial" w:hAnsi="Arial" w:cs="Arial"/>
          <w:sz w:val="24"/>
          <w:szCs w:val="24"/>
        </w:rPr>
        <w:t>was</w:t>
      </w:r>
      <w:r w:rsidR="00A543C8" w:rsidRPr="00A543C8">
        <w:rPr>
          <w:rFonts w:ascii="Arial" w:hAnsi="Arial" w:cs="Arial"/>
          <w:sz w:val="24"/>
          <w:szCs w:val="24"/>
        </w:rPr>
        <w:t xml:space="preserve"> required, as the disposition threshold </w:t>
      </w:r>
      <w:r w:rsidR="00A543C8">
        <w:rPr>
          <w:rFonts w:ascii="Arial" w:hAnsi="Arial" w:cs="Arial"/>
          <w:sz w:val="24"/>
          <w:szCs w:val="24"/>
        </w:rPr>
        <w:t>was</w:t>
      </w:r>
      <w:r w:rsidR="00A543C8" w:rsidRPr="00A543C8">
        <w:rPr>
          <w:rFonts w:ascii="Arial" w:hAnsi="Arial" w:cs="Arial"/>
          <w:sz w:val="24"/>
          <w:szCs w:val="24"/>
        </w:rPr>
        <w:t xml:space="preserve"> </w:t>
      </w:r>
      <w:r w:rsidR="001A0263">
        <w:rPr>
          <w:rFonts w:ascii="Arial" w:hAnsi="Arial" w:cs="Arial"/>
          <w:sz w:val="24"/>
          <w:szCs w:val="24"/>
        </w:rPr>
        <w:t xml:space="preserve">not </w:t>
      </w:r>
      <w:r w:rsidR="00A543C8" w:rsidRPr="00A543C8">
        <w:rPr>
          <w:rFonts w:ascii="Arial" w:hAnsi="Arial" w:cs="Arial"/>
          <w:sz w:val="24"/>
          <w:szCs w:val="24"/>
        </w:rPr>
        <w:t xml:space="preserve">exceeded and </w:t>
      </w:r>
      <w:r w:rsidR="00A543C8">
        <w:rPr>
          <w:rFonts w:ascii="Arial" w:hAnsi="Arial" w:cs="Arial"/>
          <w:sz w:val="24"/>
          <w:szCs w:val="24"/>
        </w:rPr>
        <w:t>Tillsonburg Hydro</w:t>
      </w:r>
      <w:r w:rsidR="00A543C8" w:rsidRPr="00A543C8">
        <w:rPr>
          <w:rFonts w:ascii="Arial" w:hAnsi="Arial" w:cs="Arial"/>
          <w:sz w:val="24"/>
          <w:szCs w:val="24"/>
        </w:rPr>
        <w:t xml:space="preserve"> did not request disposition. </w:t>
      </w:r>
      <w:r w:rsidR="001A0263">
        <w:rPr>
          <w:rFonts w:ascii="Arial" w:hAnsi="Arial" w:cs="Arial"/>
          <w:sz w:val="24"/>
          <w:szCs w:val="24"/>
        </w:rPr>
        <w:t>T</w:t>
      </w:r>
      <w:r w:rsidR="001A0263" w:rsidRPr="001A0263">
        <w:rPr>
          <w:rFonts w:ascii="Arial" w:hAnsi="Arial" w:cs="Arial"/>
          <w:sz w:val="24"/>
          <w:szCs w:val="24"/>
        </w:rPr>
        <w:t>he OEB referred the utility to the OEB’s Inspection &amp; Enforcement department for the consideration of a review of Tillsonburg Hydro’s internal controls and associated accounting practices relating to Account 1588 and Account 1589</w:t>
      </w:r>
      <w:r w:rsidR="001A0263">
        <w:rPr>
          <w:rFonts w:ascii="Arial" w:hAnsi="Arial" w:cs="Arial"/>
          <w:sz w:val="24"/>
          <w:szCs w:val="24"/>
        </w:rPr>
        <w:t xml:space="preserve">. </w:t>
      </w:r>
      <w:r w:rsidR="00A543C8" w:rsidRPr="00A543C8">
        <w:rPr>
          <w:rFonts w:ascii="Arial" w:hAnsi="Arial" w:cs="Arial"/>
          <w:sz w:val="24"/>
          <w:szCs w:val="24"/>
        </w:rPr>
        <w:t>The OEB direct</w:t>
      </w:r>
      <w:r w:rsidR="00A543C8">
        <w:rPr>
          <w:rFonts w:ascii="Arial" w:hAnsi="Arial" w:cs="Arial"/>
          <w:sz w:val="24"/>
          <w:szCs w:val="24"/>
        </w:rPr>
        <w:t>ed</w:t>
      </w:r>
      <w:r w:rsidR="00A543C8" w:rsidRPr="00A543C8">
        <w:rPr>
          <w:rFonts w:ascii="Arial" w:hAnsi="Arial" w:cs="Arial"/>
          <w:sz w:val="24"/>
          <w:szCs w:val="24"/>
        </w:rPr>
        <w:t xml:space="preserve"> Tillsonburg Hydro to provide the outcomes of the inspection</w:t>
      </w:r>
      <w:r w:rsidR="002F6DB9">
        <w:rPr>
          <w:rFonts w:ascii="Arial" w:hAnsi="Arial" w:cs="Arial"/>
          <w:sz w:val="24"/>
          <w:szCs w:val="24"/>
        </w:rPr>
        <w:t xml:space="preserve"> for Accounts 1588 and 1589</w:t>
      </w:r>
      <w:r w:rsidR="00A543C8" w:rsidRPr="00A543C8">
        <w:rPr>
          <w:rFonts w:ascii="Arial" w:hAnsi="Arial" w:cs="Arial"/>
          <w:sz w:val="24"/>
          <w:szCs w:val="24"/>
        </w:rPr>
        <w:t xml:space="preserve"> for the OEB’s consideration in the </w:t>
      </w:r>
      <w:proofErr w:type="gramStart"/>
      <w:r w:rsidR="00A543C8" w:rsidRPr="00A543C8">
        <w:rPr>
          <w:rFonts w:ascii="Arial" w:hAnsi="Arial" w:cs="Arial"/>
          <w:sz w:val="24"/>
          <w:szCs w:val="24"/>
        </w:rPr>
        <w:t>first rate</w:t>
      </w:r>
      <w:proofErr w:type="gramEnd"/>
      <w:r w:rsidR="00A543C8" w:rsidRPr="00A543C8">
        <w:rPr>
          <w:rFonts w:ascii="Arial" w:hAnsi="Arial" w:cs="Arial"/>
          <w:sz w:val="24"/>
          <w:szCs w:val="24"/>
        </w:rPr>
        <w:t xml:space="preserve"> application following the conclusion of this review.</w:t>
      </w:r>
      <w:r w:rsidR="00201DE8" w:rsidRPr="00201DE8">
        <w:rPr>
          <w:rFonts w:ascii="Arial" w:hAnsi="Arial" w:cs="Arial"/>
          <w:sz w:val="24"/>
          <w:szCs w:val="24"/>
        </w:rPr>
        <w:t xml:space="preserve"> </w:t>
      </w:r>
    </w:p>
    <w:p w14:paraId="6C56C5A7" w14:textId="5F7632E6" w:rsidR="00503C70" w:rsidRDefault="00201DE8" w:rsidP="00201DE8">
      <w:pPr>
        <w:rPr>
          <w:rFonts w:ascii="Arial" w:hAnsi="Arial" w:cs="Arial"/>
          <w:sz w:val="24"/>
          <w:szCs w:val="24"/>
        </w:rPr>
      </w:pPr>
      <w:r>
        <w:rPr>
          <w:rFonts w:ascii="Arial" w:hAnsi="Arial" w:cs="Arial"/>
          <w:sz w:val="24"/>
          <w:szCs w:val="24"/>
        </w:rPr>
        <w:t xml:space="preserve">OEB staff notes that </w:t>
      </w:r>
      <w:r w:rsidR="00C57E58">
        <w:rPr>
          <w:rFonts w:ascii="Arial" w:hAnsi="Arial" w:cs="Arial"/>
          <w:sz w:val="24"/>
          <w:szCs w:val="24"/>
        </w:rPr>
        <w:t>T</w:t>
      </w:r>
      <w:r w:rsidR="00C57E58" w:rsidRPr="002F6DB9">
        <w:rPr>
          <w:rFonts w:ascii="Arial" w:hAnsi="Arial" w:cs="Arial"/>
          <w:sz w:val="24"/>
          <w:szCs w:val="24"/>
        </w:rPr>
        <w:t xml:space="preserve">illsonburg </w:t>
      </w:r>
      <w:r w:rsidRPr="002F6DB9">
        <w:rPr>
          <w:rFonts w:ascii="Arial" w:hAnsi="Arial" w:cs="Arial"/>
          <w:sz w:val="24"/>
          <w:szCs w:val="24"/>
        </w:rPr>
        <w:t>Hydro has not disposed of any Group 1 DVA balances since the last disposition of the 2015 balances in its 2017 IRM application</w:t>
      </w:r>
      <w:r>
        <w:rPr>
          <w:rFonts w:ascii="Arial" w:hAnsi="Arial" w:cs="Arial"/>
          <w:sz w:val="24"/>
          <w:szCs w:val="24"/>
        </w:rPr>
        <w:t>.</w:t>
      </w:r>
    </w:p>
    <w:p w14:paraId="729A8344" w14:textId="69D1E6D3" w:rsidR="00A543C8" w:rsidRDefault="00A543C8" w:rsidP="00A543C8">
      <w:pPr>
        <w:rPr>
          <w:rFonts w:ascii="Arial" w:hAnsi="Arial" w:cs="Arial"/>
          <w:sz w:val="24"/>
          <w:szCs w:val="24"/>
        </w:rPr>
      </w:pPr>
      <w:r>
        <w:rPr>
          <w:rFonts w:ascii="Arial" w:hAnsi="Arial" w:cs="Arial"/>
          <w:sz w:val="24"/>
          <w:szCs w:val="24"/>
        </w:rPr>
        <w:t>Question</w:t>
      </w:r>
      <w:r w:rsidR="00E9746C">
        <w:rPr>
          <w:rFonts w:ascii="Arial" w:hAnsi="Arial" w:cs="Arial"/>
          <w:sz w:val="24"/>
          <w:szCs w:val="24"/>
        </w:rPr>
        <w:t>s</w:t>
      </w:r>
      <w:r>
        <w:rPr>
          <w:rFonts w:ascii="Arial" w:hAnsi="Arial" w:cs="Arial"/>
          <w:sz w:val="24"/>
          <w:szCs w:val="24"/>
        </w:rPr>
        <w:t>:</w:t>
      </w:r>
    </w:p>
    <w:p w14:paraId="046FE11D" w14:textId="2D013FE3" w:rsidR="00E9746C" w:rsidRDefault="00E9746C" w:rsidP="00EC4DB7">
      <w:pPr>
        <w:pStyle w:val="ListParagraph"/>
        <w:numPr>
          <w:ilvl w:val="0"/>
          <w:numId w:val="8"/>
        </w:numPr>
        <w:rPr>
          <w:rFonts w:ascii="Arial" w:hAnsi="Arial" w:cs="Arial"/>
          <w:sz w:val="24"/>
          <w:szCs w:val="24"/>
        </w:rPr>
      </w:pPr>
      <w:r>
        <w:rPr>
          <w:rFonts w:ascii="Arial" w:hAnsi="Arial" w:cs="Arial"/>
          <w:sz w:val="24"/>
          <w:szCs w:val="24"/>
        </w:rPr>
        <w:t xml:space="preserve">Please </w:t>
      </w:r>
      <w:r w:rsidR="004D6E5D">
        <w:rPr>
          <w:rFonts w:ascii="Arial" w:hAnsi="Arial" w:cs="Arial"/>
          <w:sz w:val="24"/>
          <w:szCs w:val="24"/>
        </w:rPr>
        <w:t xml:space="preserve">provide the status of the </w:t>
      </w:r>
      <w:r w:rsidR="00EA48A3">
        <w:rPr>
          <w:rFonts w:ascii="Arial" w:hAnsi="Arial" w:cs="Arial"/>
          <w:sz w:val="24"/>
          <w:szCs w:val="24"/>
        </w:rPr>
        <w:t xml:space="preserve">inspection. </w:t>
      </w:r>
    </w:p>
    <w:p w14:paraId="4B85B77A" w14:textId="03AA3589" w:rsidR="00376CF4" w:rsidRDefault="00376CF4" w:rsidP="00EC4DB7">
      <w:pPr>
        <w:pStyle w:val="ListParagraph"/>
        <w:numPr>
          <w:ilvl w:val="0"/>
          <w:numId w:val="8"/>
        </w:numPr>
        <w:rPr>
          <w:rFonts w:ascii="Arial" w:hAnsi="Arial" w:cs="Arial"/>
          <w:sz w:val="24"/>
          <w:szCs w:val="24"/>
        </w:rPr>
      </w:pPr>
      <w:r>
        <w:rPr>
          <w:rFonts w:ascii="Arial" w:hAnsi="Arial" w:cs="Arial"/>
          <w:sz w:val="24"/>
          <w:szCs w:val="24"/>
        </w:rPr>
        <w:t xml:space="preserve">Please provide a calculation of the IRM threshold calculation for the total Group 1 accounts excluding accounts 1588 and 1589 and </w:t>
      </w:r>
      <w:r w:rsidR="00156FA8">
        <w:rPr>
          <w:rFonts w:ascii="Arial" w:hAnsi="Arial" w:cs="Arial"/>
          <w:sz w:val="24"/>
          <w:szCs w:val="24"/>
        </w:rPr>
        <w:t>confirm if the result of the calculation</w:t>
      </w:r>
      <w:r w:rsidR="00A6442F">
        <w:rPr>
          <w:rFonts w:ascii="Arial" w:hAnsi="Arial" w:cs="Arial"/>
          <w:sz w:val="24"/>
          <w:szCs w:val="24"/>
        </w:rPr>
        <w:t xml:space="preserve"> shows that th</w:t>
      </w:r>
      <w:r w:rsidR="00201DE8">
        <w:rPr>
          <w:rFonts w:ascii="Arial" w:hAnsi="Arial" w:cs="Arial"/>
          <w:sz w:val="24"/>
          <w:szCs w:val="24"/>
        </w:rPr>
        <w:t xml:space="preserve">is total exceeds the IRM threshold. </w:t>
      </w:r>
      <w:r w:rsidR="00156FA8">
        <w:rPr>
          <w:rFonts w:ascii="Arial" w:hAnsi="Arial" w:cs="Arial"/>
          <w:sz w:val="24"/>
          <w:szCs w:val="24"/>
        </w:rPr>
        <w:t xml:space="preserve"> </w:t>
      </w:r>
    </w:p>
    <w:p w14:paraId="696DD8F8" w14:textId="0CBB8866" w:rsidR="00343093" w:rsidRPr="00C57E58" w:rsidRDefault="002D5931" w:rsidP="005E0CFF">
      <w:pPr>
        <w:pStyle w:val="ListParagraph"/>
        <w:numPr>
          <w:ilvl w:val="0"/>
          <w:numId w:val="8"/>
        </w:numPr>
        <w:rPr>
          <w:rFonts w:ascii="Arial" w:hAnsi="Arial" w:cs="Arial"/>
          <w:sz w:val="24"/>
          <w:szCs w:val="24"/>
        </w:rPr>
      </w:pPr>
      <w:r>
        <w:rPr>
          <w:rFonts w:ascii="Arial" w:hAnsi="Arial" w:cs="Arial"/>
          <w:sz w:val="24"/>
          <w:szCs w:val="24"/>
        </w:rPr>
        <w:t xml:space="preserve">If the answer to question b) is yes, </w:t>
      </w:r>
      <w:r w:rsidR="00C35328">
        <w:rPr>
          <w:rFonts w:ascii="Arial" w:hAnsi="Arial" w:cs="Arial"/>
          <w:sz w:val="24"/>
          <w:szCs w:val="24"/>
        </w:rPr>
        <w:t>p</w:t>
      </w:r>
      <w:r w:rsidR="00580B27" w:rsidRPr="002F6DB9">
        <w:rPr>
          <w:rFonts w:ascii="Arial" w:hAnsi="Arial" w:cs="Arial"/>
          <w:sz w:val="24"/>
          <w:szCs w:val="24"/>
        </w:rPr>
        <w:t xml:space="preserve">lease provide </w:t>
      </w:r>
      <w:r w:rsidR="00EA48A3">
        <w:rPr>
          <w:rFonts w:ascii="Arial" w:hAnsi="Arial" w:cs="Arial"/>
          <w:sz w:val="24"/>
          <w:szCs w:val="24"/>
        </w:rPr>
        <w:t>Tillsonburg</w:t>
      </w:r>
      <w:r w:rsidR="00CD6134">
        <w:rPr>
          <w:rFonts w:ascii="Arial" w:hAnsi="Arial" w:cs="Arial"/>
          <w:sz w:val="24"/>
          <w:szCs w:val="24"/>
        </w:rPr>
        <w:t xml:space="preserve"> Hydro</w:t>
      </w:r>
      <w:r w:rsidR="00EA48A3">
        <w:rPr>
          <w:rFonts w:ascii="Arial" w:hAnsi="Arial" w:cs="Arial"/>
          <w:sz w:val="24"/>
          <w:szCs w:val="24"/>
        </w:rPr>
        <w:t>’s</w:t>
      </w:r>
      <w:r w:rsidR="00580B27" w:rsidRPr="002F6DB9">
        <w:rPr>
          <w:rFonts w:ascii="Arial" w:hAnsi="Arial" w:cs="Arial"/>
          <w:sz w:val="24"/>
          <w:szCs w:val="24"/>
        </w:rPr>
        <w:t xml:space="preserve"> thoughts </w:t>
      </w:r>
      <w:r w:rsidR="00324048" w:rsidRPr="002F6DB9">
        <w:rPr>
          <w:rFonts w:ascii="Arial" w:hAnsi="Arial" w:cs="Arial"/>
          <w:sz w:val="24"/>
          <w:szCs w:val="24"/>
        </w:rPr>
        <w:t>on</w:t>
      </w:r>
      <w:r w:rsidR="00580B27" w:rsidRPr="002F6DB9">
        <w:rPr>
          <w:rFonts w:ascii="Arial" w:hAnsi="Arial" w:cs="Arial"/>
          <w:sz w:val="24"/>
          <w:szCs w:val="24"/>
        </w:rPr>
        <w:t xml:space="preserve"> disposing </w:t>
      </w:r>
      <w:r w:rsidR="007969AD" w:rsidRPr="002F6DB9">
        <w:rPr>
          <w:rFonts w:ascii="Arial" w:hAnsi="Arial" w:cs="Arial"/>
          <w:sz w:val="24"/>
          <w:szCs w:val="24"/>
        </w:rPr>
        <w:t xml:space="preserve">of </w:t>
      </w:r>
      <w:r w:rsidR="00580B27" w:rsidRPr="002F6DB9">
        <w:rPr>
          <w:rFonts w:ascii="Arial" w:hAnsi="Arial" w:cs="Arial"/>
          <w:sz w:val="24"/>
          <w:szCs w:val="24"/>
        </w:rPr>
        <w:t>Group 1 DVA balances excluding accounts 1588 and 1589 on an interim basis in this rate application.</w:t>
      </w:r>
    </w:p>
    <w:sectPr w:rsidR="00343093" w:rsidRPr="00C57E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9CB6" w14:textId="77777777" w:rsidR="00500BC2" w:rsidRDefault="00500BC2" w:rsidP="00500BC2">
      <w:pPr>
        <w:spacing w:after="0" w:line="240" w:lineRule="auto"/>
      </w:pPr>
      <w:r>
        <w:separator/>
      </w:r>
    </w:p>
  </w:endnote>
  <w:endnote w:type="continuationSeparator" w:id="0">
    <w:p w14:paraId="462D6C4F" w14:textId="77777777" w:rsidR="00500BC2" w:rsidRDefault="00500BC2" w:rsidP="0050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062844"/>
      <w:docPartObj>
        <w:docPartGallery w:val="Page Numbers (Bottom of Page)"/>
        <w:docPartUnique/>
      </w:docPartObj>
    </w:sdtPr>
    <w:sdtEndPr>
      <w:rPr>
        <w:noProof/>
      </w:rPr>
    </w:sdtEndPr>
    <w:sdtContent>
      <w:p w14:paraId="50FDBD06" w14:textId="6879D48C" w:rsidR="00BD3476" w:rsidRDefault="00BD3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DCED6" w14:textId="77777777" w:rsidR="00BD3476" w:rsidRDefault="00BD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C98C" w14:textId="77777777" w:rsidR="00500BC2" w:rsidRDefault="00500BC2" w:rsidP="00500BC2">
      <w:pPr>
        <w:spacing w:after="0" w:line="240" w:lineRule="auto"/>
      </w:pPr>
      <w:r>
        <w:separator/>
      </w:r>
    </w:p>
  </w:footnote>
  <w:footnote w:type="continuationSeparator" w:id="0">
    <w:p w14:paraId="3F357AB5" w14:textId="77777777" w:rsidR="00500BC2" w:rsidRDefault="00500BC2" w:rsidP="00500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308"/>
    <w:multiLevelType w:val="hybridMultilevel"/>
    <w:tmpl w:val="3648D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876CB"/>
    <w:multiLevelType w:val="hybridMultilevel"/>
    <w:tmpl w:val="EF926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46190"/>
    <w:multiLevelType w:val="hybridMultilevel"/>
    <w:tmpl w:val="D7E038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D12334"/>
    <w:multiLevelType w:val="hybridMultilevel"/>
    <w:tmpl w:val="56C64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B0860"/>
    <w:multiLevelType w:val="hybridMultilevel"/>
    <w:tmpl w:val="8DAA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24663"/>
    <w:multiLevelType w:val="hybridMultilevel"/>
    <w:tmpl w:val="D7E03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7658B"/>
    <w:multiLevelType w:val="hybridMultilevel"/>
    <w:tmpl w:val="2A44DEE2"/>
    <w:lvl w:ilvl="0" w:tplc="04090013">
      <w:start w:val="1"/>
      <w:numFmt w:val="upp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675B6DC0"/>
    <w:multiLevelType w:val="hybridMultilevel"/>
    <w:tmpl w:val="E7D0D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46252"/>
    <w:multiLevelType w:val="hybridMultilevel"/>
    <w:tmpl w:val="170A5F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B4F0E"/>
    <w:multiLevelType w:val="hybridMultilevel"/>
    <w:tmpl w:val="ED06B59C"/>
    <w:lvl w:ilvl="0" w:tplc="6EFAE8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0F8269C"/>
    <w:multiLevelType w:val="hybridMultilevel"/>
    <w:tmpl w:val="E554564C"/>
    <w:lvl w:ilvl="0" w:tplc="F2121F26">
      <w:start w:val="1"/>
      <w:numFmt w:val="lowerLetter"/>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5"/>
  </w:num>
  <w:num w:numId="7">
    <w:abstractNumId w:val="7"/>
  </w:num>
  <w:num w:numId="8">
    <w:abstractNumId w:val="2"/>
  </w:num>
  <w:num w:numId="9">
    <w:abstractNumId w:val="3"/>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C2"/>
    <w:rsid w:val="00052995"/>
    <w:rsid w:val="000E11EC"/>
    <w:rsid w:val="00110E83"/>
    <w:rsid w:val="00156FA8"/>
    <w:rsid w:val="00173C23"/>
    <w:rsid w:val="00195EA9"/>
    <w:rsid w:val="001A0263"/>
    <w:rsid w:val="001B43F5"/>
    <w:rsid w:val="001D646B"/>
    <w:rsid w:val="001E2733"/>
    <w:rsid w:val="00201DE8"/>
    <w:rsid w:val="00245411"/>
    <w:rsid w:val="00264B1C"/>
    <w:rsid w:val="002D5931"/>
    <w:rsid w:val="002F2926"/>
    <w:rsid w:val="002F3610"/>
    <w:rsid w:val="002F6DB9"/>
    <w:rsid w:val="00324048"/>
    <w:rsid w:val="00343093"/>
    <w:rsid w:val="00353DE9"/>
    <w:rsid w:val="00376CF4"/>
    <w:rsid w:val="003F794C"/>
    <w:rsid w:val="004252D3"/>
    <w:rsid w:val="004459F2"/>
    <w:rsid w:val="00466141"/>
    <w:rsid w:val="00492E56"/>
    <w:rsid w:val="004D6E5D"/>
    <w:rsid w:val="004F77E8"/>
    <w:rsid w:val="00500BC2"/>
    <w:rsid w:val="00503C70"/>
    <w:rsid w:val="00536002"/>
    <w:rsid w:val="0056251A"/>
    <w:rsid w:val="005669D9"/>
    <w:rsid w:val="005720F4"/>
    <w:rsid w:val="00580B27"/>
    <w:rsid w:val="005E0CFF"/>
    <w:rsid w:val="005E5DEB"/>
    <w:rsid w:val="006408C9"/>
    <w:rsid w:val="00676DD5"/>
    <w:rsid w:val="00687957"/>
    <w:rsid w:val="00756B7F"/>
    <w:rsid w:val="0077158F"/>
    <w:rsid w:val="007969AD"/>
    <w:rsid w:val="007A4767"/>
    <w:rsid w:val="007B3565"/>
    <w:rsid w:val="008430C8"/>
    <w:rsid w:val="00861C88"/>
    <w:rsid w:val="00885B78"/>
    <w:rsid w:val="00887F9E"/>
    <w:rsid w:val="008A7115"/>
    <w:rsid w:val="008C3371"/>
    <w:rsid w:val="0092328A"/>
    <w:rsid w:val="0094057E"/>
    <w:rsid w:val="00950BEC"/>
    <w:rsid w:val="00984DDB"/>
    <w:rsid w:val="00995808"/>
    <w:rsid w:val="009F388B"/>
    <w:rsid w:val="00A11363"/>
    <w:rsid w:val="00A543C8"/>
    <w:rsid w:val="00A543D9"/>
    <w:rsid w:val="00A6442F"/>
    <w:rsid w:val="00A773F7"/>
    <w:rsid w:val="00A81600"/>
    <w:rsid w:val="00AD1295"/>
    <w:rsid w:val="00AF5124"/>
    <w:rsid w:val="00B11C3B"/>
    <w:rsid w:val="00B829F2"/>
    <w:rsid w:val="00B9139B"/>
    <w:rsid w:val="00BB2B71"/>
    <w:rsid w:val="00BD3476"/>
    <w:rsid w:val="00C2656D"/>
    <w:rsid w:val="00C35328"/>
    <w:rsid w:val="00C57E58"/>
    <w:rsid w:val="00CA308F"/>
    <w:rsid w:val="00CD6134"/>
    <w:rsid w:val="00CF4CF3"/>
    <w:rsid w:val="00D07FD7"/>
    <w:rsid w:val="00D140EC"/>
    <w:rsid w:val="00D3478E"/>
    <w:rsid w:val="00D47B82"/>
    <w:rsid w:val="00D623CA"/>
    <w:rsid w:val="00D83E29"/>
    <w:rsid w:val="00D900A9"/>
    <w:rsid w:val="00DF4F71"/>
    <w:rsid w:val="00E0350F"/>
    <w:rsid w:val="00E1039A"/>
    <w:rsid w:val="00E9746C"/>
    <w:rsid w:val="00EA48A3"/>
    <w:rsid w:val="00EF6DD7"/>
    <w:rsid w:val="00F03046"/>
    <w:rsid w:val="00F058C6"/>
    <w:rsid w:val="00F70112"/>
    <w:rsid w:val="00FA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23A1"/>
  <w15:chartTrackingRefBased/>
  <w15:docId w15:val="{9FC526F3-66E7-4AB4-A200-C5DC09D3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C2"/>
    <w:pPr>
      <w:ind w:left="720"/>
      <w:contextualSpacing/>
    </w:pPr>
  </w:style>
  <w:style w:type="paragraph" w:styleId="FootnoteText">
    <w:name w:val="footnote text"/>
    <w:basedOn w:val="Normal"/>
    <w:link w:val="FootnoteTextChar"/>
    <w:uiPriority w:val="99"/>
    <w:semiHidden/>
    <w:unhideWhenUsed/>
    <w:rsid w:val="00500B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BC2"/>
    <w:rPr>
      <w:sz w:val="20"/>
      <w:szCs w:val="20"/>
    </w:rPr>
  </w:style>
  <w:style w:type="character" w:styleId="FootnoteReference">
    <w:name w:val="footnote reference"/>
    <w:basedOn w:val="DefaultParagraphFont"/>
    <w:uiPriority w:val="99"/>
    <w:semiHidden/>
    <w:unhideWhenUsed/>
    <w:rsid w:val="00500BC2"/>
    <w:rPr>
      <w:vertAlign w:val="superscript"/>
    </w:rPr>
  </w:style>
  <w:style w:type="character" w:styleId="Hyperlink">
    <w:name w:val="Hyperlink"/>
    <w:basedOn w:val="DefaultParagraphFont"/>
    <w:uiPriority w:val="99"/>
    <w:unhideWhenUsed/>
    <w:rsid w:val="00885B78"/>
    <w:rPr>
      <w:color w:val="0563C1" w:themeColor="hyperlink"/>
      <w:u w:val="single"/>
    </w:rPr>
  </w:style>
  <w:style w:type="character" w:styleId="UnresolvedMention">
    <w:name w:val="Unresolved Mention"/>
    <w:basedOn w:val="DefaultParagraphFont"/>
    <w:uiPriority w:val="99"/>
    <w:semiHidden/>
    <w:unhideWhenUsed/>
    <w:rsid w:val="00885B78"/>
    <w:rPr>
      <w:color w:val="605E5C"/>
      <w:shd w:val="clear" w:color="auto" w:fill="E1DFDD"/>
    </w:rPr>
  </w:style>
  <w:style w:type="character" w:styleId="FollowedHyperlink">
    <w:name w:val="FollowedHyperlink"/>
    <w:basedOn w:val="DefaultParagraphFont"/>
    <w:uiPriority w:val="99"/>
    <w:semiHidden/>
    <w:unhideWhenUsed/>
    <w:rsid w:val="00DF4F71"/>
    <w:rPr>
      <w:color w:val="954F72" w:themeColor="followedHyperlink"/>
      <w:u w:val="single"/>
    </w:rPr>
  </w:style>
  <w:style w:type="character" w:styleId="CommentReference">
    <w:name w:val="annotation reference"/>
    <w:basedOn w:val="DefaultParagraphFont"/>
    <w:uiPriority w:val="99"/>
    <w:semiHidden/>
    <w:unhideWhenUsed/>
    <w:rsid w:val="004252D3"/>
    <w:rPr>
      <w:sz w:val="16"/>
      <w:szCs w:val="16"/>
    </w:rPr>
  </w:style>
  <w:style w:type="paragraph" w:styleId="CommentText">
    <w:name w:val="annotation text"/>
    <w:basedOn w:val="Normal"/>
    <w:link w:val="CommentTextChar"/>
    <w:uiPriority w:val="99"/>
    <w:unhideWhenUsed/>
    <w:rsid w:val="004252D3"/>
    <w:pPr>
      <w:spacing w:line="240" w:lineRule="auto"/>
    </w:pPr>
    <w:rPr>
      <w:sz w:val="20"/>
      <w:szCs w:val="20"/>
    </w:rPr>
  </w:style>
  <w:style w:type="character" w:customStyle="1" w:styleId="CommentTextChar">
    <w:name w:val="Comment Text Char"/>
    <w:basedOn w:val="DefaultParagraphFont"/>
    <w:link w:val="CommentText"/>
    <w:uiPriority w:val="99"/>
    <w:rsid w:val="004252D3"/>
    <w:rPr>
      <w:sz w:val="20"/>
      <w:szCs w:val="20"/>
    </w:rPr>
  </w:style>
  <w:style w:type="paragraph" w:styleId="CommentSubject">
    <w:name w:val="annotation subject"/>
    <w:basedOn w:val="CommentText"/>
    <w:next w:val="CommentText"/>
    <w:link w:val="CommentSubjectChar"/>
    <w:uiPriority w:val="99"/>
    <w:semiHidden/>
    <w:unhideWhenUsed/>
    <w:rsid w:val="004252D3"/>
    <w:rPr>
      <w:b/>
      <w:bCs/>
    </w:rPr>
  </w:style>
  <w:style w:type="character" w:customStyle="1" w:styleId="CommentSubjectChar">
    <w:name w:val="Comment Subject Char"/>
    <w:basedOn w:val="CommentTextChar"/>
    <w:link w:val="CommentSubject"/>
    <w:uiPriority w:val="99"/>
    <w:semiHidden/>
    <w:rsid w:val="004252D3"/>
    <w:rPr>
      <w:b/>
      <w:bCs/>
      <w:sz w:val="20"/>
      <w:szCs w:val="20"/>
    </w:rPr>
  </w:style>
  <w:style w:type="paragraph" w:styleId="Revision">
    <w:name w:val="Revision"/>
    <w:hidden/>
    <w:uiPriority w:val="99"/>
    <w:semiHidden/>
    <w:rsid w:val="005E5DEB"/>
    <w:pPr>
      <w:spacing w:after="0" w:line="240" w:lineRule="auto"/>
    </w:pPr>
  </w:style>
  <w:style w:type="paragraph" w:styleId="Header">
    <w:name w:val="header"/>
    <w:basedOn w:val="Normal"/>
    <w:link w:val="HeaderChar"/>
    <w:uiPriority w:val="99"/>
    <w:unhideWhenUsed/>
    <w:rsid w:val="00BD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476"/>
  </w:style>
  <w:style w:type="paragraph" w:styleId="Footer">
    <w:name w:val="footer"/>
    <w:basedOn w:val="Normal"/>
    <w:link w:val="FooterChar"/>
    <w:uiPriority w:val="99"/>
    <w:unhideWhenUsed/>
    <w:rsid w:val="00BD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476"/>
  </w:style>
  <w:style w:type="paragraph" w:customStyle="1" w:styleId="Default">
    <w:name w:val="Default"/>
    <w:rsid w:val="00E0350F"/>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9868">
      <w:bodyDiv w:val="1"/>
      <w:marLeft w:val="0"/>
      <w:marRight w:val="0"/>
      <w:marTop w:val="0"/>
      <w:marBottom w:val="0"/>
      <w:divBdr>
        <w:top w:val="none" w:sz="0" w:space="0" w:color="auto"/>
        <w:left w:val="none" w:sz="0" w:space="0" w:color="auto"/>
        <w:bottom w:val="none" w:sz="0" w:space="0" w:color="auto"/>
        <w:right w:val="none" w:sz="0" w:space="0" w:color="auto"/>
      </w:divBdr>
    </w:div>
    <w:div w:id="1072895921">
      <w:bodyDiv w:val="1"/>
      <w:marLeft w:val="0"/>
      <w:marRight w:val="0"/>
      <w:marTop w:val="0"/>
      <w:marBottom w:val="0"/>
      <w:divBdr>
        <w:top w:val="none" w:sz="0" w:space="0" w:color="auto"/>
        <w:left w:val="none" w:sz="0" w:space="0" w:color="auto"/>
        <w:bottom w:val="none" w:sz="0" w:space="0" w:color="auto"/>
        <w:right w:val="none" w:sz="0" w:space="0" w:color="auto"/>
      </w:divBdr>
    </w:div>
    <w:div w:id="1101802512">
      <w:bodyDiv w:val="1"/>
      <w:marLeft w:val="0"/>
      <w:marRight w:val="0"/>
      <w:marTop w:val="0"/>
      <w:marBottom w:val="0"/>
      <w:divBdr>
        <w:top w:val="none" w:sz="0" w:space="0" w:color="auto"/>
        <w:left w:val="none" w:sz="0" w:space="0" w:color="auto"/>
        <w:bottom w:val="none" w:sz="0" w:space="0" w:color="auto"/>
        <w:right w:val="none" w:sz="0" w:space="0" w:color="auto"/>
      </w:divBdr>
    </w:div>
    <w:div w:id="14387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4568-91AA-4FB1-8D28-70BDCED0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Narisa Jotiban</dc:creator>
  <cp:keywords/>
  <dc:description/>
  <cp:lastModifiedBy>Narisa Jotiban</cp:lastModifiedBy>
  <cp:revision>4</cp:revision>
  <dcterms:created xsi:type="dcterms:W3CDTF">2023-01-06T17:26:00Z</dcterms:created>
  <dcterms:modified xsi:type="dcterms:W3CDTF">2023-01-06T17:33:00Z</dcterms:modified>
</cp:coreProperties>
</file>