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B79D" w14:textId="14615462" w:rsidR="003832E7" w:rsidRPr="003832E7" w:rsidRDefault="00C9266B" w:rsidP="003832E7">
      <w:pPr>
        <w:pStyle w:val="Default"/>
        <w:jc w:val="right"/>
        <w:rPr>
          <w:rFonts w:ascii="Arial" w:hAnsi="Arial" w:cs="Arial"/>
          <w:sz w:val="22"/>
          <w:szCs w:val="22"/>
        </w:rPr>
      </w:pPr>
      <w:r>
        <w:rPr>
          <w:rFonts w:ascii="Arial" w:hAnsi="Arial" w:cs="Arial"/>
          <w:sz w:val="22"/>
          <w:szCs w:val="22"/>
        </w:rPr>
        <w:t>Atikokan</w:t>
      </w:r>
      <w:r w:rsidR="00176BEE" w:rsidRPr="00176BEE">
        <w:rPr>
          <w:rFonts w:ascii="Arial" w:hAnsi="Arial" w:cs="Arial"/>
          <w:sz w:val="22"/>
          <w:szCs w:val="22"/>
        </w:rPr>
        <w:t xml:space="preserve"> Hydro Inc.</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45484226" w:rsidR="00A07077" w:rsidRPr="00D57E8C" w:rsidRDefault="00623602" w:rsidP="00AB251C">
      <w:pPr>
        <w:pStyle w:val="Default"/>
        <w:spacing w:after="240"/>
        <w:jc w:val="right"/>
        <w:rPr>
          <w:rFonts w:ascii="Arial" w:hAnsi="Arial" w:cs="Arial"/>
          <w:sz w:val="22"/>
          <w:szCs w:val="22"/>
        </w:rPr>
      </w:pPr>
      <w:r>
        <w:rPr>
          <w:rFonts w:ascii="Arial" w:hAnsi="Arial" w:cs="Arial"/>
          <w:sz w:val="22"/>
          <w:szCs w:val="22"/>
        </w:rPr>
        <w:t>EB-202</w:t>
      </w:r>
      <w:r w:rsidR="005E27C0">
        <w:rPr>
          <w:rFonts w:ascii="Arial" w:hAnsi="Arial" w:cs="Arial"/>
          <w:sz w:val="22"/>
          <w:szCs w:val="22"/>
        </w:rPr>
        <w:t>2</w:t>
      </w:r>
      <w:r w:rsidR="009D5F4B" w:rsidRPr="00D57E8C">
        <w:rPr>
          <w:rFonts w:ascii="Arial" w:hAnsi="Arial" w:cs="Arial"/>
          <w:sz w:val="22"/>
          <w:szCs w:val="22"/>
        </w:rPr>
        <w:t>-</w:t>
      </w:r>
      <w:r w:rsidR="00DF750C">
        <w:rPr>
          <w:rFonts w:ascii="Arial" w:hAnsi="Arial" w:cs="Arial"/>
          <w:sz w:val="22"/>
          <w:szCs w:val="22"/>
        </w:rPr>
        <w:t>00</w:t>
      </w:r>
      <w:r w:rsidR="00A301A7">
        <w:rPr>
          <w:rFonts w:ascii="Arial" w:hAnsi="Arial" w:cs="Arial"/>
          <w:sz w:val="22"/>
          <w:szCs w:val="22"/>
        </w:rPr>
        <w:t>15</w:t>
      </w:r>
    </w:p>
    <w:p w14:paraId="31F8E0D6" w14:textId="10F1D3A0" w:rsidR="00A07077" w:rsidRPr="00176BEE" w:rsidRDefault="00C9266B" w:rsidP="00A07077">
      <w:pPr>
        <w:pStyle w:val="Default"/>
        <w:jc w:val="center"/>
        <w:rPr>
          <w:rFonts w:ascii="Arial" w:hAnsi="Arial" w:cs="Arial"/>
          <w:b/>
          <w:bCs/>
          <w:sz w:val="28"/>
          <w:szCs w:val="28"/>
        </w:rPr>
      </w:pPr>
      <w:r>
        <w:rPr>
          <w:rFonts w:ascii="Arial" w:hAnsi="Arial" w:cs="Arial"/>
          <w:b/>
          <w:bCs/>
          <w:sz w:val="28"/>
          <w:szCs w:val="28"/>
        </w:rPr>
        <w:t>Atikokan</w:t>
      </w:r>
      <w:r w:rsidR="00176BEE" w:rsidRPr="00176BEE">
        <w:rPr>
          <w:rFonts w:ascii="Arial" w:hAnsi="Arial" w:cs="Arial"/>
          <w:b/>
          <w:bCs/>
          <w:sz w:val="28"/>
          <w:szCs w:val="28"/>
        </w:rPr>
        <w:t xml:space="preserve"> Hydro Inc.</w:t>
      </w:r>
    </w:p>
    <w:p w14:paraId="33D6510D" w14:textId="3A1936DA" w:rsidR="00A07077" w:rsidRDefault="00623602" w:rsidP="00AB251C">
      <w:pPr>
        <w:pStyle w:val="Default"/>
        <w:spacing w:after="360"/>
        <w:jc w:val="center"/>
        <w:rPr>
          <w:rFonts w:ascii="Arial" w:hAnsi="Arial" w:cs="Arial"/>
          <w:b/>
          <w:bCs/>
          <w:sz w:val="28"/>
          <w:szCs w:val="28"/>
        </w:rPr>
      </w:pPr>
      <w:r>
        <w:rPr>
          <w:rFonts w:ascii="Arial" w:hAnsi="Arial" w:cs="Arial"/>
          <w:b/>
          <w:bCs/>
          <w:sz w:val="28"/>
          <w:szCs w:val="28"/>
        </w:rPr>
        <w:t>EB-202</w:t>
      </w:r>
      <w:r w:rsidR="005E27C0">
        <w:rPr>
          <w:rFonts w:ascii="Arial" w:hAnsi="Arial" w:cs="Arial"/>
          <w:b/>
          <w:bCs/>
          <w:sz w:val="28"/>
          <w:szCs w:val="28"/>
        </w:rPr>
        <w:t>2</w:t>
      </w:r>
      <w:r w:rsidR="00B069AA" w:rsidRPr="00D57E8C">
        <w:rPr>
          <w:rFonts w:ascii="Arial" w:hAnsi="Arial" w:cs="Arial"/>
          <w:b/>
          <w:bCs/>
          <w:sz w:val="28"/>
          <w:szCs w:val="28"/>
        </w:rPr>
        <w:t>-</w:t>
      </w:r>
      <w:r w:rsidR="00DF750C">
        <w:rPr>
          <w:rFonts w:ascii="Arial" w:hAnsi="Arial" w:cs="Arial"/>
          <w:b/>
          <w:bCs/>
          <w:sz w:val="28"/>
          <w:szCs w:val="28"/>
        </w:rPr>
        <w:t>00</w:t>
      </w:r>
      <w:r w:rsidR="00A301A7">
        <w:rPr>
          <w:rFonts w:ascii="Arial" w:hAnsi="Arial" w:cs="Arial"/>
          <w:b/>
          <w:bCs/>
          <w:sz w:val="28"/>
          <w:szCs w:val="28"/>
        </w:rPr>
        <w:t>15</w:t>
      </w:r>
    </w:p>
    <w:p w14:paraId="2A0CB1B0" w14:textId="7E0690AA" w:rsidR="00E86F26" w:rsidRPr="00E86F26" w:rsidRDefault="00E86F26" w:rsidP="00AB251C">
      <w:pPr>
        <w:autoSpaceDE w:val="0"/>
        <w:autoSpaceDN w:val="0"/>
        <w:adjustRightInd w:val="0"/>
        <w:spacing w:after="240" w:line="240" w:lineRule="auto"/>
        <w:rPr>
          <w:rFonts w:ascii="Arial" w:eastAsia="Calibri" w:hAnsi="Arial" w:cs="Arial"/>
          <w:sz w:val="24"/>
          <w:szCs w:val="24"/>
        </w:rPr>
      </w:pPr>
      <w:bookmarkStart w:id="0" w:name="_Hlk55806661"/>
      <w:r w:rsidRPr="00E86F26">
        <w:rPr>
          <w:rFonts w:ascii="Arial" w:eastAsia="Calibri" w:hAnsi="Arial" w:cs="Arial"/>
          <w:sz w:val="24"/>
          <w:szCs w:val="24"/>
        </w:rPr>
        <w:t>Please note,</w:t>
      </w:r>
      <w:r w:rsidR="00D3340B" w:rsidRPr="00D3340B">
        <w:t xml:space="preserve"> </w:t>
      </w:r>
      <w:r w:rsidR="00C9266B">
        <w:rPr>
          <w:rFonts w:ascii="Arial" w:eastAsia="Calibri" w:hAnsi="Arial" w:cs="Arial"/>
          <w:sz w:val="24"/>
          <w:szCs w:val="24"/>
        </w:rPr>
        <w:t>Atikokan</w:t>
      </w:r>
      <w:r w:rsidR="00D3340B" w:rsidRPr="00D3340B">
        <w:rPr>
          <w:rFonts w:ascii="Arial" w:eastAsia="Calibri" w:hAnsi="Arial" w:cs="Arial"/>
          <w:sz w:val="24"/>
          <w:szCs w:val="24"/>
        </w:rPr>
        <w:t xml:space="preserve"> Hydro Inc.</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p w14:paraId="5E363555" w14:textId="6785DFAB" w:rsidR="00756DA9" w:rsidRDefault="00756DA9" w:rsidP="00756DA9">
      <w:pPr>
        <w:spacing w:after="240"/>
        <w:rPr>
          <w:rFonts w:ascii="Arial" w:hAnsi="Arial" w:cs="Arial"/>
          <w:b/>
          <w:sz w:val="24"/>
          <w:szCs w:val="24"/>
        </w:rPr>
      </w:pPr>
      <w:bookmarkStart w:id="1" w:name="_Hlk111114891"/>
      <w:bookmarkStart w:id="2" w:name="_Hlk118709671"/>
      <w:bookmarkStart w:id="3" w:name="_Hlk121835334"/>
      <w:bookmarkStart w:id="4" w:name="_Hlk111119117"/>
      <w:bookmarkEnd w:id="0"/>
      <w:r>
        <w:rPr>
          <w:rFonts w:ascii="Arial" w:hAnsi="Arial" w:cs="Arial"/>
          <w:b/>
          <w:sz w:val="24"/>
          <w:szCs w:val="24"/>
        </w:rPr>
        <w:t>Staff Question-</w:t>
      </w:r>
      <w:r w:rsidR="00FE1FD7">
        <w:rPr>
          <w:rFonts w:ascii="Arial" w:hAnsi="Arial" w:cs="Arial"/>
          <w:b/>
          <w:sz w:val="24"/>
          <w:szCs w:val="24"/>
        </w:rPr>
        <w:t>1</w:t>
      </w:r>
    </w:p>
    <w:p w14:paraId="7051B04E" w14:textId="1344531F" w:rsidR="00756DA9" w:rsidRPr="005F72F6" w:rsidRDefault="00756DA9" w:rsidP="005F72F6">
      <w:pPr>
        <w:spacing w:after="240"/>
        <w:rPr>
          <w:rFonts w:ascii="Arial" w:hAnsi="Arial" w:cs="Arial"/>
          <w:b/>
          <w:sz w:val="24"/>
          <w:szCs w:val="24"/>
        </w:rPr>
      </w:pPr>
      <w:bookmarkStart w:id="5" w:name="_Hlk111114923"/>
      <w:bookmarkStart w:id="6" w:name="_Hlk111117062"/>
      <w:bookmarkEnd w:id="1"/>
      <w:r w:rsidRPr="005F72F6">
        <w:rPr>
          <w:rFonts w:ascii="Arial" w:hAnsi="Arial" w:cs="Arial"/>
          <w:b/>
          <w:sz w:val="24"/>
          <w:szCs w:val="24"/>
        </w:rPr>
        <w:t>Ref</w:t>
      </w:r>
      <w:bookmarkStart w:id="7" w:name="_Hlk112666317"/>
      <w:bookmarkEnd w:id="5"/>
      <w:bookmarkEnd w:id="6"/>
      <w:bookmarkEnd w:id="2"/>
      <w:r w:rsidR="005F72F6" w:rsidRPr="005F72F6">
        <w:rPr>
          <w:rFonts w:ascii="Arial" w:hAnsi="Arial" w:cs="Arial"/>
          <w:b/>
          <w:sz w:val="24"/>
          <w:szCs w:val="24"/>
        </w:rPr>
        <w:t xml:space="preserve"> (1): 2023 IRM </w:t>
      </w:r>
      <w:r w:rsidR="00703AA4" w:rsidRPr="005F72F6">
        <w:rPr>
          <w:rFonts w:ascii="Arial" w:hAnsi="Arial" w:cs="Arial"/>
          <w:b/>
          <w:sz w:val="24"/>
          <w:szCs w:val="24"/>
        </w:rPr>
        <w:t>Rate Generator Model</w:t>
      </w:r>
      <w:bookmarkEnd w:id="7"/>
    </w:p>
    <w:bookmarkEnd w:id="3"/>
    <w:p w14:paraId="5A0BC0A7" w14:textId="5DC0C1E6" w:rsidR="00176BEE" w:rsidRPr="00176BEE" w:rsidRDefault="00176BEE" w:rsidP="00176BEE">
      <w:pPr>
        <w:rPr>
          <w:rFonts w:ascii="Arial" w:eastAsia="Calibri" w:hAnsi="Arial" w:cs="Arial"/>
          <w:sz w:val="24"/>
          <w:szCs w:val="24"/>
          <w:lang w:val="en-US"/>
        </w:rPr>
      </w:pPr>
      <w:r w:rsidRPr="00176BEE">
        <w:rPr>
          <w:rFonts w:ascii="Arial" w:eastAsia="Calibri" w:hAnsi="Arial" w:cs="Arial"/>
          <w:sz w:val="24"/>
          <w:szCs w:val="24"/>
          <w:lang w:val="en-US"/>
        </w:rPr>
        <w:t xml:space="preserve">OEB staff has made the following generic updates in </w:t>
      </w:r>
      <w:r>
        <w:rPr>
          <w:rFonts w:ascii="Arial" w:eastAsia="Calibri" w:hAnsi="Arial" w:cs="Arial"/>
          <w:sz w:val="24"/>
          <w:szCs w:val="24"/>
          <w:lang w:val="en-US"/>
        </w:rPr>
        <w:t xml:space="preserve">the </w:t>
      </w:r>
      <w:r w:rsidRPr="00176BEE">
        <w:rPr>
          <w:rFonts w:ascii="Arial" w:eastAsia="Calibri" w:hAnsi="Arial" w:cs="Arial"/>
          <w:sz w:val="24"/>
          <w:szCs w:val="24"/>
          <w:lang w:val="en-US"/>
        </w:rPr>
        <w:t>Rate Generator Model</w:t>
      </w:r>
      <w:r w:rsidR="005F72F6">
        <w:rPr>
          <w:rFonts w:ascii="Arial" w:eastAsia="Calibri" w:hAnsi="Arial" w:cs="Arial"/>
          <w:sz w:val="24"/>
          <w:szCs w:val="24"/>
          <w:lang w:val="en-US"/>
        </w:rPr>
        <w:t xml:space="preserve"> </w:t>
      </w:r>
      <w:r w:rsidRPr="00176BEE">
        <w:rPr>
          <w:rFonts w:ascii="Arial" w:eastAsia="Calibri" w:hAnsi="Arial" w:cs="Arial"/>
          <w:sz w:val="24"/>
          <w:szCs w:val="24"/>
          <w:lang w:val="en-US"/>
        </w:rPr>
        <w:t>attached:</w:t>
      </w:r>
    </w:p>
    <w:p w14:paraId="0FEA9F16" w14:textId="77777777" w:rsidR="00176BEE" w:rsidRPr="00176BEE" w:rsidRDefault="00176BEE" w:rsidP="00176BEE">
      <w:pPr>
        <w:numPr>
          <w:ilvl w:val="0"/>
          <w:numId w:val="17"/>
        </w:numPr>
        <w:spacing w:after="0" w:line="240" w:lineRule="auto"/>
        <w:rPr>
          <w:rFonts w:ascii="Arial" w:eastAsia="Times New Roman" w:hAnsi="Arial" w:cs="Arial"/>
          <w:sz w:val="24"/>
          <w:szCs w:val="24"/>
          <w:lang w:val="en-US"/>
        </w:rPr>
      </w:pPr>
      <w:r w:rsidRPr="00176BEE">
        <w:rPr>
          <w:rFonts w:ascii="Arial" w:eastAsia="Times New Roman" w:hAnsi="Arial" w:cs="Arial"/>
          <w:sz w:val="24"/>
          <w:szCs w:val="24"/>
          <w:lang w:val="en-US"/>
        </w:rPr>
        <w:t xml:space="preserve">Updated the </w:t>
      </w:r>
      <w:hyperlink r:id="rId8" w:history="1">
        <w:r w:rsidRPr="00176BEE">
          <w:rPr>
            <w:rFonts w:ascii="Arial" w:eastAsia="Times New Roman" w:hAnsi="Arial" w:cs="Arial"/>
            <w:color w:val="0563C1"/>
            <w:sz w:val="24"/>
            <w:szCs w:val="24"/>
            <w:u w:val="single"/>
            <w:lang w:val="en-US"/>
          </w:rPr>
          <w:t>IPI Inflation Factor</w:t>
        </w:r>
      </w:hyperlink>
      <w:r w:rsidRPr="00176BEE">
        <w:rPr>
          <w:rFonts w:ascii="Arial" w:eastAsia="Times New Roman" w:hAnsi="Arial" w:cs="Arial"/>
          <w:sz w:val="24"/>
          <w:szCs w:val="24"/>
          <w:lang w:val="en-US"/>
        </w:rPr>
        <w:t xml:space="preserve"> to 3.70 % in Tab 16 and Tab 17</w:t>
      </w:r>
    </w:p>
    <w:p w14:paraId="36E5DAD2" w14:textId="77777777" w:rsidR="00176BEE" w:rsidRPr="00176BEE" w:rsidRDefault="00176BEE" w:rsidP="00176BEE">
      <w:pPr>
        <w:numPr>
          <w:ilvl w:val="0"/>
          <w:numId w:val="17"/>
        </w:numPr>
        <w:spacing w:after="0" w:line="240" w:lineRule="auto"/>
        <w:rPr>
          <w:rFonts w:ascii="Arial" w:eastAsia="Times New Roman" w:hAnsi="Arial" w:cs="Arial"/>
          <w:sz w:val="24"/>
          <w:szCs w:val="24"/>
          <w:lang w:val="en-US"/>
        </w:rPr>
      </w:pPr>
      <w:r w:rsidRPr="00176BEE">
        <w:rPr>
          <w:rFonts w:ascii="Arial" w:eastAsia="Times New Roman" w:hAnsi="Arial" w:cs="Arial"/>
          <w:sz w:val="24"/>
          <w:szCs w:val="24"/>
          <w:lang w:val="en-US"/>
        </w:rPr>
        <w:t xml:space="preserve">Updated the </w:t>
      </w:r>
      <w:hyperlink r:id="rId9" w:history="1">
        <w:r w:rsidRPr="00176BEE">
          <w:rPr>
            <w:rFonts w:ascii="Arial" w:eastAsia="Times New Roman" w:hAnsi="Arial" w:cs="Arial"/>
            <w:color w:val="0563C1"/>
            <w:sz w:val="24"/>
            <w:szCs w:val="24"/>
            <w:u w:val="single"/>
            <w:lang w:val="en-US"/>
          </w:rPr>
          <w:t>Ontario Electricity Rebate</w:t>
        </w:r>
      </w:hyperlink>
      <w:r w:rsidRPr="00176BEE">
        <w:rPr>
          <w:rFonts w:ascii="Arial" w:eastAsia="Times New Roman" w:hAnsi="Arial" w:cs="Arial"/>
          <w:sz w:val="24"/>
          <w:szCs w:val="24"/>
          <w:lang w:val="en-US"/>
        </w:rPr>
        <w:t xml:space="preserve"> in Tab 20 to 11.7% (as of November 1, 2022)</w:t>
      </w:r>
    </w:p>
    <w:p w14:paraId="2B087D3C" w14:textId="77777777" w:rsidR="00176BEE" w:rsidRPr="00176BEE" w:rsidRDefault="00176BEE" w:rsidP="00176BEE">
      <w:pPr>
        <w:numPr>
          <w:ilvl w:val="0"/>
          <w:numId w:val="17"/>
        </w:numPr>
        <w:spacing w:after="0" w:line="240" w:lineRule="auto"/>
        <w:rPr>
          <w:rFonts w:ascii="Arial" w:eastAsia="Times New Roman" w:hAnsi="Arial" w:cs="Arial"/>
          <w:sz w:val="24"/>
          <w:szCs w:val="24"/>
          <w:lang w:val="en-US"/>
        </w:rPr>
      </w:pPr>
      <w:r w:rsidRPr="00176BEE">
        <w:rPr>
          <w:rFonts w:ascii="Arial" w:eastAsia="Times New Roman" w:hAnsi="Arial" w:cs="Arial"/>
          <w:sz w:val="24"/>
          <w:szCs w:val="24"/>
          <w:lang w:val="en-US"/>
        </w:rPr>
        <w:t xml:space="preserve">Updated the </w:t>
      </w:r>
      <w:hyperlink r:id="rId10" w:history="1">
        <w:r w:rsidRPr="00176BEE">
          <w:rPr>
            <w:rFonts w:ascii="Arial" w:eastAsia="Times New Roman" w:hAnsi="Arial" w:cs="Arial"/>
            <w:color w:val="0563C1"/>
            <w:sz w:val="24"/>
            <w:szCs w:val="24"/>
            <w:u w:val="single"/>
            <w:lang w:val="en-US"/>
          </w:rPr>
          <w:t>electricity prices</w:t>
        </w:r>
      </w:hyperlink>
      <w:r w:rsidRPr="00176BEE">
        <w:rPr>
          <w:rFonts w:ascii="Arial" w:eastAsia="Times New Roman" w:hAnsi="Arial" w:cs="Arial"/>
          <w:sz w:val="24"/>
          <w:szCs w:val="24"/>
          <w:lang w:val="en-US"/>
        </w:rPr>
        <w:t xml:space="preserve"> under the RPP in tab 17 and tab 20</w:t>
      </w:r>
    </w:p>
    <w:p w14:paraId="7FB9438E" w14:textId="0790719E" w:rsidR="00176BEE" w:rsidRDefault="00176BEE" w:rsidP="00176BEE">
      <w:pPr>
        <w:numPr>
          <w:ilvl w:val="0"/>
          <w:numId w:val="17"/>
        </w:numPr>
        <w:spacing w:after="0" w:line="240" w:lineRule="auto"/>
        <w:rPr>
          <w:rFonts w:ascii="Arial" w:eastAsia="Times New Roman" w:hAnsi="Arial" w:cs="Arial"/>
          <w:sz w:val="24"/>
          <w:szCs w:val="24"/>
          <w:lang w:val="en-US"/>
        </w:rPr>
      </w:pPr>
      <w:r w:rsidRPr="00176BEE">
        <w:rPr>
          <w:rFonts w:ascii="Arial" w:eastAsia="Times New Roman" w:hAnsi="Arial" w:cs="Arial"/>
          <w:sz w:val="24"/>
          <w:szCs w:val="24"/>
          <w:lang w:val="en-US"/>
        </w:rPr>
        <w:t xml:space="preserve">Applied a 3.70% Inflation Factor for the </w:t>
      </w:r>
      <w:hyperlink r:id="rId11" w:history="1">
        <w:r w:rsidRPr="00176BEE">
          <w:rPr>
            <w:rFonts w:ascii="Arial" w:eastAsia="Times New Roman" w:hAnsi="Arial" w:cs="Arial"/>
            <w:color w:val="0563C1"/>
            <w:sz w:val="24"/>
            <w:szCs w:val="24"/>
            <w:u w:val="single"/>
            <w:lang w:val="en-US"/>
          </w:rPr>
          <w:t>Wireline Pole Attachment Charge</w:t>
        </w:r>
      </w:hyperlink>
      <w:r w:rsidRPr="00176BEE">
        <w:rPr>
          <w:rFonts w:ascii="Arial" w:eastAsia="Times New Roman" w:hAnsi="Arial" w:cs="Arial"/>
          <w:sz w:val="24"/>
          <w:szCs w:val="24"/>
          <w:lang w:val="en-US"/>
        </w:rPr>
        <w:t xml:space="preserve"> and </w:t>
      </w:r>
      <w:hyperlink r:id="rId12" w:history="1">
        <w:r w:rsidRPr="00176BEE">
          <w:rPr>
            <w:rFonts w:ascii="Arial" w:eastAsia="Times New Roman" w:hAnsi="Arial" w:cs="Arial"/>
            <w:color w:val="0563C1"/>
            <w:sz w:val="24"/>
            <w:szCs w:val="24"/>
            <w:u w:val="single"/>
            <w:lang w:val="en-US"/>
          </w:rPr>
          <w:t>Retail Service Charges</w:t>
        </w:r>
      </w:hyperlink>
      <w:r w:rsidRPr="00176BEE">
        <w:rPr>
          <w:rFonts w:ascii="Arial" w:eastAsia="Times New Roman" w:hAnsi="Arial" w:cs="Arial"/>
          <w:sz w:val="24"/>
          <w:szCs w:val="24"/>
          <w:lang w:val="en-US"/>
        </w:rPr>
        <w:t xml:space="preserve"> in Tab 17</w:t>
      </w:r>
    </w:p>
    <w:p w14:paraId="4B6371B2" w14:textId="1D91D315" w:rsidR="00324AFA" w:rsidRDefault="00324AFA" w:rsidP="00176BEE">
      <w:pPr>
        <w:numPr>
          <w:ilvl w:val="0"/>
          <w:numId w:val="17"/>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Updated </w:t>
      </w:r>
      <w:r w:rsidRPr="00324AFA">
        <w:rPr>
          <w:rFonts w:ascii="Arial" w:eastAsia="Times New Roman" w:hAnsi="Arial" w:cs="Arial"/>
          <w:sz w:val="24"/>
          <w:szCs w:val="24"/>
          <w:lang w:val="en-US"/>
        </w:rPr>
        <w:t>regulatory charges effective January 1, 2023, for the Wholesale Market Services rate and the Rural or Remote Electricity Rate Protection charge</w:t>
      </w:r>
      <w:r>
        <w:rPr>
          <w:rFonts w:ascii="Arial" w:eastAsia="Times New Roman" w:hAnsi="Arial" w:cs="Arial"/>
          <w:sz w:val="24"/>
          <w:szCs w:val="24"/>
          <w:lang w:val="en-US"/>
        </w:rPr>
        <w:t xml:space="preserve"> (</w:t>
      </w:r>
      <w:hyperlink r:id="rId13" w:history="1">
        <w:r w:rsidRPr="00324AFA">
          <w:rPr>
            <w:rStyle w:val="Hyperlink"/>
            <w:rFonts w:ascii="Arial" w:eastAsia="Times New Roman" w:hAnsi="Arial" w:cs="Arial"/>
            <w:sz w:val="24"/>
            <w:szCs w:val="24"/>
            <w:lang w:val="en-US"/>
          </w:rPr>
          <w:t>EB-2022-0269</w:t>
        </w:r>
      </w:hyperlink>
      <w:r>
        <w:rPr>
          <w:rFonts w:ascii="Arial" w:eastAsia="Times New Roman" w:hAnsi="Arial" w:cs="Arial"/>
          <w:sz w:val="24"/>
          <w:szCs w:val="24"/>
          <w:lang w:val="en-US"/>
        </w:rPr>
        <w:t>) in Tab 17</w:t>
      </w:r>
    </w:p>
    <w:p w14:paraId="7E5B83EC" w14:textId="07C14971" w:rsidR="00324AFA" w:rsidRDefault="00324AFA" w:rsidP="00176BEE">
      <w:pPr>
        <w:numPr>
          <w:ilvl w:val="0"/>
          <w:numId w:val="17"/>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Updated </w:t>
      </w:r>
      <w:r w:rsidRPr="00324AFA">
        <w:rPr>
          <w:rFonts w:ascii="Arial" w:eastAsia="Times New Roman" w:hAnsi="Arial" w:cs="Arial"/>
          <w:sz w:val="24"/>
          <w:szCs w:val="24"/>
          <w:lang w:val="en-US"/>
        </w:rPr>
        <w:t xml:space="preserve">2023 </w:t>
      </w:r>
      <w:hyperlink r:id="rId14" w:history="1">
        <w:r w:rsidRPr="00324AFA">
          <w:rPr>
            <w:rStyle w:val="Hyperlink"/>
            <w:rFonts w:ascii="Arial" w:eastAsia="Times New Roman" w:hAnsi="Arial" w:cs="Arial"/>
            <w:sz w:val="24"/>
            <w:szCs w:val="24"/>
            <w:lang w:val="en-US"/>
          </w:rPr>
          <w:t>Uniform Transmission Rates</w:t>
        </w:r>
      </w:hyperlink>
      <w:r>
        <w:rPr>
          <w:rFonts w:ascii="Arial" w:eastAsia="Times New Roman" w:hAnsi="Arial" w:cs="Arial"/>
          <w:sz w:val="24"/>
          <w:szCs w:val="24"/>
          <w:lang w:val="en-US"/>
        </w:rPr>
        <w:t xml:space="preserve"> and </w:t>
      </w:r>
      <w:hyperlink r:id="rId15" w:history="1">
        <w:r w:rsidRPr="00324AFA">
          <w:rPr>
            <w:rStyle w:val="Hyperlink"/>
            <w:rFonts w:ascii="Arial" w:eastAsia="Times New Roman" w:hAnsi="Arial" w:cs="Arial"/>
            <w:sz w:val="24"/>
            <w:szCs w:val="24"/>
            <w:lang w:val="en-US"/>
          </w:rPr>
          <w:t>Host-RTSRs</w:t>
        </w:r>
      </w:hyperlink>
      <w:r>
        <w:rPr>
          <w:rFonts w:ascii="Arial" w:eastAsia="Times New Roman" w:hAnsi="Arial" w:cs="Arial"/>
          <w:sz w:val="24"/>
          <w:szCs w:val="24"/>
          <w:lang w:val="en-US"/>
        </w:rPr>
        <w:t xml:space="preserve"> in Tab 11</w:t>
      </w:r>
    </w:p>
    <w:p w14:paraId="1D2B346B" w14:textId="45C6CBE5" w:rsidR="000F2AC3" w:rsidRPr="000F2AC3" w:rsidRDefault="000F2AC3" w:rsidP="000F2AC3">
      <w:pPr>
        <w:pStyle w:val="ListParagraph"/>
        <w:numPr>
          <w:ilvl w:val="0"/>
          <w:numId w:val="17"/>
        </w:numPr>
        <w:rPr>
          <w:rFonts w:ascii="Arial" w:eastAsia="Times New Roman" w:hAnsi="Arial" w:cs="Arial"/>
          <w:sz w:val="24"/>
          <w:szCs w:val="24"/>
          <w:lang w:val="en-US"/>
        </w:rPr>
      </w:pPr>
      <w:r w:rsidRPr="000F2AC3">
        <w:rPr>
          <w:rFonts w:ascii="Arial" w:eastAsia="Times New Roman" w:hAnsi="Arial" w:cs="Arial"/>
          <w:sz w:val="24"/>
          <w:szCs w:val="24"/>
          <w:lang w:val="en-US"/>
        </w:rPr>
        <w:t>Updated the Smart Meter Entity (SME) Charge in Tab 17 to $0.42</w:t>
      </w:r>
    </w:p>
    <w:p w14:paraId="0532C3DC" w14:textId="77777777" w:rsidR="00324AFA" w:rsidRPr="00176BEE" w:rsidRDefault="00324AFA" w:rsidP="00324AFA">
      <w:pPr>
        <w:spacing w:after="0" w:line="240" w:lineRule="auto"/>
        <w:ind w:left="1080"/>
        <w:rPr>
          <w:rFonts w:ascii="Arial" w:eastAsia="Times New Roman" w:hAnsi="Arial" w:cs="Arial"/>
          <w:sz w:val="24"/>
          <w:szCs w:val="24"/>
          <w:lang w:val="en-US"/>
        </w:rPr>
      </w:pPr>
    </w:p>
    <w:p w14:paraId="030A24A2" w14:textId="3E8EDCDE" w:rsidR="007A60D9" w:rsidRDefault="005F72F6" w:rsidP="00CF10B1">
      <w:pPr>
        <w:pStyle w:val="ListParagraph"/>
        <w:spacing w:after="240"/>
        <w:ind w:left="0"/>
        <w:rPr>
          <w:rFonts w:ascii="Arial" w:hAnsi="Arial" w:cs="Arial"/>
          <w:bCs/>
          <w:sz w:val="24"/>
          <w:szCs w:val="24"/>
        </w:rPr>
      </w:pPr>
      <w:r w:rsidRPr="005F72F6">
        <w:rPr>
          <w:rFonts w:ascii="Arial" w:hAnsi="Arial" w:cs="Arial"/>
          <w:b/>
          <w:sz w:val="24"/>
          <w:szCs w:val="24"/>
        </w:rPr>
        <w:t>Question:</w:t>
      </w:r>
      <w:r>
        <w:rPr>
          <w:rFonts w:ascii="Arial" w:hAnsi="Arial" w:cs="Arial"/>
          <w:bCs/>
          <w:sz w:val="24"/>
          <w:szCs w:val="24"/>
        </w:rPr>
        <w:t xml:space="preserve"> </w:t>
      </w:r>
      <w:r w:rsidR="00176BEE" w:rsidRPr="00176BEE">
        <w:rPr>
          <w:rFonts w:ascii="Arial" w:hAnsi="Arial" w:cs="Arial"/>
          <w:bCs/>
          <w:sz w:val="24"/>
          <w:szCs w:val="24"/>
        </w:rPr>
        <w:t xml:space="preserve">Please confirm the updates in the attached model. </w:t>
      </w:r>
    </w:p>
    <w:p w14:paraId="42E45C52" w14:textId="0DC6550D" w:rsidR="00324AFA" w:rsidRDefault="00324AFA" w:rsidP="00324AFA">
      <w:pPr>
        <w:spacing w:after="240"/>
        <w:rPr>
          <w:rFonts w:ascii="Arial" w:hAnsi="Arial" w:cs="Arial"/>
          <w:b/>
          <w:sz w:val="24"/>
          <w:szCs w:val="24"/>
        </w:rPr>
      </w:pPr>
      <w:r>
        <w:rPr>
          <w:rFonts w:ascii="Arial" w:hAnsi="Arial" w:cs="Arial"/>
          <w:b/>
          <w:sz w:val="24"/>
          <w:szCs w:val="24"/>
        </w:rPr>
        <w:t>Staff Question-</w:t>
      </w:r>
      <w:r w:rsidR="003B7470">
        <w:rPr>
          <w:rFonts w:ascii="Arial" w:hAnsi="Arial" w:cs="Arial"/>
          <w:b/>
          <w:sz w:val="24"/>
          <w:szCs w:val="24"/>
        </w:rPr>
        <w:t>2</w:t>
      </w:r>
    </w:p>
    <w:p w14:paraId="72B115F7" w14:textId="77777777" w:rsidR="005F72F6" w:rsidRPr="005F72F6" w:rsidRDefault="00324AFA" w:rsidP="005F72F6">
      <w:pPr>
        <w:spacing w:after="0"/>
        <w:rPr>
          <w:rFonts w:ascii="Arial" w:hAnsi="Arial" w:cs="Arial"/>
          <w:b/>
          <w:sz w:val="24"/>
          <w:szCs w:val="24"/>
        </w:rPr>
      </w:pPr>
      <w:r w:rsidRPr="005F72F6">
        <w:rPr>
          <w:rFonts w:ascii="Arial" w:hAnsi="Arial" w:cs="Arial"/>
          <w:b/>
          <w:sz w:val="24"/>
          <w:szCs w:val="24"/>
        </w:rPr>
        <w:t>Ref</w:t>
      </w:r>
      <w:r w:rsidR="005F72F6" w:rsidRPr="005F72F6">
        <w:rPr>
          <w:rFonts w:ascii="Arial" w:hAnsi="Arial" w:cs="Arial"/>
          <w:b/>
          <w:sz w:val="24"/>
          <w:szCs w:val="24"/>
        </w:rPr>
        <w:t xml:space="preserve"> (1): </w:t>
      </w:r>
      <w:r w:rsidR="00BF57A7" w:rsidRPr="005F72F6">
        <w:rPr>
          <w:rFonts w:ascii="Arial" w:hAnsi="Arial" w:cs="Arial"/>
          <w:b/>
          <w:sz w:val="24"/>
          <w:szCs w:val="24"/>
        </w:rPr>
        <w:t>2023 IRM Application, page 24</w:t>
      </w:r>
    </w:p>
    <w:p w14:paraId="326401C1" w14:textId="7A7EB623" w:rsidR="00BF57A7" w:rsidRDefault="005F72F6" w:rsidP="005F72F6">
      <w:pPr>
        <w:spacing w:after="0"/>
        <w:rPr>
          <w:rFonts w:ascii="Arial" w:hAnsi="Arial" w:cs="Arial"/>
          <w:b/>
          <w:sz w:val="24"/>
          <w:szCs w:val="24"/>
        </w:rPr>
      </w:pPr>
      <w:r w:rsidRPr="005F72F6">
        <w:rPr>
          <w:rFonts w:ascii="Arial" w:hAnsi="Arial" w:cs="Arial"/>
          <w:b/>
          <w:sz w:val="24"/>
          <w:szCs w:val="24"/>
        </w:rPr>
        <w:t xml:space="preserve">Ref (2): </w:t>
      </w:r>
      <w:r w:rsidR="00BF57A7" w:rsidRPr="005F72F6">
        <w:rPr>
          <w:rFonts w:ascii="Arial" w:hAnsi="Arial" w:cs="Arial"/>
          <w:b/>
          <w:sz w:val="24"/>
          <w:szCs w:val="24"/>
        </w:rPr>
        <w:t xml:space="preserve">Account 1595 Analysis </w:t>
      </w:r>
      <w:r w:rsidR="000F425A" w:rsidRPr="005F72F6">
        <w:rPr>
          <w:rFonts w:ascii="Arial" w:hAnsi="Arial" w:cs="Arial"/>
          <w:b/>
          <w:sz w:val="24"/>
          <w:szCs w:val="24"/>
        </w:rPr>
        <w:t>Work form</w:t>
      </w:r>
    </w:p>
    <w:p w14:paraId="6A1E4FBA" w14:textId="77777777" w:rsidR="005F72F6" w:rsidRPr="005F72F6" w:rsidRDefault="005F72F6" w:rsidP="005F72F6">
      <w:pPr>
        <w:spacing w:after="0"/>
        <w:rPr>
          <w:rFonts w:ascii="Arial" w:hAnsi="Arial" w:cs="Arial"/>
          <w:b/>
          <w:sz w:val="24"/>
          <w:szCs w:val="24"/>
        </w:rPr>
      </w:pPr>
    </w:p>
    <w:p w14:paraId="298945EB" w14:textId="1DE4D142" w:rsidR="00326078" w:rsidRPr="00BF57A7" w:rsidRDefault="00324AFA" w:rsidP="00BF57A7">
      <w:pPr>
        <w:spacing w:after="240"/>
        <w:rPr>
          <w:rFonts w:ascii="Arial" w:hAnsi="Arial" w:cs="Arial"/>
          <w:b/>
          <w:sz w:val="24"/>
          <w:szCs w:val="24"/>
        </w:rPr>
      </w:pPr>
      <w:r>
        <w:rPr>
          <w:rFonts w:ascii="Arial" w:hAnsi="Arial" w:cs="Arial"/>
          <w:b/>
          <w:sz w:val="24"/>
          <w:szCs w:val="24"/>
        </w:rPr>
        <w:t>Question:</w:t>
      </w:r>
      <w:r w:rsidR="00BF57A7" w:rsidRPr="00BF57A7">
        <w:t xml:space="preserve"> </w:t>
      </w:r>
      <w:r w:rsidR="00BF57A7" w:rsidRPr="00BF57A7">
        <w:rPr>
          <w:rFonts w:ascii="Arial" w:hAnsi="Arial" w:cs="Arial"/>
          <w:bCs/>
          <w:sz w:val="24"/>
          <w:szCs w:val="24"/>
        </w:rPr>
        <w:t xml:space="preserve">Atikokan Hydro is claiming </w:t>
      </w:r>
      <w:r w:rsidR="00A86490">
        <w:rPr>
          <w:rFonts w:ascii="Arial" w:hAnsi="Arial" w:cs="Arial"/>
          <w:bCs/>
          <w:sz w:val="24"/>
          <w:szCs w:val="24"/>
        </w:rPr>
        <w:t xml:space="preserve">the </w:t>
      </w:r>
      <w:r w:rsidR="00BF57A7" w:rsidRPr="00BF57A7">
        <w:rPr>
          <w:rFonts w:ascii="Arial" w:hAnsi="Arial" w:cs="Arial"/>
          <w:bCs/>
          <w:sz w:val="24"/>
          <w:szCs w:val="24"/>
        </w:rPr>
        <w:t xml:space="preserve">disposition of its 1595 (2019) account in the </w:t>
      </w:r>
      <w:r w:rsidR="00A86490">
        <w:rPr>
          <w:rFonts w:ascii="Arial" w:hAnsi="Arial" w:cs="Arial"/>
          <w:bCs/>
          <w:sz w:val="24"/>
          <w:szCs w:val="24"/>
        </w:rPr>
        <w:t xml:space="preserve">balance </w:t>
      </w:r>
      <w:r w:rsidR="00BF57A7" w:rsidRPr="00BF57A7">
        <w:rPr>
          <w:rFonts w:ascii="Arial" w:hAnsi="Arial" w:cs="Arial"/>
          <w:bCs/>
          <w:sz w:val="24"/>
          <w:szCs w:val="24"/>
        </w:rPr>
        <w:t>of $57,056</w:t>
      </w:r>
      <w:r w:rsidR="00A86490">
        <w:rPr>
          <w:rFonts w:ascii="Arial" w:hAnsi="Arial" w:cs="Arial"/>
          <w:bCs/>
          <w:sz w:val="24"/>
          <w:szCs w:val="24"/>
        </w:rPr>
        <w:t>, which appears to be a high residual balance</w:t>
      </w:r>
      <w:r w:rsidR="00BF57A7" w:rsidRPr="00BF57A7">
        <w:rPr>
          <w:rFonts w:ascii="Arial" w:hAnsi="Arial" w:cs="Arial"/>
          <w:bCs/>
          <w:sz w:val="24"/>
          <w:szCs w:val="24"/>
        </w:rPr>
        <w:t>.</w:t>
      </w:r>
      <w:r w:rsidR="00C2643D">
        <w:rPr>
          <w:rFonts w:ascii="Arial" w:hAnsi="Arial" w:cs="Arial"/>
          <w:b/>
          <w:sz w:val="24"/>
          <w:szCs w:val="24"/>
        </w:rPr>
        <w:t xml:space="preserve"> </w:t>
      </w:r>
      <w:r w:rsidR="00BF57A7" w:rsidRPr="00BF57A7">
        <w:rPr>
          <w:rFonts w:ascii="Arial" w:hAnsi="Arial" w:cs="Arial"/>
          <w:bCs/>
          <w:sz w:val="24"/>
          <w:szCs w:val="24"/>
        </w:rPr>
        <w:t xml:space="preserve">OEB staff has attached ref 2), the Account 1595 Analysis </w:t>
      </w:r>
      <w:r w:rsidR="000F425A" w:rsidRPr="00BF57A7">
        <w:rPr>
          <w:rFonts w:ascii="Arial" w:hAnsi="Arial" w:cs="Arial"/>
          <w:bCs/>
          <w:sz w:val="24"/>
          <w:szCs w:val="24"/>
        </w:rPr>
        <w:t>Work form</w:t>
      </w:r>
      <w:r w:rsidR="00BF57A7" w:rsidRPr="00BF57A7">
        <w:rPr>
          <w:rFonts w:ascii="Arial" w:hAnsi="Arial" w:cs="Arial"/>
          <w:bCs/>
          <w:sz w:val="24"/>
          <w:szCs w:val="24"/>
        </w:rPr>
        <w:t xml:space="preserve"> to be completed </w:t>
      </w:r>
      <w:r w:rsidR="00BF57A7">
        <w:rPr>
          <w:rFonts w:ascii="Arial" w:hAnsi="Arial" w:cs="Arial"/>
          <w:bCs/>
          <w:sz w:val="24"/>
          <w:szCs w:val="24"/>
        </w:rPr>
        <w:t>by Atikokan Hydro</w:t>
      </w:r>
      <w:r w:rsidR="00BF57A7" w:rsidRPr="00BF57A7">
        <w:rPr>
          <w:rFonts w:ascii="Arial" w:hAnsi="Arial" w:cs="Arial"/>
          <w:bCs/>
          <w:sz w:val="24"/>
          <w:szCs w:val="24"/>
        </w:rPr>
        <w:t xml:space="preserve">. Please submit the completed </w:t>
      </w:r>
      <w:r w:rsidR="000F425A" w:rsidRPr="00BF57A7">
        <w:rPr>
          <w:rFonts w:ascii="Arial" w:hAnsi="Arial" w:cs="Arial"/>
          <w:bCs/>
          <w:sz w:val="24"/>
          <w:szCs w:val="24"/>
        </w:rPr>
        <w:t>work form</w:t>
      </w:r>
      <w:r w:rsidR="00BF57A7" w:rsidRPr="00BF57A7">
        <w:rPr>
          <w:rFonts w:ascii="Arial" w:hAnsi="Arial" w:cs="Arial"/>
          <w:bCs/>
          <w:sz w:val="24"/>
          <w:szCs w:val="24"/>
        </w:rPr>
        <w:t xml:space="preserve"> as part of your responses</w:t>
      </w:r>
      <w:r w:rsidR="00A86490">
        <w:rPr>
          <w:rFonts w:ascii="Arial" w:hAnsi="Arial" w:cs="Arial"/>
          <w:bCs/>
          <w:sz w:val="24"/>
          <w:szCs w:val="24"/>
        </w:rPr>
        <w:t xml:space="preserve"> and provide the explanation regarding the high residual balance specific to the DVA/GA rate riders</w:t>
      </w:r>
      <w:r w:rsidR="00BF57A7" w:rsidRPr="00BF57A7">
        <w:rPr>
          <w:rFonts w:ascii="Arial" w:hAnsi="Arial" w:cs="Arial"/>
          <w:bCs/>
          <w:sz w:val="24"/>
          <w:szCs w:val="24"/>
        </w:rPr>
        <w:t>.</w:t>
      </w:r>
    </w:p>
    <w:p w14:paraId="27F15773" w14:textId="46842A2E" w:rsidR="00A00CA7" w:rsidRDefault="00A00CA7" w:rsidP="00A00CA7">
      <w:pPr>
        <w:spacing w:after="240"/>
        <w:rPr>
          <w:rFonts w:ascii="Arial" w:hAnsi="Arial" w:cs="Arial"/>
          <w:b/>
          <w:sz w:val="24"/>
          <w:szCs w:val="24"/>
        </w:rPr>
      </w:pPr>
      <w:r>
        <w:rPr>
          <w:rFonts w:ascii="Arial" w:hAnsi="Arial" w:cs="Arial"/>
          <w:b/>
          <w:sz w:val="24"/>
          <w:szCs w:val="24"/>
        </w:rPr>
        <w:lastRenderedPageBreak/>
        <w:t>Staff Question-</w:t>
      </w:r>
      <w:r w:rsidR="003B7470">
        <w:rPr>
          <w:rFonts w:ascii="Arial" w:hAnsi="Arial" w:cs="Arial"/>
          <w:b/>
          <w:sz w:val="24"/>
          <w:szCs w:val="24"/>
        </w:rPr>
        <w:t>3</w:t>
      </w:r>
    </w:p>
    <w:p w14:paraId="5AD21E25" w14:textId="1CBE9CF9" w:rsidR="00A00CA7" w:rsidRPr="005F72F6" w:rsidRDefault="00A00CA7" w:rsidP="005F72F6">
      <w:pPr>
        <w:spacing w:after="240"/>
        <w:rPr>
          <w:rFonts w:ascii="Arial" w:hAnsi="Arial" w:cs="Arial"/>
          <w:b/>
          <w:sz w:val="24"/>
          <w:szCs w:val="24"/>
        </w:rPr>
      </w:pPr>
      <w:r>
        <w:rPr>
          <w:rFonts w:ascii="Arial" w:hAnsi="Arial" w:cs="Arial"/>
          <w:b/>
          <w:sz w:val="24"/>
          <w:szCs w:val="24"/>
        </w:rPr>
        <w:t>Ref</w:t>
      </w:r>
      <w:r w:rsidR="005F72F6">
        <w:rPr>
          <w:rFonts w:ascii="Arial" w:hAnsi="Arial" w:cs="Arial"/>
          <w:b/>
          <w:sz w:val="24"/>
          <w:szCs w:val="24"/>
        </w:rPr>
        <w:t xml:space="preserve"> (1):</w:t>
      </w:r>
      <w:r w:rsidR="005F72F6" w:rsidRPr="005F72F6">
        <w:rPr>
          <w:rFonts w:ascii="Arial" w:hAnsi="Arial" w:cs="Arial"/>
          <w:b/>
          <w:sz w:val="24"/>
          <w:szCs w:val="24"/>
        </w:rPr>
        <w:t xml:space="preserve"> 2023 IRM </w:t>
      </w:r>
      <w:r w:rsidRPr="005F72F6">
        <w:rPr>
          <w:rFonts w:ascii="Arial" w:hAnsi="Arial" w:cs="Arial"/>
          <w:b/>
          <w:sz w:val="24"/>
          <w:szCs w:val="24"/>
        </w:rPr>
        <w:t>Rate Generator Model, Tab 4. Billing Det. For Def-Var</w:t>
      </w:r>
      <w:r w:rsidR="005F72F6">
        <w:rPr>
          <w:rFonts w:ascii="Arial" w:hAnsi="Arial" w:cs="Arial"/>
          <w:b/>
          <w:sz w:val="24"/>
          <w:szCs w:val="24"/>
        </w:rPr>
        <w:t>, November 21, 2022</w:t>
      </w:r>
    </w:p>
    <w:p w14:paraId="488350AB" w14:textId="69F7F05C" w:rsidR="00484359" w:rsidRDefault="00A00CA7" w:rsidP="00A00CA7">
      <w:pPr>
        <w:spacing w:after="240"/>
        <w:rPr>
          <w:rFonts w:ascii="Arial" w:hAnsi="Arial" w:cs="Arial"/>
          <w:b/>
          <w:sz w:val="24"/>
          <w:szCs w:val="24"/>
        </w:rPr>
      </w:pPr>
      <w:r>
        <w:rPr>
          <w:rFonts w:ascii="Arial" w:hAnsi="Arial" w:cs="Arial"/>
          <w:b/>
          <w:sz w:val="24"/>
          <w:szCs w:val="24"/>
        </w:rPr>
        <w:t xml:space="preserve">Question: </w:t>
      </w:r>
      <w:r w:rsidR="00C9266B">
        <w:rPr>
          <w:rFonts w:ascii="Arial" w:hAnsi="Arial" w:cs="Arial"/>
          <w:bCs/>
          <w:sz w:val="24"/>
          <w:szCs w:val="24"/>
        </w:rPr>
        <w:t>Atikokan</w:t>
      </w:r>
      <w:r w:rsidRPr="00A00CA7">
        <w:rPr>
          <w:rFonts w:ascii="Arial" w:hAnsi="Arial" w:cs="Arial"/>
          <w:bCs/>
          <w:sz w:val="24"/>
          <w:szCs w:val="24"/>
        </w:rPr>
        <w:t xml:space="preserve"> Hydro is requesting disposition of Account 1595 (2018) and has populated the percentage allocations by customer class in Tab 4, Column N. These percentage allocations should be derived from the information used to establish the rate riders originally. Please clarify how these percentages were derived and provide reference to previous filings.</w:t>
      </w:r>
      <w:r>
        <w:rPr>
          <w:rFonts w:ascii="Arial" w:hAnsi="Arial" w:cs="Arial"/>
          <w:b/>
          <w:sz w:val="24"/>
          <w:szCs w:val="24"/>
        </w:rPr>
        <w:t xml:space="preserve"> </w:t>
      </w:r>
    </w:p>
    <w:p w14:paraId="2043089B" w14:textId="25857BB1" w:rsidR="00B67F1E" w:rsidRDefault="00B67F1E" w:rsidP="00B67F1E">
      <w:pPr>
        <w:spacing w:after="240"/>
        <w:rPr>
          <w:rFonts w:ascii="Arial" w:hAnsi="Arial" w:cs="Arial"/>
          <w:b/>
          <w:sz w:val="24"/>
          <w:szCs w:val="24"/>
        </w:rPr>
      </w:pPr>
      <w:r>
        <w:rPr>
          <w:rFonts w:ascii="Arial" w:hAnsi="Arial" w:cs="Arial"/>
          <w:b/>
          <w:sz w:val="24"/>
          <w:szCs w:val="24"/>
        </w:rPr>
        <w:t>Staff Question-</w:t>
      </w:r>
      <w:r w:rsidR="003B7470">
        <w:rPr>
          <w:rFonts w:ascii="Arial" w:hAnsi="Arial" w:cs="Arial"/>
          <w:b/>
          <w:sz w:val="24"/>
          <w:szCs w:val="24"/>
        </w:rPr>
        <w:t>4</w:t>
      </w:r>
    </w:p>
    <w:p w14:paraId="19E6040B" w14:textId="0727554C" w:rsidR="00B67F1E" w:rsidRPr="005F72F6" w:rsidRDefault="00B67F1E" w:rsidP="005F72F6">
      <w:pPr>
        <w:spacing w:after="240"/>
        <w:rPr>
          <w:rFonts w:ascii="Arial" w:hAnsi="Arial" w:cs="Arial"/>
          <w:b/>
          <w:sz w:val="24"/>
          <w:szCs w:val="24"/>
        </w:rPr>
      </w:pPr>
      <w:r w:rsidRPr="005F72F6">
        <w:rPr>
          <w:rFonts w:ascii="Arial" w:hAnsi="Arial" w:cs="Arial"/>
          <w:b/>
          <w:sz w:val="24"/>
          <w:szCs w:val="24"/>
        </w:rPr>
        <w:t>Ref</w:t>
      </w:r>
      <w:r w:rsidR="005F72F6" w:rsidRPr="005F72F6">
        <w:rPr>
          <w:rFonts w:ascii="Arial" w:hAnsi="Arial" w:cs="Arial"/>
          <w:b/>
          <w:sz w:val="24"/>
          <w:szCs w:val="24"/>
        </w:rPr>
        <w:t xml:space="preserve"> (1): 2023 IRM </w:t>
      </w:r>
      <w:r w:rsidRPr="005F72F6">
        <w:rPr>
          <w:rFonts w:ascii="Arial" w:hAnsi="Arial" w:cs="Arial"/>
          <w:b/>
          <w:sz w:val="24"/>
          <w:szCs w:val="24"/>
        </w:rPr>
        <w:t>Rate Generator Model, tab 8</w:t>
      </w:r>
      <w:r w:rsidR="005F72F6">
        <w:rPr>
          <w:rFonts w:ascii="Arial" w:hAnsi="Arial" w:cs="Arial"/>
          <w:b/>
          <w:sz w:val="24"/>
          <w:szCs w:val="24"/>
        </w:rPr>
        <w:t>, November 21, 2022</w:t>
      </w:r>
    </w:p>
    <w:p w14:paraId="2835D019" w14:textId="384778D5" w:rsidR="00B67F1E" w:rsidRPr="00176BEE" w:rsidRDefault="00B67F1E" w:rsidP="00B67F1E">
      <w:pPr>
        <w:rPr>
          <w:rFonts w:ascii="Arial" w:eastAsia="Calibri" w:hAnsi="Arial" w:cs="Arial"/>
          <w:sz w:val="24"/>
          <w:szCs w:val="24"/>
          <w:lang w:val="en-US"/>
        </w:rPr>
      </w:pPr>
      <w:r>
        <w:rPr>
          <w:rFonts w:ascii="Arial" w:hAnsi="Arial" w:cs="Arial"/>
          <w:b/>
          <w:sz w:val="24"/>
          <w:szCs w:val="24"/>
        </w:rPr>
        <w:t xml:space="preserve">Question: </w:t>
      </w:r>
      <w:r>
        <w:rPr>
          <w:rFonts w:ascii="Arial" w:eastAsia="Calibri" w:hAnsi="Arial" w:cs="Arial"/>
          <w:sz w:val="24"/>
          <w:szCs w:val="24"/>
          <w:lang w:val="en-US"/>
        </w:rPr>
        <w:t>Please complete tab 8 in the rate generator model based on</w:t>
      </w:r>
      <w:r w:rsidR="00BE679D">
        <w:rPr>
          <w:rFonts w:ascii="Arial" w:eastAsia="Calibri" w:hAnsi="Arial" w:cs="Arial"/>
          <w:sz w:val="24"/>
          <w:szCs w:val="24"/>
          <w:lang w:val="en-US"/>
        </w:rPr>
        <w:t xml:space="preserve"> the</w:t>
      </w:r>
      <w:r>
        <w:rPr>
          <w:rFonts w:ascii="Arial" w:eastAsia="Calibri" w:hAnsi="Arial" w:cs="Arial"/>
          <w:sz w:val="24"/>
          <w:szCs w:val="24"/>
          <w:lang w:val="en-US"/>
        </w:rPr>
        <w:t xml:space="preserve"> approved rate base and regulatory income in the last </w:t>
      </w:r>
      <w:r w:rsidR="00BE679D">
        <w:rPr>
          <w:rFonts w:ascii="Arial" w:eastAsia="Calibri" w:hAnsi="Arial" w:cs="Arial"/>
          <w:sz w:val="24"/>
          <w:szCs w:val="24"/>
          <w:lang w:val="en-US"/>
        </w:rPr>
        <w:t>cost of ser</w:t>
      </w:r>
      <w:r w:rsidR="00B71118">
        <w:rPr>
          <w:rFonts w:ascii="Arial" w:eastAsia="Calibri" w:hAnsi="Arial" w:cs="Arial"/>
          <w:sz w:val="24"/>
          <w:szCs w:val="24"/>
          <w:lang w:val="en-US"/>
        </w:rPr>
        <w:t>vice</w:t>
      </w:r>
      <w:r w:rsidR="00BE679D">
        <w:rPr>
          <w:rFonts w:ascii="Arial" w:eastAsia="Calibri" w:hAnsi="Arial" w:cs="Arial"/>
          <w:sz w:val="24"/>
          <w:szCs w:val="24"/>
          <w:lang w:val="en-US"/>
        </w:rPr>
        <w:t xml:space="preserve"> application</w:t>
      </w:r>
      <w:r>
        <w:rPr>
          <w:rFonts w:ascii="Arial" w:eastAsia="Calibri" w:hAnsi="Arial" w:cs="Arial"/>
          <w:sz w:val="24"/>
          <w:szCs w:val="24"/>
          <w:lang w:val="en-US"/>
        </w:rPr>
        <w:t xml:space="preserve">. </w:t>
      </w:r>
    </w:p>
    <w:p w14:paraId="72D5A7C4" w14:textId="44EB2287" w:rsidR="005F72F6" w:rsidRPr="001F16A3" w:rsidRDefault="005F72F6" w:rsidP="005F72F6">
      <w:pPr>
        <w:spacing w:after="0"/>
        <w:rPr>
          <w:rFonts w:ascii="Arial" w:hAnsi="Arial" w:cs="Arial"/>
          <w:b/>
          <w:sz w:val="24"/>
          <w:szCs w:val="24"/>
        </w:rPr>
      </w:pPr>
      <w:r w:rsidRPr="001F16A3">
        <w:rPr>
          <w:rFonts w:ascii="Arial" w:hAnsi="Arial" w:cs="Arial"/>
          <w:b/>
          <w:sz w:val="24"/>
          <w:szCs w:val="24"/>
        </w:rPr>
        <w:t>Staff Question-</w:t>
      </w:r>
      <w:r>
        <w:rPr>
          <w:rFonts w:ascii="Arial" w:hAnsi="Arial" w:cs="Arial"/>
          <w:b/>
          <w:sz w:val="24"/>
          <w:szCs w:val="24"/>
        </w:rPr>
        <w:t>5</w:t>
      </w:r>
    </w:p>
    <w:p w14:paraId="0991F2BB" w14:textId="77777777" w:rsidR="005F72F6" w:rsidRPr="001F16A3" w:rsidRDefault="005F72F6" w:rsidP="005F72F6">
      <w:pPr>
        <w:spacing w:after="0"/>
        <w:rPr>
          <w:rFonts w:ascii="Arial" w:hAnsi="Arial" w:cs="Arial"/>
          <w:b/>
          <w:sz w:val="24"/>
          <w:szCs w:val="24"/>
        </w:rPr>
      </w:pPr>
    </w:p>
    <w:p w14:paraId="3F19B265"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Ref (1): 2023 IRM Rate Generator Model, Tab 3, November 21, 2022</w:t>
      </w:r>
    </w:p>
    <w:p w14:paraId="57DDAAF3"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Ref (2): 2021 IRM Rate Generator Model, Tab 3, March 25, 2021</w:t>
      </w:r>
    </w:p>
    <w:p w14:paraId="6DF41972"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Ref (3): 2021 IRM GA Analysis Workform, October 26, 2020</w:t>
      </w:r>
    </w:p>
    <w:p w14:paraId="48811D34" w14:textId="77777777" w:rsidR="005F72F6" w:rsidRPr="001F16A3" w:rsidRDefault="005F72F6" w:rsidP="005F72F6">
      <w:pPr>
        <w:spacing w:after="0"/>
        <w:rPr>
          <w:rFonts w:ascii="Arial" w:hAnsi="Arial" w:cs="Arial"/>
          <w:b/>
          <w:sz w:val="24"/>
          <w:szCs w:val="24"/>
        </w:rPr>
      </w:pPr>
    </w:p>
    <w:p w14:paraId="1C4A3839" w14:textId="3A663118" w:rsidR="005F72F6" w:rsidRPr="001F16A3" w:rsidRDefault="005F72F6" w:rsidP="00E0520A">
      <w:pPr>
        <w:spacing w:after="0"/>
        <w:rPr>
          <w:rFonts w:ascii="Arial" w:hAnsi="Arial" w:cs="Arial"/>
          <w:bCs/>
          <w:sz w:val="24"/>
          <w:szCs w:val="24"/>
        </w:rPr>
      </w:pPr>
      <w:r w:rsidRPr="001F16A3">
        <w:rPr>
          <w:rFonts w:ascii="Arial" w:hAnsi="Arial" w:cs="Arial"/>
          <w:bCs/>
          <w:sz w:val="24"/>
          <w:szCs w:val="24"/>
        </w:rPr>
        <w:t>OEB staff notes that no Group 1 DVAs were approved for disposition in Atikokan Hydro’s 2022 IRM proceeding</w:t>
      </w:r>
      <w:r w:rsidR="00BE679D">
        <w:rPr>
          <w:rFonts w:ascii="Arial" w:hAnsi="Arial" w:cs="Arial"/>
          <w:bCs/>
          <w:sz w:val="24"/>
          <w:szCs w:val="24"/>
        </w:rPr>
        <w:t xml:space="preserve"> because </w:t>
      </w:r>
      <w:r w:rsidR="00E0520A" w:rsidRPr="00E0520A">
        <w:rPr>
          <w:rFonts w:ascii="Arial" w:hAnsi="Arial" w:cs="Arial"/>
          <w:bCs/>
          <w:sz w:val="24"/>
          <w:szCs w:val="24"/>
        </w:rPr>
        <w:t>the disposition threshold ha</w:t>
      </w:r>
      <w:r w:rsidR="00E0520A">
        <w:rPr>
          <w:rFonts w:ascii="Arial" w:hAnsi="Arial" w:cs="Arial"/>
          <w:bCs/>
          <w:sz w:val="24"/>
          <w:szCs w:val="24"/>
        </w:rPr>
        <w:t xml:space="preserve">d </w:t>
      </w:r>
      <w:r w:rsidR="00E0520A" w:rsidRPr="00E0520A">
        <w:rPr>
          <w:rFonts w:ascii="Arial" w:hAnsi="Arial" w:cs="Arial"/>
          <w:bCs/>
          <w:sz w:val="24"/>
          <w:szCs w:val="24"/>
        </w:rPr>
        <w:t xml:space="preserve">not been exceeded and </w:t>
      </w:r>
      <w:r w:rsidR="00E0520A">
        <w:rPr>
          <w:rFonts w:ascii="Arial" w:hAnsi="Arial" w:cs="Arial"/>
          <w:bCs/>
          <w:sz w:val="24"/>
          <w:szCs w:val="24"/>
        </w:rPr>
        <w:t xml:space="preserve">Atikokan Hydro </w:t>
      </w:r>
      <w:r w:rsidR="00E0520A" w:rsidRPr="00E0520A">
        <w:rPr>
          <w:rFonts w:ascii="Arial" w:hAnsi="Arial" w:cs="Arial"/>
          <w:bCs/>
          <w:sz w:val="24"/>
          <w:szCs w:val="24"/>
        </w:rPr>
        <w:t>did not request disposition</w:t>
      </w:r>
      <w:r w:rsidR="00E0520A">
        <w:rPr>
          <w:rFonts w:ascii="Arial" w:hAnsi="Arial" w:cs="Arial"/>
          <w:bCs/>
          <w:sz w:val="24"/>
          <w:szCs w:val="24"/>
        </w:rPr>
        <w:t>.</w:t>
      </w:r>
    </w:p>
    <w:p w14:paraId="665B9E7F" w14:textId="77777777" w:rsidR="005F72F6" w:rsidRPr="001F16A3" w:rsidRDefault="005F72F6" w:rsidP="005F72F6">
      <w:pPr>
        <w:spacing w:after="0"/>
        <w:rPr>
          <w:rFonts w:ascii="Arial" w:hAnsi="Arial" w:cs="Arial"/>
          <w:bCs/>
          <w:sz w:val="24"/>
          <w:szCs w:val="24"/>
        </w:rPr>
      </w:pPr>
    </w:p>
    <w:p w14:paraId="63DC6C64" w14:textId="77777777" w:rsidR="005F72F6" w:rsidRPr="001F16A3" w:rsidRDefault="005F72F6" w:rsidP="005F72F6">
      <w:pPr>
        <w:spacing w:after="0"/>
        <w:rPr>
          <w:rFonts w:ascii="Arial" w:hAnsi="Arial" w:cs="Arial"/>
          <w:bCs/>
          <w:sz w:val="24"/>
          <w:szCs w:val="24"/>
        </w:rPr>
      </w:pPr>
      <w:r w:rsidRPr="001F16A3">
        <w:rPr>
          <w:rFonts w:ascii="Arial" w:hAnsi="Arial" w:cs="Arial"/>
          <w:bCs/>
          <w:sz w:val="24"/>
          <w:szCs w:val="24"/>
        </w:rPr>
        <w:t>Regarding Accounts 1588 and 1589, OEB staff notes that the opening principal amounts as of January 1, 2020 in the 2023 IRM Rate Generator Model do not reconcile to the closing December 31, 2019 balances in the 2021 IRM Rate Generator Model. There are also immaterial differences in the Accounts 1588 and 1589 respective interest amounts between the two rate generator models.</w:t>
      </w:r>
    </w:p>
    <w:p w14:paraId="1A3714A4" w14:textId="77777777" w:rsidR="005F72F6" w:rsidRPr="001F16A3" w:rsidRDefault="005F72F6" w:rsidP="005F72F6">
      <w:pPr>
        <w:spacing w:after="0"/>
        <w:rPr>
          <w:rFonts w:ascii="Arial" w:hAnsi="Arial" w:cs="Arial"/>
          <w:bCs/>
          <w:sz w:val="24"/>
          <w:szCs w:val="24"/>
        </w:rPr>
      </w:pPr>
    </w:p>
    <w:p w14:paraId="4E1FA906" w14:textId="3B998C52" w:rsidR="005F72F6" w:rsidRDefault="005F72F6" w:rsidP="005F72F6">
      <w:pPr>
        <w:spacing w:after="0"/>
        <w:rPr>
          <w:rFonts w:ascii="Arial" w:hAnsi="Arial" w:cs="Arial"/>
          <w:bCs/>
          <w:sz w:val="24"/>
          <w:szCs w:val="24"/>
        </w:rPr>
      </w:pPr>
      <w:r w:rsidRPr="001F16A3">
        <w:rPr>
          <w:rFonts w:ascii="Arial" w:hAnsi="Arial" w:cs="Arial"/>
          <w:bCs/>
          <w:sz w:val="24"/>
          <w:szCs w:val="24"/>
        </w:rPr>
        <w:t>There are equal and offsetting differences of $50,671 which match the 2019 principal adjustments in the 2021 IRM GA Analysis Workform, specifically an Account 1588 credit principal adjustment of $50,671 and an Account 1589 debit principal adjustment of $50,671.</w:t>
      </w:r>
      <w:r w:rsidR="00BE679D">
        <w:rPr>
          <w:rFonts w:ascii="Arial" w:hAnsi="Arial" w:cs="Arial"/>
          <w:bCs/>
          <w:sz w:val="24"/>
          <w:szCs w:val="24"/>
        </w:rPr>
        <w:t xml:space="preserve"> These differences are shown in the Table 1 below</w:t>
      </w:r>
      <w:r w:rsidR="00AB2106">
        <w:rPr>
          <w:rFonts w:ascii="Arial" w:hAnsi="Arial" w:cs="Arial"/>
          <w:bCs/>
          <w:sz w:val="24"/>
          <w:szCs w:val="24"/>
        </w:rPr>
        <w:t>.</w:t>
      </w:r>
    </w:p>
    <w:p w14:paraId="5BF1EF31" w14:textId="77777777" w:rsidR="00BE679D" w:rsidRPr="001F16A3" w:rsidRDefault="00BE679D" w:rsidP="005F72F6">
      <w:pPr>
        <w:spacing w:after="0"/>
        <w:rPr>
          <w:rFonts w:ascii="Arial" w:hAnsi="Arial" w:cs="Arial"/>
          <w:bCs/>
          <w:sz w:val="24"/>
          <w:szCs w:val="24"/>
        </w:rPr>
      </w:pPr>
    </w:p>
    <w:p w14:paraId="2FA43607" w14:textId="77777777" w:rsidR="005F72F6" w:rsidRPr="001F16A3" w:rsidRDefault="005F72F6" w:rsidP="005F72F6">
      <w:pPr>
        <w:spacing w:after="0"/>
        <w:rPr>
          <w:rFonts w:ascii="Arial" w:hAnsi="Arial" w:cs="Arial"/>
          <w:bCs/>
          <w:sz w:val="24"/>
          <w:szCs w:val="24"/>
        </w:rPr>
      </w:pPr>
    </w:p>
    <w:p w14:paraId="49B98522" w14:textId="4AA8920E" w:rsidR="005F72F6" w:rsidRPr="001F16A3" w:rsidRDefault="005F72F6" w:rsidP="005F72F6">
      <w:pPr>
        <w:spacing w:after="0"/>
        <w:jc w:val="center"/>
        <w:rPr>
          <w:rFonts w:ascii="Arial" w:hAnsi="Arial" w:cs="Arial"/>
          <w:b/>
          <w:sz w:val="24"/>
          <w:szCs w:val="24"/>
        </w:rPr>
      </w:pPr>
      <w:r w:rsidRPr="001F16A3">
        <w:rPr>
          <w:rFonts w:ascii="Arial" w:hAnsi="Arial" w:cs="Arial"/>
          <w:b/>
          <w:sz w:val="24"/>
          <w:szCs w:val="24"/>
        </w:rPr>
        <w:t xml:space="preserve">Table 1 </w:t>
      </w:r>
    </w:p>
    <w:p w14:paraId="6D3533FA" w14:textId="77777777" w:rsidR="005F72F6" w:rsidRPr="001F16A3" w:rsidRDefault="005F72F6" w:rsidP="005F72F6">
      <w:pPr>
        <w:spacing w:after="0"/>
        <w:jc w:val="center"/>
        <w:rPr>
          <w:rFonts w:ascii="Arial" w:hAnsi="Arial" w:cs="Arial"/>
          <w:b/>
          <w:sz w:val="24"/>
          <w:szCs w:val="24"/>
        </w:rPr>
      </w:pPr>
      <w:r w:rsidRPr="001F16A3">
        <w:rPr>
          <w:rFonts w:ascii="Arial" w:hAnsi="Arial" w:cs="Arial"/>
          <w:b/>
          <w:sz w:val="24"/>
          <w:szCs w:val="24"/>
        </w:rPr>
        <w:t>Differences in Accounts 1588 and 1589 Principal Balances</w:t>
      </w:r>
    </w:p>
    <w:p w14:paraId="2D17FABA" w14:textId="77777777" w:rsidR="005F72F6" w:rsidRPr="001F16A3" w:rsidRDefault="005F72F6" w:rsidP="005F72F6">
      <w:pPr>
        <w:spacing w:after="0"/>
        <w:jc w:val="center"/>
        <w:rPr>
          <w:rFonts w:ascii="Arial" w:hAnsi="Arial" w:cs="Arial"/>
          <w:b/>
          <w:sz w:val="24"/>
          <w:szCs w:val="24"/>
        </w:rPr>
      </w:pPr>
      <w:r w:rsidRPr="001F16A3">
        <w:rPr>
          <w:rFonts w:ascii="Arial" w:hAnsi="Arial" w:cs="Arial"/>
          <w:b/>
          <w:sz w:val="24"/>
          <w:szCs w:val="24"/>
        </w:rPr>
        <w:lastRenderedPageBreak/>
        <w:t>Between Rate Generator Models</w:t>
      </w:r>
    </w:p>
    <w:p w14:paraId="0BFA839F" w14:textId="77777777" w:rsidR="005F72F6" w:rsidRPr="001F16A3" w:rsidRDefault="005F72F6" w:rsidP="005F72F6">
      <w:pPr>
        <w:spacing w:after="0"/>
        <w:rPr>
          <w:rFonts w:ascii="Arial" w:hAnsi="Arial" w:cs="Arial"/>
          <w:bCs/>
          <w:sz w:val="24"/>
          <w:szCs w:val="24"/>
        </w:rPr>
      </w:pPr>
    </w:p>
    <w:tbl>
      <w:tblPr>
        <w:tblStyle w:val="TableGrid"/>
        <w:tblW w:w="0" w:type="auto"/>
        <w:jc w:val="center"/>
        <w:tblLayout w:type="fixed"/>
        <w:tblLook w:val="04A0" w:firstRow="1" w:lastRow="0" w:firstColumn="1" w:lastColumn="0" w:noHBand="0" w:noVBand="1"/>
      </w:tblPr>
      <w:tblGrid>
        <w:gridCol w:w="1435"/>
        <w:gridCol w:w="2581"/>
        <w:gridCol w:w="2582"/>
        <w:gridCol w:w="2582"/>
      </w:tblGrid>
      <w:tr w:rsidR="005F72F6" w:rsidRPr="001F16A3" w14:paraId="7382F2F0" w14:textId="77777777" w:rsidTr="00532C48">
        <w:trPr>
          <w:trHeight w:val="600"/>
          <w:jc w:val="center"/>
        </w:trPr>
        <w:tc>
          <w:tcPr>
            <w:tcW w:w="1435" w:type="dxa"/>
            <w:vMerge w:val="restart"/>
            <w:noWrap/>
            <w:hideMark/>
          </w:tcPr>
          <w:p w14:paraId="24981A45" w14:textId="77777777" w:rsidR="005F72F6" w:rsidRPr="001F16A3" w:rsidRDefault="005F72F6" w:rsidP="00532C48">
            <w:pPr>
              <w:spacing w:line="276" w:lineRule="auto"/>
              <w:rPr>
                <w:rFonts w:ascii="Arial" w:hAnsi="Arial" w:cs="Arial"/>
                <w:b/>
                <w:sz w:val="24"/>
                <w:szCs w:val="24"/>
              </w:rPr>
            </w:pPr>
            <w:r w:rsidRPr="001F16A3">
              <w:rPr>
                <w:rFonts w:ascii="Arial" w:hAnsi="Arial" w:cs="Arial"/>
                <w:b/>
                <w:sz w:val="24"/>
                <w:szCs w:val="24"/>
              </w:rPr>
              <w:t>Account</w:t>
            </w:r>
          </w:p>
        </w:tc>
        <w:tc>
          <w:tcPr>
            <w:tcW w:w="2581" w:type="dxa"/>
            <w:hideMark/>
          </w:tcPr>
          <w:p w14:paraId="7A3482AF" w14:textId="77777777" w:rsidR="005F72F6" w:rsidRPr="001F16A3" w:rsidRDefault="005F72F6" w:rsidP="00532C48">
            <w:pPr>
              <w:spacing w:line="276" w:lineRule="auto"/>
              <w:jc w:val="right"/>
              <w:rPr>
                <w:rFonts w:ascii="Arial" w:hAnsi="Arial" w:cs="Arial"/>
                <w:b/>
                <w:sz w:val="24"/>
                <w:szCs w:val="24"/>
              </w:rPr>
            </w:pPr>
            <w:r w:rsidRPr="001F16A3">
              <w:rPr>
                <w:rFonts w:ascii="Arial" w:hAnsi="Arial" w:cs="Arial"/>
                <w:b/>
                <w:sz w:val="24"/>
                <w:szCs w:val="24"/>
              </w:rPr>
              <w:t>2021 IRM Rate Generator Model</w:t>
            </w:r>
          </w:p>
        </w:tc>
        <w:tc>
          <w:tcPr>
            <w:tcW w:w="2582" w:type="dxa"/>
            <w:hideMark/>
          </w:tcPr>
          <w:p w14:paraId="4B866790" w14:textId="77777777" w:rsidR="005F72F6" w:rsidRPr="001F16A3" w:rsidRDefault="005F72F6" w:rsidP="00532C48">
            <w:pPr>
              <w:spacing w:line="276" w:lineRule="auto"/>
              <w:jc w:val="right"/>
              <w:rPr>
                <w:rFonts w:ascii="Arial" w:hAnsi="Arial" w:cs="Arial"/>
                <w:b/>
                <w:sz w:val="24"/>
                <w:szCs w:val="24"/>
              </w:rPr>
            </w:pPr>
            <w:r w:rsidRPr="001F16A3">
              <w:rPr>
                <w:rFonts w:ascii="Arial" w:hAnsi="Arial" w:cs="Arial"/>
                <w:b/>
                <w:sz w:val="24"/>
                <w:szCs w:val="24"/>
              </w:rPr>
              <w:t>2023 IRM Rate Generator Model</w:t>
            </w:r>
          </w:p>
        </w:tc>
        <w:tc>
          <w:tcPr>
            <w:tcW w:w="2582" w:type="dxa"/>
            <w:vMerge w:val="restart"/>
            <w:noWrap/>
            <w:hideMark/>
          </w:tcPr>
          <w:p w14:paraId="7E3FE00B" w14:textId="77777777" w:rsidR="005F72F6" w:rsidRPr="001F16A3" w:rsidRDefault="005F72F6" w:rsidP="00532C48">
            <w:pPr>
              <w:spacing w:line="276" w:lineRule="auto"/>
              <w:jc w:val="right"/>
              <w:rPr>
                <w:rFonts w:ascii="Arial" w:hAnsi="Arial" w:cs="Arial"/>
                <w:b/>
                <w:sz w:val="24"/>
                <w:szCs w:val="24"/>
              </w:rPr>
            </w:pPr>
            <w:r w:rsidRPr="001F16A3">
              <w:rPr>
                <w:rFonts w:ascii="Arial" w:hAnsi="Arial" w:cs="Arial"/>
                <w:b/>
                <w:sz w:val="24"/>
                <w:szCs w:val="24"/>
              </w:rPr>
              <w:t>Difference</w:t>
            </w:r>
          </w:p>
        </w:tc>
      </w:tr>
      <w:tr w:rsidR="005F72F6" w:rsidRPr="001F16A3" w14:paraId="15377282" w14:textId="77777777" w:rsidTr="00532C48">
        <w:trPr>
          <w:trHeight w:val="900"/>
          <w:jc w:val="center"/>
        </w:trPr>
        <w:tc>
          <w:tcPr>
            <w:tcW w:w="1435" w:type="dxa"/>
            <w:vMerge/>
            <w:noWrap/>
            <w:hideMark/>
          </w:tcPr>
          <w:p w14:paraId="01AEE597" w14:textId="77777777" w:rsidR="005F72F6" w:rsidRPr="001F16A3" w:rsidRDefault="005F72F6" w:rsidP="00532C48">
            <w:pPr>
              <w:spacing w:line="276" w:lineRule="auto"/>
              <w:rPr>
                <w:rFonts w:ascii="Arial" w:hAnsi="Arial" w:cs="Arial"/>
                <w:b/>
                <w:sz w:val="24"/>
                <w:szCs w:val="24"/>
              </w:rPr>
            </w:pPr>
          </w:p>
        </w:tc>
        <w:tc>
          <w:tcPr>
            <w:tcW w:w="2581" w:type="dxa"/>
            <w:hideMark/>
          </w:tcPr>
          <w:p w14:paraId="2DAA83D6" w14:textId="77777777" w:rsidR="005F72F6" w:rsidRPr="001F16A3" w:rsidRDefault="005F72F6" w:rsidP="00532C48">
            <w:pPr>
              <w:spacing w:line="276" w:lineRule="auto"/>
              <w:jc w:val="right"/>
              <w:rPr>
                <w:rFonts w:ascii="Arial" w:hAnsi="Arial" w:cs="Arial"/>
                <w:b/>
                <w:sz w:val="24"/>
                <w:szCs w:val="24"/>
              </w:rPr>
            </w:pPr>
            <w:r w:rsidRPr="001F16A3">
              <w:rPr>
                <w:rFonts w:ascii="Arial" w:hAnsi="Arial" w:cs="Arial"/>
                <w:b/>
                <w:sz w:val="24"/>
                <w:szCs w:val="24"/>
              </w:rPr>
              <w:t>Closing Principal Balance as of Dec 31, 2019</w:t>
            </w:r>
          </w:p>
        </w:tc>
        <w:tc>
          <w:tcPr>
            <w:tcW w:w="2582" w:type="dxa"/>
            <w:hideMark/>
          </w:tcPr>
          <w:p w14:paraId="01906225" w14:textId="77777777" w:rsidR="005F72F6" w:rsidRPr="001F16A3" w:rsidRDefault="005F72F6" w:rsidP="00532C48">
            <w:pPr>
              <w:spacing w:line="276" w:lineRule="auto"/>
              <w:jc w:val="right"/>
              <w:rPr>
                <w:rFonts w:ascii="Arial" w:hAnsi="Arial" w:cs="Arial"/>
                <w:b/>
                <w:sz w:val="24"/>
                <w:szCs w:val="24"/>
              </w:rPr>
            </w:pPr>
            <w:r w:rsidRPr="001F16A3">
              <w:rPr>
                <w:rFonts w:ascii="Arial" w:hAnsi="Arial" w:cs="Arial"/>
                <w:b/>
                <w:sz w:val="24"/>
                <w:szCs w:val="24"/>
              </w:rPr>
              <w:t>Opening Principal Amounts as of Jan 1, 2020</w:t>
            </w:r>
          </w:p>
        </w:tc>
        <w:tc>
          <w:tcPr>
            <w:tcW w:w="2582" w:type="dxa"/>
            <w:vMerge/>
            <w:noWrap/>
            <w:hideMark/>
          </w:tcPr>
          <w:p w14:paraId="1B11CECE" w14:textId="77777777" w:rsidR="005F72F6" w:rsidRPr="001F16A3" w:rsidRDefault="005F72F6" w:rsidP="00532C48">
            <w:pPr>
              <w:spacing w:line="276" w:lineRule="auto"/>
              <w:jc w:val="right"/>
              <w:rPr>
                <w:rFonts w:ascii="Arial" w:hAnsi="Arial" w:cs="Arial"/>
                <w:b/>
                <w:sz w:val="24"/>
                <w:szCs w:val="24"/>
              </w:rPr>
            </w:pPr>
          </w:p>
        </w:tc>
      </w:tr>
      <w:tr w:rsidR="005F72F6" w:rsidRPr="001F16A3" w14:paraId="5865858C" w14:textId="77777777" w:rsidTr="00532C48">
        <w:trPr>
          <w:trHeight w:val="300"/>
          <w:jc w:val="center"/>
        </w:trPr>
        <w:tc>
          <w:tcPr>
            <w:tcW w:w="1435" w:type="dxa"/>
            <w:noWrap/>
            <w:vAlign w:val="center"/>
            <w:hideMark/>
          </w:tcPr>
          <w:p w14:paraId="0B3090A7" w14:textId="77777777" w:rsidR="005F72F6" w:rsidRPr="001F16A3" w:rsidRDefault="005F72F6" w:rsidP="00532C48">
            <w:pPr>
              <w:spacing w:line="276" w:lineRule="auto"/>
              <w:rPr>
                <w:rFonts w:ascii="Arial" w:hAnsi="Arial" w:cs="Arial"/>
                <w:bCs/>
                <w:sz w:val="24"/>
                <w:szCs w:val="24"/>
              </w:rPr>
            </w:pPr>
            <w:r w:rsidRPr="001F16A3">
              <w:rPr>
                <w:rFonts w:ascii="Arial" w:hAnsi="Arial" w:cs="Arial"/>
                <w:bCs/>
                <w:sz w:val="24"/>
                <w:szCs w:val="24"/>
              </w:rPr>
              <w:t>1588</w:t>
            </w:r>
          </w:p>
        </w:tc>
        <w:tc>
          <w:tcPr>
            <w:tcW w:w="2581" w:type="dxa"/>
            <w:noWrap/>
            <w:vAlign w:val="center"/>
            <w:hideMark/>
          </w:tcPr>
          <w:p w14:paraId="612A00F7" w14:textId="77777777" w:rsidR="005F72F6" w:rsidRPr="001F16A3" w:rsidRDefault="005F72F6" w:rsidP="00532C48">
            <w:pPr>
              <w:spacing w:line="276" w:lineRule="auto"/>
              <w:jc w:val="right"/>
              <w:rPr>
                <w:rFonts w:ascii="Arial" w:hAnsi="Arial" w:cs="Arial"/>
                <w:bCs/>
                <w:sz w:val="24"/>
                <w:szCs w:val="24"/>
              </w:rPr>
            </w:pPr>
            <w:r w:rsidRPr="001F16A3">
              <w:rPr>
                <w:rFonts w:ascii="Arial" w:hAnsi="Arial" w:cs="Arial"/>
                <w:bCs/>
                <w:sz w:val="24"/>
                <w:szCs w:val="24"/>
              </w:rPr>
              <w:t xml:space="preserve">                     (66,736)</w:t>
            </w:r>
          </w:p>
        </w:tc>
        <w:tc>
          <w:tcPr>
            <w:tcW w:w="2582" w:type="dxa"/>
            <w:noWrap/>
            <w:vAlign w:val="center"/>
            <w:hideMark/>
          </w:tcPr>
          <w:p w14:paraId="2373DEF5" w14:textId="77777777" w:rsidR="005F72F6" w:rsidRPr="001F16A3" w:rsidRDefault="005F72F6" w:rsidP="00532C48">
            <w:pPr>
              <w:spacing w:line="276" w:lineRule="auto"/>
              <w:jc w:val="right"/>
              <w:rPr>
                <w:rFonts w:ascii="Arial" w:hAnsi="Arial" w:cs="Arial"/>
                <w:bCs/>
                <w:sz w:val="24"/>
                <w:szCs w:val="24"/>
              </w:rPr>
            </w:pPr>
            <w:r w:rsidRPr="001F16A3">
              <w:rPr>
                <w:rFonts w:ascii="Arial" w:hAnsi="Arial" w:cs="Arial"/>
                <w:bCs/>
                <w:sz w:val="24"/>
                <w:szCs w:val="24"/>
              </w:rPr>
              <w:t xml:space="preserve">                     (16,064)</w:t>
            </w:r>
          </w:p>
        </w:tc>
        <w:tc>
          <w:tcPr>
            <w:tcW w:w="2582" w:type="dxa"/>
            <w:noWrap/>
            <w:vAlign w:val="center"/>
            <w:hideMark/>
          </w:tcPr>
          <w:p w14:paraId="2F3D2948" w14:textId="77777777" w:rsidR="005F72F6" w:rsidRPr="001F16A3" w:rsidRDefault="005F72F6" w:rsidP="00532C48">
            <w:pPr>
              <w:spacing w:line="276" w:lineRule="auto"/>
              <w:jc w:val="right"/>
              <w:rPr>
                <w:rFonts w:ascii="Arial" w:hAnsi="Arial" w:cs="Arial"/>
                <w:bCs/>
                <w:sz w:val="24"/>
                <w:szCs w:val="24"/>
              </w:rPr>
            </w:pPr>
            <w:r w:rsidRPr="001F16A3">
              <w:rPr>
                <w:rFonts w:ascii="Arial" w:hAnsi="Arial" w:cs="Arial"/>
                <w:bCs/>
                <w:sz w:val="24"/>
                <w:szCs w:val="24"/>
              </w:rPr>
              <w:t xml:space="preserve">           (50,672)</w:t>
            </w:r>
          </w:p>
        </w:tc>
      </w:tr>
      <w:tr w:rsidR="005F72F6" w:rsidRPr="001F16A3" w14:paraId="1DE90763" w14:textId="77777777" w:rsidTr="00532C48">
        <w:trPr>
          <w:trHeight w:val="300"/>
          <w:jc w:val="center"/>
        </w:trPr>
        <w:tc>
          <w:tcPr>
            <w:tcW w:w="1435" w:type="dxa"/>
            <w:noWrap/>
            <w:vAlign w:val="center"/>
            <w:hideMark/>
          </w:tcPr>
          <w:p w14:paraId="49C13642" w14:textId="77777777" w:rsidR="005F72F6" w:rsidRPr="001F16A3" w:rsidRDefault="005F72F6" w:rsidP="00532C48">
            <w:pPr>
              <w:spacing w:line="276" w:lineRule="auto"/>
              <w:rPr>
                <w:rFonts w:ascii="Arial" w:hAnsi="Arial" w:cs="Arial"/>
                <w:bCs/>
                <w:sz w:val="24"/>
                <w:szCs w:val="24"/>
              </w:rPr>
            </w:pPr>
            <w:r w:rsidRPr="001F16A3">
              <w:rPr>
                <w:rFonts w:ascii="Arial" w:hAnsi="Arial" w:cs="Arial"/>
                <w:bCs/>
                <w:sz w:val="24"/>
                <w:szCs w:val="24"/>
              </w:rPr>
              <w:t>1589</w:t>
            </w:r>
          </w:p>
        </w:tc>
        <w:tc>
          <w:tcPr>
            <w:tcW w:w="2581" w:type="dxa"/>
            <w:noWrap/>
            <w:vAlign w:val="center"/>
            <w:hideMark/>
          </w:tcPr>
          <w:p w14:paraId="144B591F" w14:textId="77777777" w:rsidR="005F72F6" w:rsidRPr="001F16A3" w:rsidRDefault="005F72F6" w:rsidP="00532C48">
            <w:pPr>
              <w:spacing w:line="276" w:lineRule="auto"/>
              <w:jc w:val="right"/>
              <w:rPr>
                <w:rFonts w:ascii="Arial" w:hAnsi="Arial" w:cs="Arial"/>
                <w:bCs/>
                <w:sz w:val="24"/>
                <w:szCs w:val="24"/>
              </w:rPr>
            </w:pPr>
            <w:r w:rsidRPr="001F16A3">
              <w:rPr>
                <w:rFonts w:ascii="Arial" w:hAnsi="Arial" w:cs="Arial"/>
                <w:bCs/>
                <w:sz w:val="24"/>
                <w:szCs w:val="24"/>
              </w:rPr>
              <w:t xml:space="preserve">                       45,635 </w:t>
            </w:r>
          </w:p>
        </w:tc>
        <w:tc>
          <w:tcPr>
            <w:tcW w:w="2582" w:type="dxa"/>
            <w:noWrap/>
            <w:vAlign w:val="center"/>
            <w:hideMark/>
          </w:tcPr>
          <w:p w14:paraId="29A6B741" w14:textId="77777777" w:rsidR="005F72F6" w:rsidRPr="001F16A3" w:rsidRDefault="005F72F6" w:rsidP="00532C48">
            <w:pPr>
              <w:spacing w:line="276" w:lineRule="auto"/>
              <w:jc w:val="right"/>
              <w:rPr>
                <w:rFonts w:ascii="Arial" w:hAnsi="Arial" w:cs="Arial"/>
                <w:bCs/>
                <w:sz w:val="24"/>
                <w:szCs w:val="24"/>
              </w:rPr>
            </w:pPr>
            <w:r w:rsidRPr="001F16A3">
              <w:rPr>
                <w:rFonts w:ascii="Arial" w:hAnsi="Arial" w:cs="Arial"/>
                <w:bCs/>
                <w:sz w:val="24"/>
                <w:szCs w:val="24"/>
              </w:rPr>
              <w:t xml:space="preserve">                       (5,037)</w:t>
            </w:r>
          </w:p>
        </w:tc>
        <w:tc>
          <w:tcPr>
            <w:tcW w:w="2582" w:type="dxa"/>
            <w:noWrap/>
            <w:vAlign w:val="center"/>
            <w:hideMark/>
          </w:tcPr>
          <w:p w14:paraId="7BD10CE7" w14:textId="77777777" w:rsidR="005F72F6" w:rsidRPr="001F16A3" w:rsidRDefault="005F72F6" w:rsidP="00532C48">
            <w:pPr>
              <w:spacing w:line="276" w:lineRule="auto"/>
              <w:jc w:val="right"/>
              <w:rPr>
                <w:rFonts w:ascii="Arial" w:hAnsi="Arial" w:cs="Arial"/>
                <w:bCs/>
                <w:sz w:val="24"/>
                <w:szCs w:val="24"/>
              </w:rPr>
            </w:pPr>
            <w:r w:rsidRPr="001F16A3">
              <w:rPr>
                <w:rFonts w:ascii="Arial" w:hAnsi="Arial" w:cs="Arial"/>
                <w:bCs/>
                <w:sz w:val="24"/>
                <w:szCs w:val="24"/>
              </w:rPr>
              <w:t xml:space="preserve">                      50,672 </w:t>
            </w:r>
          </w:p>
        </w:tc>
      </w:tr>
    </w:tbl>
    <w:p w14:paraId="0FCD120C" w14:textId="77777777" w:rsidR="005F72F6" w:rsidRPr="001F16A3" w:rsidRDefault="005F72F6" w:rsidP="005F72F6">
      <w:pPr>
        <w:spacing w:after="0"/>
        <w:rPr>
          <w:rFonts w:ascii="Arial" w:hAnsi="Arial" w:cs="Arial"/>
          <w:bCs/>
          <w:sz w:val="24"/>
          <w:szCs w:val="24"/>
        </w:rPr>
      </w:pPr>
    </w:p>
    <w:p w14:paraId="493A08DC"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Questions:</w:t>
      </w:r>
    </w:p>
    <w:p w14:paraId="5272CA18" w14:textId="77777777" w:rsidR="005F72F6" w:rsidRPr="001F16A3" w:rsidRDefault="005F72F6" w:rsidP="005F72F6">
      <w:pPr>
        <w:spacing w:after="0"/>
        <w:rPr>
          <w:rFonts w:ascii="Arial" w:hAnsi="Arial" w:cs="Arial"/>
          <w:b/>
          <w:sz w:val="24"/>
          <w:szCs w:val="24"/>
        </w:rPr>
      </w:pPr>
    </w:p>
    <w:p w14:paraId="18BFE352" w14:textId="70DAF8FE" w:rsidR="005F72F6" w:rsidRPr="001F16A3" w:rsidRDefault="005F72F6" w:rsidP="005F72F6">
      <w:pPr>
        <w:pStyle w:val="ListParagraph"/>
        <w:numPr>
          <w:ilvl w:val="0"/>
          <w:numId w:val="23"/>
        </w:numPr>
        <w:spacing w:after="0"/>
        <w:rPr>
          <w:rFonts w:ascii="Arial" w:hAnsi="Arial" w:cs="Arial"/>
          <w:bCs/>
          <w:sz w:val="24"/>
          <w:szCs w:val="24"/>
        </w:rPr>
      </w:pPr>
      <w:r w:rsidRPr="001F16A3">
        <w:rPr>
          <w:rFonts w:ascii="Arial" w:hAnsi="Arial" w:cs="Arial"/>
          <w:bCs/>
          <w:sz w:val="24"/>
          <w:szCs w:val="24"/>
        </w:rPr>
        <w:t xml:space="preserve">Please confirm </w:t>
      </w:r>
      <w:r w:rsidR="00BE679D">
        <w:rPr>
          <w:rFonts w:ascii="Arial" w:hAnsi="Arial" w:cs="Arial"/>
          <w:bCs/>
          <w:sz w:val="24"/>
          <w:szCs w:val="24"/>
        </w:rPr>
        <w:t xml:space="preserve">the </w:t>
      </w:r>
      <w:r w:rsidR="009E6B36">
        <w:rPr>
          <w:rFonts w:ascii="Arial" w:hAnsi="Arial" w:cs="Arial"/>
          <w:bCs/>
          <w:sz w:val="24"/>
          <w:szCs w:val="24"/>
        </w:rPr>
        <w:t xml:space="preserve">accuracy of </w:t>
      </w:r>
      <w:r w:rsidRPr="001F16A3">
        <w:rPr>
          <w:rFonts w:ascii="Arial" w:hAnsi="Arial" w:cs="Arial"/>
          <w:bCs/>
          <w:sz w:val="24"/>
          <w:szCs w:val="24"/>
        </w:rPr>
        <w:t>Table 1</w:t>
      </w:r>
      <w:r w:rsidR="00BE679D">
        <w:rPr>
          <w:rFonts w:ascii="Arial" w:hAnsi="Arial" w:cs="Arial"/>
          <w:bCs/>
          <w:sz w:val="24"/>
          <w:szCs w:val="24"/>
        </w:rPr>
        <w:t xml:space="preserve"> that </w:t>
      </w:r>
      <w:r w:rsidR="009E6B36">
        <w:rPr>
          <w:rFonts w:ascii="Arial" w:hAnsi="Arial" w:cs="Arial"/>
          <w:bCs/>
          <w:sz w:val="24"/>
          <w:szCs w:val="24"/>
        </w:rPr>
        <w:t>was</w:t>
      </w:r>
      <w:r w:rsidR="00BE679D">
        <w:rPr>
          <w:rFonts w:ascii="Arial" w:hAnsi="Arial" w:cs="Arial"/>
          <w:bCs/>
          <w:sz w:val="24"/>
          <w:szCs w:val="24"/>
        </w:rPr>
        <w:t xml:space="preserve"> compiled by OEB staff. </w:t>
      </w:r>
    </w:p>
    <w:p w14:paraId="14808A26" w14:textId="25498A1B" w:rsidR="005F72F6" w:rsidRPr="001F16A3" w:rsidRDefault="005F72F6" w:rsidP="005F72F6">
      <w:pPr>
        <w:pStyle w:val="ListParagraph"/>
        <w:numPr>
          <w:ilvl w:val="0"/>
          <w:numId w:val="23"/>
        </w:numPr>
        <w:spacing w:after="0"/>
        <w:rPr>
          <w:rFonts w:ascii="Arial" w:hAnsi="Arial" w:cs="Arial"/>
          <w:bCs/>
          <w:sz w:val="24"/>
          <w:szCs w:val="24"/>
        </w:rPr>
      </w:pPr>
      <w:r w:rsidRPr="001F16A3">
        <w:rPr>
          <w:rFonts w:ascii="Arial" w:hAnsi="Arial" w:cs="Arial"/>
          <w:bCs/>
          <w:sz w:val="24"/>
          <w:szCs w:val="24"/>
        </w:rPr>
        <w:t xml:space="preserve">If </w:t>
      </w:r>
      <w:r w:rsidR="00773C5C">
        <w:rPr>
          <w:rFonts w:ascii="Arial" w:hAnsi="Arial" w:cs="Arial"/>
          <w:bCs/>
          <w:sz w:val="24"/>
          <w:szCs w:val="24"/>
        </w:rPr>
        <w:t xml:space="preserve">Table 1 </w:t>
      </w:r>
      <w:r w:rsidRPr="001F16A3">
        <w:rPr>
          <w:rFonts w:ascii="Arial" w:hAnsi="Arial" w:cs="Arial"/>
          <w:bCs/>
          <w:sz w:val="24"/>
          <w:szCs w:val="24"/>
        </w:rPr>
        <w:t xml:space="preserve">is not </w:t>
      </w:r>
      <w:r w:rsidR="00055A86">
        <w:rPr>
          <w:rFonts w:ascii="Arial" w:hAnsi="Arial" w:cs="Arial"/>
          <w:bCs/>
          <w:sz w:val="24"/>
          <w:szCs w:val="24"/>
        </w:rPr>
        <w:t>accurate</w:t>
      </w:r>
      <w:r w:rsidRPr="001F16A3">
        <w:rPr>
          <w:rFonts w:ascii="Arial" w:hAnsi="Arial" w:cs="Arial"/>
          <w:bCs/>
          <w:sz w:val="24"/>
          <w:szCs w:val="24"/>
        </w:rPr>
        <w:t>, please explain, and update Table 1</w:t>
      </w:r>
      <w:r w:rsidR="007A4CD6">
        <w:rPr>
          <w:rFonts w:ascii="Arial" w:hAnsi="Arial" w:cs="Arial"/>
          <w:bCs/>
          <w:sz w:val="24"/>
          <w:szCs w:val="24"/>
        </w:rPr>
        <w:t>,</w:t>
      </w:r>
      <w:r w:rsidR="00BE679D">
        <w:rPr>
          <w:rFonts w:ascii="Arial" w:hAnsi="Arial" w:cs="Arial"/>
          <w:bCs/>
          <w:sz w:val="24"/>
          <w:szCs w:val="24"/>
        </w:rPr>
        <w:t xml:space="preserve"> as applicable</w:t>
      </w:r>
      <w:r w:rsidRPr="001F16A3">
        <w:rPr>
          <w:rFonts w:ascii="Arial" w:hAnsi="Arial" w:cs="Arial"/>
          <w:bCs/>
          <w:sz w:val="24"/>
          <w:szCs w:val="24"/>
        </w:rPr>
        <w:t>.</w:t>
      </w:r>
    </w:p>
    <w:p w14:paraId="2240809D" w14:textId="77777777" w:rsidR="005F72F6" w:rsidRPr="001F16A3" w:rsidRDefault="005F72F6" w:rsidP="005F72F6">
      <w:pPr>
        <w:pStyle w:val="ListParagraph"/>
        <w:numPr>
          <w:ilvl w:val="0"/>
          <w:numId w:val="23"/>
        </w:numPr>
        <w:spacing w:after="0"/>
        <w:rPr>
          <w:rFonts w:ascii="Arial" w:hAnsi="Arial" w:cs="Arial"/>
          <w:bCs/>
          <w:sz w:val="24"/>
          <w:szCs w:val="24"/>
        </w:rPr>
      </w:pPr>
      <w:r w:rsidRPr="001F16A3">
        <w:rPr>
          <w:rFonts w:ascii="Arial" w:hAnsi="Arial" w:cs="Arial"/>
          <w:bCs/>
          <w:sz w:val="24"/>
          <w:szCs w:val="24"/>
        </w:rPr>
        <w:t>Please update the opening principal amounts as of January 1, 2020 in the 2023 IRM Rate Generator Model to match the closing December 31, 2019 balances in the 2021 IRM Rate Generator Model.</w:t>
      </w:r>
    </w:p>
    <w:p w14:paraId="1F92D257" w14:textId="77777777" w:rsidR="005F72F6" w:rsidRPr="001F16A3" w:rsidRDefault="005F72F6" w:rsidP="005F72F6">
      <w:pPr>
        <w:pStyle w:val="ListParagraph"/>
        <w:numPr>
          <w:ilvl w:val="0"/>
          <w:numId w:val="23"/>
        </w:numPr>
        <w:spacing w:after="0"/>
        <w:rPr>
          <w:rFonts w:ascii="Arial" w:hAnsi="Arial" w:cs="Arial"/>
          <w:bCs/>
          <w:sz w:val="24"/>
          <w:szCs w:val="24"/>
        </w:rPr>
      </w:pPr>
      <w:r w:rsidRPr="001F16A3">
        <w:rPr>
          <w:rFonts w:ascii="Arial" w:hAnsi="Arial" w:cs="Arial"/>
          <w:bCs/>
          <w:sz w:val="24"/>
          <w:szCs w:val="24"/>
        </w:rPr>
        <w:t>In the alternative, please explain why Atikokan Hydro is of the view that no changes are required.</w:t>
      </w:r>
    </w:p>
    <w:p w14:paraId="5E9C1C22" w14:textId="77777777" w:rsidR="005F72F6" w:rsidRPr="001F16A3" w:rsidRDefault="005F72F6" w:rsidP="005F72F6">
      <w:pPr>
        <w:spacing w:after="0"/>
        <w:rPr>
          <w:rFonts w:ascii="Arial" w:hAnsi="Arial" w:cs="Arial"/>
          <w:bCs/>
          <w:sz w:val="24"/>
          <w:szCs w:val="24"/>
        </w:rPr>
      </w:pPr>
    </w:p>
    <w:p w14:paraId="25F03DF6" w14:textId="5A5C5944" w:rsidR="005F72F6" w:rsidRPr="001F16A3" w:rsidRDefault="005F72F6" w:rsidP="005F72F6">
      <w:pPr>
        <w:spacing w:after="0"/>
        <w:rPr>
          <w:rFonts w:ascii="Arial" w:hAnsi="Arial" w:cs="Arial"/>
          <w:b/>
          <w:sz w:val="24"/>
          <w:szCs w:val="24"/>
        </w:rPr>
      </w:pPr>
      <w:r w:rsidRPr="001F16A3">
        <w:rPr>
          <w:rFonts w:ascii="Arial" w:hAnsi="Arial" w:cs="Arial"/>
          <w:b/>
          <w:sz w:val="24"/>
          <w:szCs w:val="24"/>
        </w:rPr>
        <w:t>Staff Question-</w:t>
      </w:r>
      <w:r>
        <w:rPr>
          <w:rFonts w:ascii="Arial" w:hAnsi="Arial" w:cs="Arial"/>
          <w:b/>
          <w:sz w:val="24"/>
          <w:szCs w:val="24"/>
        </w:rPr>
        <w:t>6</w:t>
      </w:r>
    </w:p>
    <w:p w14:paraId="0C85D8A4" w14:textId="77777777" w:rsidR="005F72F6" w:rsidRPr="001F16A3" w:rsidRDefault="005F72F6" w:rsidP="005F72F6">
      <w:pPr>
        <w:spacing w:after="0"/>
        <w:rPr>
          <w:rFonts w:ascii="Arial" w:hAnsi="Arial" w:cs="Arial"/>
          <w:b/>
          <w:sz w:val="24"/>
          <w:szCs w:val="24"/>
        </w:rPr>
      </w:pPr>
    </w:p>
    <w:p w14:paraId="05D4CFFE"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Ref (1): Manager’s Summary, November 21, 2022, p. 22</w:t>
      </w:r>
    </w:p>
    <w:p w14:paraId="503BF088"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Ref (2): 2023 IRM Rate Generator Model, Tab 3, November 21, 2022</w:t>
      </w:r>
    </w:p>
    <w:p w14:paraId="26876028"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Ref (3): 2021 IRM GA Analysis Workform, October 26, 2020</w:t>
      </w:r>
    </w:p>
    <w:p w14:paraId="3280B4B3" w14:textId="77777777" w:rsidR="005F72F6" w:rsidRPr="001F16A3" w:rsidRDefault="005F72F6" w:rsidP="005F72F6">
      <w:pPr>
        <w:spacing w:after="0"/>
        <w:rPr>
          <w:rFonts w:ascii="Arial" w:hAnsi="Arial" w:cs="Arial"/>
          <w:b/>
          <w:sz w:val="24"/>
          <w:szCs w:val="24"/>
        </w:rPr>
      </w:pPr>
    </w:p>
    <w:p w14:paraId="0EA10C86" w14:textId="7F1DBA33" w:rsidR="005F72F6" w:rsidRPr="001F16A3" w:rsidRDefault="005F72F6" w:rsidP="005F72F6">
      <w:pPr>
        <w:spacing w:after="0"/>
        <w:rPr>
          <w:rFonts w:ascii="Arial" w:hAnsi="Arial" w:cs="Arial"/>
          <w:bCs/>
          <w:sz w:val="24"/>
          <w:szCs w:val="24"/>
        </w:rPr>
      </w:pPr>
      <w:r w:rsidRPr="001F16A3">
        <w:rPr>
          <w:rFonts w:ascii="Arial" w:hAnsi="Arial" w:cs="Arial"/>
          <w:bCs/>
          <w:sz w:val="24"/>
          <w:szCs w:val="24"/>
        </w:rPr>
        <w:t>Atikokan Hydro stated that it had a 2019 principal adjustment of a credit of $50,671 to Account 1588. Atikokan Hydro noted that this principal adjustment was previously requested and approved in EB-2020-0004 (its 2021 IRM proceeding), but was recorded in the 2020 general ledger</w:t>
      </w:r>
      <w:r w:rsidR="00BE679D">
        <w:rPr>
          <w:rFonts w:ascii="Arial" w:hAnsi="Arial" w:cs="Arial"/>
          <w:bCs/>
          <w:sz w:val="24"/>
          <w:szCs w:val="24"/>
        </w:rPr>
        <w:t>.</w:t>
      </w:r>
    </w:p>
    <w:p w14:paraId="536A2DD2" w14:textId="77777777" w:rsidR="005F72F6" w:rsidRPr="001F16A3" w:rsidRDefault="005F72F6" w:rsidP="005F72F6">
      <w:pPr>
        <w:spacing w:after="0"/>
        <w:rPr>
          <w:rFonts w:ascii="Arial" w:hAnsi="Arial" w:cs="Arial"/>
          <w:bCs/>
          <w:sz w:val="24"/>
          <w:szCs w:val="24"/>
        </w:rPr>
      </w:pPr>
    </w:p>
    <w:p w14:paraId="2B6CB386" w14:textId="77777777" w:rsidR="005F72F6" w:rsidRPr="001F16A3" w:rsidRDefault="005F72F6" w:rsidP="005F72F6">
      <w:pPr>
        <w:spacing w:after="0"/>
        <w:rPr>
          <w:rFonts w:ascii="Arial" w:hAnsi="Arial" w:cs="Arial"/>
          <w:bCs/>
          <w:sz w:val="24"/>
          <w:szCs w:val="24"/>
        </w:rPr>
      </w:pPr>
      <w:r w:rsidRPr="001F16A3">
        <w:rPr>
          <w:rFonts w:ascii="Arial" w:hAnsi="Arial" w:cs="Arial"/>
          <w:bCs/>
          <w:sz w:val="24"/>
          <w:szCs w:val="24"/>
        </w:rPr>
        <w:t>OEB staff notes Atikokan Hydro’s 2019 principal adjustments, as shown in the 2021 IRM GA Analysis Workform, are an Account 1588 credit principal adjustment of $50,671 and an Account 1589 debit principal adjustment of $50,671.</w:t>
      </w:r>
    </w:p>
    <w:p w14:paraId="042FD42E" w14:textId="77777777" w:rsidR="005F72F6" w:rsidRPr="001F16A3" w:rsidRDefault="005F72F6" w:rsidP="005F72F6">
      <w:pPr>
        <w:spacing w:after="0"/>
        <w:rPr>
          <w:rFonts w:ascii="Arial" w:hAnsi="Arial" w:cs="Arial"/>
          <w:bCs/>
          <w:sz w:val="24"/>
          <w:szCs w:val="24"/>
        </w:rPr>
      </w:pPr>
    </w:p>
    <w:p w14:paraId="39EB9A8A" w14:textId="77777777" w:rsidR="005F72F6" w:rsidRPr="001F16A3" w:rsidRDefault="005F72F6" w:rsidP="005F72F6">
      <w:pPr>
        <w:spacing w:after="0"/>
        <w:rPr>
          <w:rFonts w:ascii="Arial" w:hAnsi="Arial" w:cs="Arial"/>
          <w:bCs/>
          <w:sz w:val="24"/>
          <w:szCs w:val="24"/>
        </w:rPr>
      </w:pPr>
      <w:r w:rsidRPr="001F16A3">
        <w:rPr>
          <w:rFonts w:ascii="Arial" w:hAnsi="Arial" w:cs="Arial"/>
          <w:bCs/>
          <w:sz w:val="24"/>
          <w:szCs w:val="24"/>
        </w:rPr>
        <w:t>OEB staff further notes that in the 2023 IRM Rate Generator Model, Atikokan Hydro has shown the same principal adjustments for 2020 as the 2019 principal adjustments, specifically an Account 1588 credit principal adjustment of $50,671 and an Account 1589 debit principal adjustment of $50,671.</w:t>
      </w:r>
    </w:p>
    <w:p w14:paraId="1E9471F5" w14:textId="77777777" w:rsidR="005F72F6" w:rsidRPr="001F16A3" w:rsidRDefault="005F72F6" w:rsidP="005F72F6">
      <w:pPr>
        <w:spacing w:after="0"/>
        <w:rPr>
          <w:rFonts w:ascii="Arial" w:hAnsi="Arial" w:cs="Arial"/>
          <w:b/>
          <w:sz w:val="24"/>
          <w:szCs w:val="24"/>
        </w:rPr>
      </w:pPr>
    </w:p>
    <w:p w14:paraId="3FE484F8"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lastRenderedPageBreak/>
        <w:t>Questions:</w:t>
      </w:r>
    </w:p>
    <w:p w14:paraId="3CCDE414" w14:textId="77777777" w:rsidR="005F72F6" w:rsidRPr="001F16A3" w:rsidRDefault="005F72F6" w:rsidP="005F72F6">
      <w:pPr>
        <w:pStyle w:val="ListParagraph"/>
        <w:spacing w:after="0"/>
        <w:rPr>
          <w:rFonts w:ascii="Arial" w:hAnsi="Arial" w:cs="Arial"/>
          <w:b/>
          <w:sz w:val="24"/>
          <w:szCs w:val="24"/>
        </w:rPr>
      </w:pPr>
    </w:p>
    <w:p w14:paraId="41B39FC5" w14:textId="1143FDC3" w:rsidR="005F72F6" w:rsidRPr="001F16A3" w:rsidRDefault="005F72F6" w:rsidP="005F72F6">
      <w:pPr>
        <w:pStyle w:val="ListParagraph"/>
        <w:numPr>
          <w:ilvl w:val="0"/>
          <w:numId w:val="24"/>
        </w:numPr>
        <w:spacing w:after="0"/>
        <w:rPr>
          <w:rFonts w:ascii="Arial" w:hAnsi="Arial" w:cs="Arial"/>
          <w:bCs/>
          <w:sz w:val="24"/>
          <w:szCs w:val="24"/>
        </w:rPr>
      </w:pPr>
      <w:r w:rsidRPr="001F16A3">
        <w:rPr>
          <w:rFonts w:ascii="Arial" w:hAnsi="Arial" w:cs="Arial"/>
          <w:bCs/>
          <w:sz w:val="24"/>
          <w:szCs w:val="24"/>
        </w:rPr>
        <w:t>Please confirm that the 2019 Account 1588 credit principal adjustment of $50,671 and the Account 1589 debit principal adjustment of $50,671 were</w:t>
      </w:r>
      <w:r w:rsidR="00BE679D">
        <w:rPr>
          <w:rFonts w:ascii="Arial" w:hAnsi="Arial" w:cs="Arial"/>
          <w:bCs/>
          <w:sz w:val="24"/>
          <w:szCs w:val="24"/>
        </w:rPr>
        <w:t xml:space="preserve"> both</w:t>
      </w:r>
      <w:r w:rsidRPr="001F16A3">
        <w:rPr>
          <w:rFonts w:ascii="Arial" w:hAnsi="Arial" w:cs="Arial"/>
          <w:bCs/>
          <w:sz w:val="24"/>
          <w:szCs w:val="24"/>
        </w:rPr>
        <w:t xml:space="preserve"> recorded in the 2020 general ledger.</w:t>
      </w:r>
    </w:p>
    <w:p w14:paraId="23050D81" w14:textId="77777777" w:rsidR="005F72F6" w:rsidRPr="001F16A3" w:rsidRDefault="005F72F6" w:rsidP="005F72F6">
      <w:pPr>
        <w:pStyle w:val="ListParagraph"/>
        <w:numPr>
          <w:ilvl w:val="0"/>
          <w:numId w:val="24"/>
        </w:numPr>
        <w:spacing w:after="0"/>
        <w:rPr>
          <w:rFonts w:ascii="Arial" w:hAnsi="Arial" w:cs="Arial"/>
          <w:bCs/>
          <w:sz w:val="24"/>
          <w:szCs w:val="24"/>
        </w:rPr>
      </w:pPr>
      <w:r w:rsidRPr="001F16A3">
        <w:rPr>
          <w:rFonts w:ascii="Arial" w:hAnsi="Arial" w:cs="Arial"/>
          <w:bCs/>
          <w:sz w:val="24"/>
          <w:szCs w:val="24"/>
        </w:rPr>
        <w:t>If yes, please explain why these principal adjustments were not reversed as 2020 principal adjustments in the 2023 IRM GA Analysis Workform and Tab 3 of the 2023 IRM Rate Generator Model (i.e., shown as an Account 1588 debit principal adjustment of $50,671 and an Account 1589 credit principal adjustment of $50,671) and instead the same 2019 amounts have been duplicated as 2020 principal adjustments.</w:t>
      </w:r>
    </w:p>
    <w:p w14:paraId="13E3C58A" w14:textId="77777777" w:rsidR="005F72F6" w:rsidRPr="001F16A3" w:rsidRDefault="005F72F6" w:rsidP="005F72F6">
      <w:pPr>
        <w:pStyle w:val="ListParagraph"/>
        <w:numPr>
          <w:ilvl w:val="0"/>
          <w:numId w:val="24"/>
        </w:numPr>
        <w:spacing w:after="0"/>
        <w:rPr>
          <w:rFonts w:ascii="Arial" w:hAnsi="Arial" w:cs="Arial"/>
          <w:bCs/>
          <w:sz w:val="24"/>
          <w:szCs w:val="24"/>
        </w:rPr>
      </w:pPr>
      <w:r w:rsidRPr="001F16A3">
        <w:rPr>
          <w:rFonts w:ascii="Arial" w:hAnsi="Arial" w:cs="Arial"/>
          <w:bCs/>
          <w:sz w:val="24"/>
          <w:szCs w:val="24"/>
        </w:rPr>
        <w:t>If no, please explain why not.</w:t>
      </w:r>
    </w:p>
    <w:p w14:paraId="241DF109" w14:textId="77777777" w:rsidR="005F72F6" w:rsidRPr="001F16A3" w:rsidRDefault="005F72F6" w:rsidP="005F72F6">
      <w:pPr>
        <w:spacing w:after="0"/>
        <w:rPr>
          <w:rFonts w:ascii="Arial" w:hAnsi="Arial" w:cs="Arial"/>
          <w:bCs/>
          <w:sz w:val="24"/>
          <w:szCs w:val="24"/>
        </w:rPr>
      </w:pPr>
    </w:p>
    <w:p w14:paraId="2BB4BF10" w14:textId="5126E583" w:rsidR="005F72F6" w:rsidRPr="001F16A3" w:rsidRDefault="005F72F6" w:rsidP="005F72F6">
      <w:pPr>
        <w:spacing w:after="0"/>
        <w:rPr>
          <w:rFonts w:ascii="Arial" w:hAnsi="Arial" w:cs="Arial"/>
          <w:b/>
          <w:sz w:val="24"/>
          <w:szCs w:val="24"/>
        </w:rPr>
      </w:pPr>
      <w:r w:rsidRPr="001F16A3">
        <w:rPr>
          <w:rFonts w:ascii="Arial" w:hAnsi="Arial" w:cs="Arial"/>
          <w:b/>
          <w:sz w:val="24"/>
          <w:szCs w:val="24"/>
        </w:rPr>
        <w:t>Staff Question-</w:t>
      </w:r>
      <w:r>
        <w:rPr>
          <w:rFonts w:ascii="Arial" w:hAnsi="Arial" w:cs="Arial"/>
          <w:b/>
          <w:sz w:val="24"/>
          <w:szCs w:val="24"/>
        </w:rPr>
        <w:t>7</w:t>
      </w:r>
    </w:p>
    <w:p w14:paraId="501285A7" w14:textId="77777777" w:rsidR="005F72F6" w:rsidRPr="001F16A3" w:rsidRDefault="005F72F6" w:rsidP="005F72F6">
      <w:pPr>
        <w:spacing w:after="0"/>
        <w:rPr>
          <w:rFonts w:ascii="Arial" w:hAnsi="Arial" w:cs="Arial"/>
          <w:b/>
          <w:sz w:val="24"/>
          <w:szCs w:val="24"/>
        </w:rPr>
      </w:pPr>
    </w:p>
    <w:p w14:paraId="719E4463"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Ref (1): 2023 IRM Rate Generator Model, Tab 3, November 21, 2022</w:t>
      </w:r>
    </w:p>
    <w:p w14:paraId="5FB2794F"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Ref (2): 2023 IRM GA Analysis Workform, November 21, 2022</w:t>
      </w:r>
    </w:p>
    <w:p w14:paraId="5CE4A28A" w14:textId="77777777" w:rsidR="005F72F6" w:rsidRPr="001F16A3" w:rsidRDefault="005F72F6" w:rsidP="005F72F6">
      <w:pPr>
        <w:spacing w:after="0"/>
        <w:rPr>
          <w:rFonts w:ascii="Arial" w:hAnsi="Arial" w:cs="Arial"/>
          <w:b/>
          <w:sz w:val="24"/>
          <w:szCs w:val="24"/>
        </w:rPr>
      </w:pPr>
    </w:p>
    <w:p w14:paraId="4A3C75FA" w14:textId="77777777" w:rsidR="005F72F6" w:rsidRPr="001F16A3" w:rsidRDefault="005F72F6" w:rsidP="005F72F6">
      <w:pPr>
        <w:spacing w:after="0"/>
        <w:rPr>
          <w:rFonts w:ascii="Arial" w:hAnsi="Arial" w:cs="Arial"/>
          <w:bCs/>
          <w:sz w:val="24"/>
          <w:szCs w:val="24"/>
        </w:rPr>
      </w:pPr>
      <w:r w:rsidRPr="001F16A3">
        <w:rPr>
          <w:rFonts w:ascii="Arial" w:hAnsi="Arial" w:cs="Arial"/>
          <w:bCs/>
          <w:sz w:val="24"/>
          <w:szCs w:val="24"/>
        </w:rPr>
        <w:t xml:space="preserve">In the 2023 IRM Rate Generator Model, regarding 2020 principal adjustments, Atikokan Hydro has shown an Account 1588 credit principal adjustment of $50,671 and an Account 1589 debit principal adjustment of $50,671. </w:t>
      </w:r>
    </w:p>
    <w:p w14:paraId="0C86DC9A" w14:textId="77777777" w:rsidR="005F72F6" w:rsidRPr="001F16A3" w:rsidRDefault="005F72F6" w:rsidP="005F72F6">
      <w:pPr>
        <w:spacing w:after="0"/>
        <w:rPr>
          <w:rFonts w:ascii="Arial" w:hAnsi="Arial" w:cs="Arial"/>
          <w:bCs/>
          <w:sz w:val="24"/>
          <w:szCs w:val="24"/>
        </w:rPr>
      </w:pPr>
    </w:p>
    <w:p w14:paraId="2CC9BF30" w14:textId="77777777" w:rsidR="005F72F6" w:rsidRPr="001F16A3" w:rsidRDefault="005F72F6" w:rsidP="005F72F6">
      <w:pPr>
        <w:spacing w:after="0"/>
        <w:rPr>
          <w:rFonts w:ascii="Arial" w:hAnsi="Arial" w:cs="Arial"/>
          <w:bCs/>
          <w:sz w:val="24"/>
          <w:szCs w:val="24"/>
        </w:rPr>
      </w:pPr>
      <w:r w:rsidRPr="001F16A3">
        <w:rPr>
          <w:rFonts w:ascii="Arial" w:hAnsi="Arial" w:cs="Arial"/>
          <w:bCs/>
          <w:sz w:val="24"/>
          <w:szCs w:val="24"/>
        </w:rPr>
        <w:t>The 2020 Account 1588 credit principal adjustment of $50,671 in the 2023 IRM Rate Generator Model reconciles to the amounts shown in the Account 1588 Reasonability Tab of the 2023 IRM GA Analysis Workform.</w:t>
      </w:r>
    </w:p>
    <w:p w14:paraId="52B8539A" w14:textId="77777777" w:rsidR="005F72F6" w:rsidRPr="001F16A3" w:rsidRDefault="005F72F6" w:rsidP="005F72F6">
      <w:pPr>
        <w:spacing w:after="0"/>
        <w:rPr>
          <w:rFonts w:ascii="Arial" w:hAnsi="Arial" w:cs="Arial"/>
          <w:bCs/>
          <w:sz w:val="24"/>
          <w:szCs w:val="24"/>
        </w:rPr>
      </w:pPr>
    </w:p>
    <w:p w14:paraId="046C1982" w14:textId="77777777" w:rsidR="005F72F6" w:rsidRPr="001F16A3" w:rsidRDefault="005F72F6" w:rsidP="005F72F6">
      <w:pPr>
        <w:spacing w:after="0"/>
        <w:rPr>
          <w:rFonts w:ascii="Arial" w:hAnsi="Arial" w:cs="Arial"/>
          <w:bCs/>
          <w:sz w:val="24"/>
          <w:szCs w:val="24"/>
        </w:rPr>
      </w:pPr>
      <w:r w:rsidRPr="001F16A3">
        <w:rPr>
          <w:rFonts w:ascii="Arial" w:hAnsi="Arial" w:cs="Arial"/>
          <w:bCs/>
          <w:sz w:val="24"/>
          <w:szCs w:val="24"/>
        </w:rPr>
        <w:t>No amount relating to these 2020 principal adjustments has been recorded in Tab GA 2020 of the GA Analysis Workform.</w:t>
      </w:r>
    </w:p>
    <w:p w14:paraId="421B4C8B" w14:textId="77777777" w:rsidR="005F72F6" w:rsidRPr="001F16A3" w:rsidRDefault="005F72F6" w:rsidP="005F72F6">
      <w:pPr>
        <w:spacing w:after="0"/>
        <w:rPr>
          <w:rFonts w:ascii="Arial" w:hAnsi="Arial" w:cs="Arial"/>
          <w:bCs/>
          <w:sz w:val="24"/>
          <w:szCs w:val="24"/>
        </w:rPr>
      </w:pPr>
    </w:p>
    <w:p w14:paraId="2C5452CE" w14:textId="77777777" w:rsidR="005F72F6" w:rsidRPr="001F16A3" w:rsidRDefault="005F72F6" w:rsidP="005F72F6">
      <w:pPr>
        <w:spacing w:after="0"/>
        <w:rPr>
          <w:rFonts w:ascii="Arial" w:hAnsi="Arial" w:cs="Arial"/>
          <w:bCs/>
          <w:sz w:val="24"/>
          <w:szCs w:val="24"/>
        </w:rPr>
      </w:pPr>
      <w:r w:rsidRPr="001F16A3">
        <w:rPr>
          <w:rFonts w:ascii="Arial" w:hAnsi="Arial" w:cs="Arial"/>
          <w:bCs/>
          <w:sz w:val="24"/>
          <w:szCs w:val="24"/>
        </w:rPr>
        <w:t>However, based on the above OEB staff question, OEB staff notes that the sign of such  2020 principal adjustments current</w:t>
      </w:r>
      <w:r>
        <w:rPr>
          <w:rFonts w:ascii="Arial" w:hAnsi="Arial" w:cs="Arial"/>
          <w:bCs/>
          <w:sz w:val="24"/>
          <w:szCs w:val="24"/>
        </w:rPr>
        <w:t>ly</w:t>
      </w:r>
      <w:r w:rsidRPr="001F16A3">
        <w:rPr>
          <w:rFonts w:ascii="Arial" w:hAnsi="Arial" w:cs="Arial"/>
          <w:bCs/>
          <w:sz w:val="24"/>
          <w:szCs w:val="24"/>
        </w:rPr>
        <w:t xml:space="preserve"> presented on the record may need to be reversed.</w:t>
      </w:r>
    </w:p>
    <w:p w14:paraId="39F9684D" w14:textId="77777777" w:rsidR="005F72F6" w:rsidRPr="001F16A3" w:rsidRDefault="005F72F6" w:rsidP="005F72F6">
      <w:pPr>
        <w:spacing w:after="0"/>
        <w:rPr>
          <w:rFonts w:ascii="Arial" w:hAnsi="Arial" w:cs="Arial"/>
          <w:bCs/>
          <w:sz w:val="24"/>
          <w:szCs w:val="24"/>
        </w:rPr>
      </w:pPr>
    </w:p>
    <w:p w14:paraId="3023260B" w14:textId="77777777" w:rsidR="005F72F6" w:rsidRPr="001F16A3" w:rsidRDefault="005F72F6" w:rsidP="005F72F6">
      <w:pPr>
        <w:spacing w:after="0"/>
        <w:rPr>
          <w:rFonts w:ascii="Arial" w:hAnsi="Arial" w:cs="Arial"/>
          <w:bCs/>
          <w:sz w:val="24"/>
          <w:szCs w:val="24"/>
        </w:rPr>
      </w:pPr>
      <w:r w:rsidRPr="001F16A3">
        <w:rPr>
          <w:rFonts w:ascii="Arial" w:hAnsi="Arial" w:cs="Arial"/>
          <w:bCs/>
          <w:sz w:val="24"/>
          <w:szCs w:val="24"/>
        </w:rPr>
        <w:t>OEB staff also notes that the Tab Principal Adjustments of the 2023 IRM GA Analysis Workform does not have the years inserted in certain cells in column A and column M.</w:t>
      </w:r>
    </w:p>
    <w:p w14:paraId="4F774631" w14:textId="77777777" w:rsidR="005F72F6" w:rsidRPr="001F16A3" w:rsidRDefault="005F72F6" w:rsidP="005F72F6">
      <w:pPr>
        <w:spacing w:after="0"/>
        <w:rPr>
          <w:rFonts w:ascii="Arial" w:hAnsi="Arial" w:cs="Arial"/>
          <w:b/>
          <w:sz w:val="24"/>
          <w:szCs w:val="24"/>
        </w:rPr>
      </w:pPr>
    </w:p>
    <w:p w14:paraId="2DCCA99B"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Questions:</w:t>
      </w:r>
    </w:p>
    <w:p w14:paraId="1F93770D" w14:textId="77777777" w:rsidR="005F72F6" w:rsidRPr="001F16A3" w:rsidRDefault="005F72F6" w:rsidP="005F72F6">
      <w:pPr>
        <w:pStyle w:val="ListParagraph"/>
        <w:spacing w:after="0"/>
        <w:rPr>
          <w:rFonts w:ascii="Arial" w:hAnsi="Arial" w:cs="Arial"/>
          <w:bCs/>
          <w:sz w:val="24"/>
          <w:szCs w:val="24"/>
        </w:rPr>
      </w:pPr>
    </w:p>
    <w:p w14:paraId="774AFC18" w14:textId="44D0A8C8" w:rsidR="005F72F6" w:rsidRPr="001F16A3" w:rsidRDefault="005F72F6" w:rsidP="005F72F6">
      <w:pPr>
        <w:pStyle w:val="ListParagraph"/>
        <w:numPr>
          <w:ilvl w:val="0"/>
          <w:numId w:val="25"/>
        </w:numPr>
        <w:spacing w:after="0"/>
        <w:rPr>
          <w:rFonts w:ascii="Arial" w:hAnsi="Arial" w:cs="Arial"/>
          <w:bCs/>
          <w:sz w:val="24"/>
          <w:szCs w:val="24"/>
        </w:rPr>
      </w:pPr>
      <w:r w:rsidRPr="001F16A3">
        <w:rPr>
          <w:rFonts w:ascii="Arial" w:hAnsi="Arial" w:cs="Arial"/>
          <w:bCs/>
          <w:sz w:val="24"/>
          <w:szCs w:val="24"/>
        </w:rPr>
        <w:t xml:space="preserve">Please confirm that Note 9 of the Tab Principal Adjustments of the GA Analysis Workform needs to be updated to show 2020 principal adjustments of an </w:t>
      </w:r>
      <w:r w:rsidRPr="001F16A3">
        <w:rPr>
          <w:rFonts w:ascii="Arial" w:hAnsi="Arial" w:cs="Arial"/>
          <w:bCs/>
          <w:sz w:val="24"/>
          <w:szCs w:val="24"/>
        </w:rPr>
        <w:lastRenderedPageBreak/>
        <w:t>Account 1588 debit principal adjustment of $50,671 and an Account 1589 credit principal adjustment of $50,671</w:t>
      </w:r>
      <w:r w:rsidR="00877BD1">
        <w:rPr>
          <w:rFonts w:ascii="Arial" w:hAnsi="Arial" w:cs="Arial"/>
          <w:bCs/>
          <w:sz w:val="24"/>
          <w:szCs w:val="24"/>
        </w:rPr>
        <w:t>. If confirmed, please update the evidence.</w:t>
      </w:r>
    </w:p>
    <w:p w14:paraId="12B624C6" w14:textId="77777777" w:rsidR="005F72F6" w:rsidRPr="001F16A3" w:rsidRDefault="005F72F6" w:rsidP="005F72F6">
      <w:pPr>
        <w:pStyle w:val="ListParagraph"/>
        <w:numPr>
          <w:ilvl w:val="0"/>
          <w:numId w:val="25"/>
        </w:numPr>
        <w:spacing w:after="0"/>
        <w:rPr>
          <w:rFonts w:ascii="Arial" w:hAnsi="Arial" w:cs="Arial"/>
          <w:bCs/>
          <w:sz w:val="24"/>
          <w:szCs w:val="24"/>
        </w:rPr>
      </w:pPr>
      <w:r w:rsidRPr="001F16A3">
        <w:rPr>
          <w:rFonts w:ascii="Arial" w:hAnsi="Arial" w:cs="Arial"/>
          <w:bCs/>
          <w:sz w:val="24"/>
          <w:szCs w:val="24"/>
        </w:rPr>
        <w:t>If this is not the case, please explain.</w:t>
      </w:r>
    </w:p>
    <w:p w14:paraId="70AD83BD" w14:textId="499564CF" w:rsidR="005F72F6" w:rsidRPr="001F16A3" w:rsidRDefault="005F72F6" w:rsidP="005F72F6">
      <w:pPr>
        <w:pStyle w:val="ListParagraph"/>
        <w:numPr>
          <w:ilvl w:val="0"/>
          <w:numId w:val="25"/>
        </w:numPr>
        <w:spacing w:after="0"/>
        <w:rPr>
          <w:rFonts w:ascii="Arial" w:hAnsi="Arial" w:cs="Arial"/>
          <w:bCs/>
          <w:sz w:val="24"/>
          <w:szCs w:val="24"/>
        </w:rPr>
      </w:pPr>
      <w:r w:rsidRPr="001F16A3">
        <w:rPr>
          <w:rFonts w:ascii="Arial" w:hAnsi="Arial" w:cs="Arial"/>
          <w:bCs/>
          <w:sz w:val="24"/>
          <w:szCs w:val="24"/>
        </w:rPr>
        <w:t>Please confirm that the 2020 amount shown in the Account 1588 Reasonability Tab of the 2023 IRM GA Analysis Workform needs to be changed from a credit principal adjustment of $50,671 to a debit principal adjustment, and that the “Account 1588 as % of Account 4705”, cell G19, changes from -36.1% to -9.8%.</w:t>
      </w:r>
      <w:r w:rsidR="00877BD1">
        <w:rPr>
          <w:rFonts w:ascii="Arial" w:hAnsi="Arial" w:cs="Arial"/>
          <w:bCs/>
          <w:sz w:val="24"/>
          <w:szCs w:val="24"/>
        </w:rPr>
        <w:t xml:space="preserve">if confirmed, please update the evidence. </w:t>
      </w:r>
    </w:p>
    <w:p w14:paraId="4BA3D242" w14:textId="77777777" w:rsidR="005F72F6" w:rsidRPr="001F16A3" w:rsidRDefault="005F72F6" w:rsidP="005F72F6">
      <w:pPr>
        <w:pStyle w:val="ListParagraph"/>
        <w:numPr>
          <w:ilvl w:val="0"/>
          <w:numId w:val="25"/>
        </w:numPr>
        <w:spacing w:after="0"/>
        <w:rPr>
          <w:rFonts w:ascii="Arial" w:hAnsi="Arial" w:cs="Arial"/>
          <w:bCs/>
          <w:sz w:val="24"/>
          <w:szCs w:val="24"/>
        </w:rPr>
      </w:pPr>
      <w:r w:rsidRPr="001F16A3">
        <w:rPr>
          <w:rFonts w:ascii="Arial" w:hAnsi="Arial" w:cs="Arial"/>
          <w:bCs/>
          <w:sz w:val="24"/>
          <w:szCs w:val="24"/>
        </w:rPr>
        <w:t>If this is not the case, please explain.</w:t>
      </w:r>
    </w:p>
    <w:p w14:paraId="66C61DB1" w14:textId="3B5DE3E1" w:rsidR="005F72F6" w:rsidRPr="001F16A3" w:rsidRDefault="005F72F6" w:rsidP="005F72F6">
      <w:pPr>
        <w:pStyle w:val="ListParagraph"/>
        <w:numPr>
          <w:ilvl w:val="0"/>
          <w:numId w:val="25"/>
        </w:numPr>
        <w:spacing w:after="0"/>
        <w:rPr>
          <w:rFonts w:ascii="Arial" w:hAnsi="Arial" w:cs="Arial"/>
          <w:bCs/>
          <w:sz w:val="24"/>
          <w:szCs w:val="24"/>
        </w:rPr>
      </w:pPr>
      <w:r w:rsidRPr="001F16A3">
        <w:rPr>
          <w:rFonts w:ascii="Arial" w:hAnsi="Arial" w:cs="Arial"/>
          <w:bCs/>
          <w:sz w:val="24"/>
          <w:szCs w:val="24"/>
        </w:rPr>
        <w:t xml:space="preserve">Please confirm that the Tab GA 2020 of the GA Analysis Workform needs to be updated to reflect a credit principal adjustment of $50,671, and that the revised cell C93 (i.e., Unresolved Difference as % of Expected GA Payments to IESO) changes to -6.6% from 0.4%. </w:t>
      </w:r>
      <w:r w:rsidR="00877BD1">
        <w:rPr>
          <w:rFonts w:ascii="Arial" w:hAnsi="Arial" w:cs="Arial"/>
          <w:bCs/>
          <w:sz w:val="24"/>
          <w:szCs w:val="24"/>
        </w:rPr>
        <w:t xml:space="preserve">If confirmed, please update the evidence. </w:t>
      </w:r>
      <w:r w:rsidRPr="001F16A3">
        <w:rPr>
          <w:rFonts w:ascii="Arial" w:hAnsi="Arial" w:cs="Arial"/>
          <w:bCs/>
          <w:sz w:val="24"/>
          <w:szCs w:val="24"/>
        </w:rPr>
        <w:t>Please also explain the unresolved difference of -6.6%.</w:t>
      </w:r>
    </w:p>
    <w:p w14:paraId="596E08D5" w14:textId="77777777" w:rsidR="005F72F6" w:rsidRPr="001F16A3" w:rsidRDefault="005F72F6" w:rsidP="005F72F6">
      <w:pPr>
        <w:pStyle w:val="ListParagraph"/>
        <w:numPr>
          <w:ilvl w:val="0"/>
          <w:numId w:val="25"/>
        </w:numPr>
        <w:spacing w:after="0"/>
        <w:rPr>
          <w:rFonts w:ascii="Arial" w:hAnsi="Arial" w:cs="Arial"/>
          <w:bCs/>
          <w:sz w:val="24"/>
          <w:szCs w:val="24"/>
        </w:rPr>
      </w:pPr>
      <w:r w:rsidRPr="001F16A3">
        <w:rPr>
          <w:rFonts w:ascii="Arial" w:hAnsi="Arial" w:cs="Arial"/>
          <w:bCs/>
          <w:sz w:val="24"/>
          <w:szCs w:val="24"/>
        </w:rPr>
        <w:t>If this is not the case, please explain.</w:t>
      </w:r>
    </w:p>
    <w:p w14:paraId="6D55C50B" w14:textId="77777777" w:rsidR="005F72F6" w:rsidRPr="001F16A3" w:rsidRDefault="005F72F6" w:rsidP="005F72F6">
      <w:pPr>
        <w:pStyle w:val="ListParagraph"/>
        <w:numPr>
          <w:ilvl w:val="0"/>
          <w:numId w:val="25"/>
        </w:numPr>
        <w:spacing w:after="0"/>
        <w:rPr>
          <w:rFonts w:ascii="Arial" w:hAnsi="Arial" w:cs="Arial"/>
          <w:bCs/>
          <w:sz w:val="24"/>
          <w:szCs w:val="24"/>
        </w:rPr>
      </w:pPr>
      <w:r w:rsidRPr="001F16A3">
        <w:rPr>
          <w:rFonts w:ascii="Arial" w:hAnsi="Arial" w:cs="Arial"/>
          <w:bCs/>
          <w:sz w:val="24"/>
          <w:szCs w:val="24"/>
        </w:rPr>
        <w:t>In the Tab Principal Adjustments of the 2023 IRM GA Analysis Workform, please insert the years required in certain cells in column A and column M.</w:t>
      </w:r>
    </w:p>
    <w:p w14:paraId="0E7525E5" w14:textId="77777777" w:rsidR="005F72F6" w:rsidRPr="001F16A3" w:rsidRDefault="005F72F6" w:rsidP="005F72F6">
      <w:pPr>
        <w:spacing w:after="0"/>
        <w:rPr>
          <w:rFonts w:ascii="Arial" w:hAnsi="Arial" w:cs="Arial"/>
          <w:bCs/>
          <w:sz w:val="24"/>
          <w:szCs w:val="24"/>
        </w:rPr>
      </w:pPr>
    </w:p>
    <w:p w14:paraId="3F3B6F13" w14:textId="119693B6" w:rsidR="005F72F6" w:rsidRPr="001F16A3" w:rsidRDefault="005F72F6" w:rsidP="005F72F6">
      <w:pPr>
        <w:spacing w:after="0"/>
        <w:rPr>
          <w:rFonts w:ascii="Arial" w:hAnsi="Arial" w:cs="Arial"/>
          <w:b/>
          <w:sz w:val="24"/>
          <w:szCs w:val="24"/>
        </w:rPr>
      </w:pPr>
      <w:r w:rsidRPr="001F16A3">
        <w:rPr>
          <w:rFonts w:ascii="Arial" w:hAnsi="Arial" w:cs="Arial"/>
          <w:b/>
          <w:sz w:val="24"/>
          <w:szCs w:val="24"/>
        </w:rPr>
        <w:t>Staff Question-</w:t>
      </w:r>
      <w:r>
        <w:rPr>
          <w:rFonts w:ascii="Arial" w:hAnsi="Arial" w:cs="Arial"/>
          <w:b/>
          <w:sz w:val="24"/>
          <w:szCs w:val="24"/>
        </w:rPr>
        <w:t>8</w:t>
      </w:r>
    </w:p>
    <w:p w14:paraId="6620FE2C" w14:textId="77777777" w:rsidR="005F72F6" w:rsidRPr="001F16A3" w:rsidRDefault="005F72F6" w:rsidP="005F72F6">
      <w:pPr>
        <w:spacing w:after="0"/>
        <w:rPr>
          <w:rFonts w:ascii="Arial" w:hAnsi="Arial" w:cs="Arial"/>
          <w:b/>
          <w:sz w:val="24"/>
          <w:szCs w:val="24"/>
        </w:rPr>
      </w:pPr>
    </w:p>
    <w:p w14:paraId="1AC3C8C3"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Ref (1): Manager’s Summary, November 21, 2022, p. 21 &amp; 22</w:t>
      </w:r>
    </w:p>
    <w:p w14:paraId="63F98E18"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Ref (2): 2023 IRM GA Analysis Workform, November 21, 2022</w:t>
      </w:r>
    </w:p>
    <w:p w14:paraId="77CD23D4" w14:textId="77777777" w:rsidR="005F72F6" w:rsidRPr="001F16A3" w:rsidRDefault="005F72F6" w:rsidP="005F72F6">
      <w:pPr>
        <w:spacing w:after="0"/>
        <w:rPr>
          <w:rFonts w:ascii="Arial" w:hAnsi="Arial" w:cs="Arial"/>
          <w:bCs/>
          <w:sz w:val="24"/>
          <w:szCs w:val="24"/>
        </w:rPr>
      </w:pPr>
    </w:p>
    <w:p w14:paraId="13E4788D" w14:textId="6FE69759" w:rsidR="005F72F6" w:rsidRPr="001F16A3" w:rsidRDefault="005F72F6" w:rsidP="005F72F6">
      <w:pPr>
        <w:spacing w:after="0"/>
        <w:rPr>
          <w:rFonts w:ascii="Arial" w:hAnsi="Arial" w:cs="Arial"/>
          <w:bCs/>
          <w:sz w:val="24"/>
          <w:szCs w:val="24"/>
        </w:rPr>
      </w:pPr>
      <w:r w:rsidRPr="001F16A3">
        <w:rPr>
          <w:rFonts w:ascii="Arial" w:hAnsi="Arial" w:cs="Arial"/>
          <w:bCs/>
          <w:sz w:val="24"/>
          <w:szCs w:val="24"/>
        </w:rPr>
        <w:t>Atikokan Hydro stated that in review of its 2020 Account 1588 balance relative to the cost of power, an explanation is required with Account 1588 being -36.1% of Account 4705. OEB staff notes that this percentage is shown</w:t>
      </w:r>
      <w:r w:rsidRPr="001F16A3">
        <w:rPr>
          <w:rFonts w:ascii="Arial" w:hAnsi="Arial" w:cs="Arial"/>
          <w:sz w:val="24"/>
          <w:szCs w:val="24"/>
        </w:rPr>
        <w:t xml:space="preserve"> </w:t>
      </w:r>
      <w:r w:rsidR="002277A6">
        <w:rPr>
          <w:rFonts w:ascii="Arial" w:hAnsi="Arial" w:cs="Arial"/>
          <w:sz w:val="24"/>
          <w:szCs w:val="24"/>
        </w:rPr>
        <w:t xml:space="preserve">in </w:t>
      </w:r>
      <w:r w:rsidRPr="001F16A3">
        <w:rPr>
          <w:rFonts w:ascii="Arial" w:hAnsi="Arial" w:cs="Arial"/>
          <w:bCs/>
          <w:sz w:val="24"/>
          <w:szCs w:val="24"/>
        </w:rPr>
        <w:t>the Account 1588 Reasonability Test shown in the GA Analysis Workform, specifically</w:t>
      </w:r>
      <w:r w:rsidRPr="001F16A3">
        <w:rPr>
          <w:rFonts w:ascii="Arial" w:hAnsi="Arial" w:cs="Arial"/>
          <w:sz w:val="24"/>
          <w:szCs w:val="24"/>
        </w:rPr>
        <w:t xml:space="preserve"> </w:t>
      </w:r>
      <w:r w:rsidRPr="001F16A3">
        <w:rPr>
          <w:rFonts w:ascii="Arial" w:hAnsi="Arial" w:cs="Arial"/>
          <w:bCs/>
          <w:sz w:val="24"/>
          <w:szCs w:val="24"/>
        </w:rPr>
        <w:t>the “Account 1588 as % of Account 4705”, cell G19.</w:t>
      </w:r>
    </w:p>
    <w:p w14:paraId="3EF16881" w14:textId="77777777" w:rsidR="005F72F6" w:rsidRPr="001F16A3" w:rsidRDefault="005F72F6" w:rsidP="005F72F6">
      <w:pPr>
        <w:spacing w:after="0"/>
        <w:rPr>
          <w:rFonts w:ascii="Arial" w:hAnsi="Arial" w:cs="Arial"/>
          <w:bCs/>
          <w:sz w:val="24"/>
          <w:szCs w:val="24"/>
        </w:rPr>
      </w:pPr>
    </w:p>
    <w:p w14:paraId="4E42E7F1" w14:textId="77777777" w:rsidR="005F72F6" w:rsidRPr="001F16A3" w:rsidRDefault="005F72F6" w:rsidP="005F72F6">
      <w:pPr>
        <w:spacing w:after="0"/>
        <w:rPr>
          <w:rFonts w:ascii="Arial" w:hAnsi="Arial" w:cs="Arial"/>
          <w:bCs/>
          <w:sz w:val="24"/>
          <w:szCs w:val="24"/>
        </w:rPr>
      </w:pPr>
      <w:r w:rsidRPr="001F16A3">
        <w:rPr>
          <w:rFonts w:ascii="Arial" w:hAnsi="Arial" w:cs="Arial"/>
          <w:bCs/>
          <w:sz w:val="24"/>
          <w:szCs w:val="24"/>
        </w:rPr>
        <w:t>In consideration of line losses, Atikokan Hydro noted that the calculated actual annual line loss has been less than the line loss charged to customers, as per the OEB-approved line loss factor of 1.0945%. Atikokan Hydro stated that this supports that the Account 1588 account contributes to a credit refund to the customer and further provides the explanation and reasoning behind a greater than expected Account 1588 variance balance relative to the annual cost of power.</w:t>
      </w:r>
    </w:p>
    <w:p w14:paraId="77C8E289" w14:textId="77777777" w:rsidR="005F72F6" w:rsidRPr="001F16A3" w:rsidRDefault="005F72F6" w:rsidP="005F72F6">
      <w:pPr>
        <w:spacing w:after="0"/>
        <w:rPr>
          <w:rFonts w:ascii="Arial" w:hAnsi="Arial" w:cs="Arial"/>
          <w:bCs/>
          <w:sz w:val="24"/>
          <w:szCs w:val="24"/>
        </w:rPr>
      </w:pPr>
    </w:p>
    <w:p w14:paraId="70A7A7BD" w14:textId="77777777" w:rsidR="005F72F6" w:rsidRPr="001F16A3" w:rsidRDefault="005F72F6" w:rsidP="005F72F6">
      <w:pPr>
        <w:spacing w:after="0"/>
        <w:rPr>
          <w:rFonts w:ascii="Arial" w:hAnsi="Arial" w:cs="Arial"/>
          <w:bCs/>
          <w:sz w:val="24"/>
          <w:szCs w:val="24"/>
        </w:rPr>
      </w:pPr>
      <w:r w:rsidRPr="001F16A3">
        <w:rPr>
          <w:rFonts w:ascii="Arial" w:hAnsi="Arial" w:cs="Arial"/>
          <w:bCs/>
          <w:sz w:val="24"/>
          <w:szCs w:val="24"/>
        </w:rPr>
        <w:t>Atikokan Hydro further suggested that for the year 2021, regarding the Account 1588 Reasonability Test shown in the GA Analysis Workform, the cost of power was -5.2% of Account 4705 (specifically the “Account 1588 as % of Account 4705”, cell G20). Atikokan Hydro noted that this is a result of line losses as explained previously for 2020.</w:t>
      </w:r>
    </w:p>
    <w:p w14:paraId="6ADAF52B" w14:textId="77777777" w:rsidR="005F72F6" w:rsidRPr="001F16A3" w:rsidRDefault="005F72F6" w:rsidP="005F72F6">
      <w:pPr>
        <w:spacing w:after="0"/>
        <w:rPr>
          <w:rFonts w:ascii="Arial" w:hAnsi="Arial" w:cs="Arial"/>
          <w:bCs/>
          <w:sz w:val="24"/>
          <w:szCs w:val="24"/>
        </w:rPr>
      </w:pPr>
      <w:r w:rsidRPr="001F16A3">
        <w:rPr>
          <w:rFonts w:ascii="Arial" w:hAnsi="Arial" w:cs="Arial"/>
          <w:bCs/>
          <w:sz w:val="24"/>
          <w:szCs w:val="24"/>
        </w:rPr>
        <w:lastRenderedPageBreak/>
        <w:t>However, OEB staff notes that on Tab GA 2020 and Tab GA 2021 of the GA Analysis Workform in cell K63, the line loss difference shows 0.0000 for 2020 and 0.0001 for 2021.</w:t>
      </w:r>
    </w:p>
    <w:p w14:paraId="6CFC6808" w14:textId="77777777" w:rsidR="005F72F6" w:rsidRPr="001F16A3" w:rsidRDefault="005F72F6" w:rsidP="005F72F6">
      <w:pPr>
        <w:spacing w:after="0"/>
        <w:rPr>
          <w:rFonts w:ascii="Arial" w:hAnsi="Arial" w:cs="Arial"/>
          <w:bCs/>
          <w:sz w:val="24"/>
          <w:szCs w:val="24"/>
        </w:rPr>
      </w:pPr>
    </w:p>
    <w:p w14:paraId="2A2FED06" w14:textId="77777777" w:rsidR="005F72F6" w:rsidRPr="001F16A3" w:rsidRDefault="005F72F6" w:rsidP="005F72F6">
      <w:pPr>
        <w:spacing w:after="0"/>
        <w:rPr>
          <w:rFonts w:ascii="Arial" w:hAnsi="Arial" w:cs="Arial"/>
          <w:bCs/>
          <w:sz w:val="24"/>
          <w:szCs w:val="24"/>
        </w:rPr>
      </w:pPr>
      <w:r w:rsidRPr="001F16A3">
        <w:rPr>
          <w:rFonts w:ascii="Arial" w:hAnsi="Arial" w:cs="Arial"/>
          <w:bCs/>
          <w:sz w:val="24"/>
          <w:szCs w:val="24"/>
        </w:rPr>
        <w:t>OEB staff also notes that based on the response to an above OEB staff question, the 2020 amount shown in the Account 1588 Reasonability Tab of the 2023 IRM GA Analysis Workform, specifically the “Account 1588 as % of Account 4705”, cell G19, may change from -36.1% to -9.8%.</w:t>
      </w:r>
    </w:p>
    <w:p w14:paraId="0BA4CB3C" w14:textId="77777777" w:rsidR="005F72F6" w:rsidRPr="001F16A3" w:rsidRDefault="005F72F6" w:rsidP="005F72F6">
      <w:pPr>
        <w:spacing w:after="0"/>
        <w:rPr>
          <w:rFonts w:ascii="Arial" w:hAnsi="Arial" w:cs="Arial"/>
          <w:bCs/>
          <w:sz w:val="24"/>
          <w:szCs w:val="24"/>
        </w:rPr>
      </w:pPr>
    </w:p>
    <w:p w14:paraId="4C157E49"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Questions:</w:t>
      </w:r>
    </w:p>
    <w:p w14:paraId="6F9A86EA" w14:textId="77777777" w:rsidR="005F72F6" w:rsidRPr="001F16A3" w:rsidRDefault="005F72F6" w:rsidP="005F72F6">
      <w:pPr>
        <w:spacing w:after="0"/>
        <w:rPr>
          <w:rFonts w:ascii="Arial" w:hAnsi="Arial" w:cs="Arial"/>
          <w:b/>
          <w:sz w:val="24"/>
          <w:szCs w:val="24"/>
        </w:rPr>
      </w:pPr>
    </w:p>
    <w:p w14:paraId="1636BB64" w14:textId="77777777" w:rsidR="005F72F6" w:rsidRPr="001F16A3" w:rsidRDefault="005F72F6" w:rsidP="005F72F6">
      <w:pPr>
        <w:pStyle w:val="ListParagraph"/>
        <w:numPr>
          <w:ilvl w:val="0"/>
          <w:numId w:val="26"/>
        </w:numPr>
        <w:spacing w:after="0"/>
        <w:rPr>
          <w:rFonts w:ascii="Arial" w:hAnsi="Arial" w:cs="Arial"/>
          <w:bCs/>
          <w:sz w:val="24"/>
          <w:szCs w:val="24"/>
        </w:rPr>
      </w:pPr>
      <w:r w:rsidRPr="001F16A3">
        <w:rPr>
          <w:rFonts w:ascii="Arial" w:hAnsi="Arial" w:cs="Arial"/>
          <w:bCs/>
          <w:sz w:val="24"/>
          <w:szCs w:val="24"/>
        </w:rPr>
        <w:t xml:space="preserve">Please explain Atikokan Hydro’s suggestions that the -36.1% amount (or if revised to -9.8% based on an OEB staff question) for 2020 and the -5.2% amount for 2021 shown in the Account 1588 Reasonability Tab of the GA Analysis Workform are due to actual line losses being less than OEB-approved, in light of the zero line loss difference shown in cell K63 on Tab GA 2020 and Tab GA 2021 of the GA Analysis </w:t>
      </w:r>
      <w:proofErr w:type="spellStart"/>
      <w:r w:rsidRPr="001F16A3">
        <w:rPr>
          <w:rFonts w:ascii="Arial" w:hAnsi="Arial" w:cs="Arial"/>
          <w:bCs/>
          <w:sz w:val="24"/>
          <w:szCs w:val="24"/>
        </w:rPr>
        <w:t>Workform</w:t>
      </w:r>
      <w:proofErr w:type="spellEnd"/>
      <w:r w:rsidRPr="001F16A3">
        <w:rPr>
          <w:rFonts w:ascii="Arial" w:hAnsi="Arial" w:cs="Arial"/>
          <w:bCs/>
          <w:sz w:val="24"/>
          <w:szCs w:val="24"/>
        </w:rPr>
        <w:t>.</w:t>
      </w:r>
    </w:p>
    <w:p w14:paraId="4CBFB2E2" w14:textId="77777777" w:rsidR="005F72F6" w:rsidRPr="001F16A3" w:rsidRDefault="005F72F6" w:rsidP="005F72F6">
      <w:pPr>
        <w:pStyle w:val="ListParagraph"/>
        <w:numPr>
          <w:ilvl w:val="0"/>
          <w:numId w:val="26"/>
        </w:numPr>
        <w:spacing w:after="0"/>
        <w:rPr>
          <w:rFonts w:ascii="Arial" w:hAnsi="Arial" w:cs="Arial"/>
          <w:bCs/>
          <w:sz w:val="24"/>
          <w:szCs w:val="24"/>
        </w:rPr>
      </w:pPr>
      <w:r w:rsidRPr="001F16A3">
        <w:rPr>
          <w:rFonts w:ascii="Arial" w:hAnsi="Arial" w:cs="Arial"/>
          <w:bCs/>
          <w:sz w:val="24"/>
          <w:szCs w:val="24"/>
        </w:rPr>
        <w:t>Please confirm that Atikokan Hydro’s approved loss factors allowed for an over-recovery of its 2020 and 2021 energy purchases and since revenue was over-recovered on the incremental losses, the credit amount of these losses is directly attributable to the Account 1588 balance.</w:t>
      </w:r>
      <w:r>
        <w:rPr>
          <w:rFonts w:ascii="Arial" w:hAnsi="Arial" w:cs="Arial"/>
          <w:bCs/>
          <w:sz w:val="24"/>
          <w:szCs w:val="24"/>
        </w:rPr>
        <w:t xml:space="preserve"> If this is not the case, please explain.</w:t>
      </w:r>
    </w:p>
    <w:p w14:paraId="09AA3C0B" w14:textId="77777777" w:rsidR="005F72F6" w:rsidRPr="001F16A3" w:rsidRDefault="005F72F6" w:rsidP="005F72F6">
      <w:pPr>
        <w:spacing w:after="0"/>
        <w:rPr>
          <w:rFonts w:ascii="Arial" w:hAnsi="Arial" w:cs="Arial"/>
          <w:bCs/>
          <w:sz w:val="24"/>
          <w:szCs w:val="24"/>
        </w:rPr>
      </w:pPr>
    </w:p>
    <w:p w14:paraId="62CE2DA3" w14:textId="11864F70" w:rsidR="005F72F6" w:rsidRPr="001F16A3" w:rsidRDefault="005F72F6" w:rsidP="005F72F6">
      <w:pPr>
        <w:spacing w:after="0"/>
        <w:rPr>
          <w:rFonts w:ascii="Arial" w:hAnsi="Arial" w:cs="Arial"/>
          <w:b/>
          <w:sz w:val="24"/>
          <w:szCs w:val="24"/>
        </w:rPr>
      </w:pPr>
      <w:r w:rsidRPr="001F16A3">
        <w:rPr>
          <w:rFonts w:ascii="Arial" w:hAnsi="Arial" w:cs="Arial"/>
          <w:b/>
          <w:sz w:val="24"/>
          <w:szCs w:val="24"/>
        </w:rPr>
        <w:t>Staff Question-</w:t>
      </w:r>
      <w:r>
        <w:rPr>
          <w:rFonts w:ascii="Arial" w:hAnsi="Arial" w:cs="Arial"/>
          <w:b/>
          <w:sz w:val="24"/>
          <w:szCs w:val="24"/>
        </w:rPr>
        <w:t>9</w:t>
      </w:r>
    </w:p>
    <w:p w14:paraId="1AB9B689" w14:textId="77777777" w:rsidR="005F72F6" w:rsidRPr="001F16A3" w:rsidRDefault="005F72F6" w:rsidP="005F72F6">
      <w:pPr>
        <w:spacing w:after="0"/>
        <w:rPr>
          <w:rFonts w:ascii="Arial" w:hAnsi="Arial" w:cs="Arial"/>
          <w:b/>
          <w:sz w:val="24"/>
          <w:szCs w:val="24"/>
        </w:rPr>
      </w:pPr>
    </w:p>
    <w:p w14:paraId="619C63F5"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Ref (1): Manager’s Summary, November 21, 2022, p. 14</w:t>
      </w:r>
    </w:p>
    <w:p w14:paraId="47B3A511" w14:textId="77777777" w:rsidR="005F72F6" w:rsidRPr="001F16A3" w:rsidRDefault="005F72F6" w:rsidP="005F72F6">
      <w:pPr>
        <w:spacing w:after="0"/>
        <w:rPr>
          <w:rFonts w:ascii="Arial" w:hAnsi="Arial" w:cs="Arial"/>
          <w:b/>
          <w:sz w:val="24"/>
          <w:szCs w:val="24"/>
        </w:rPr>
      </w:pPr>
    </w:p>
    <w:p w14:paraId="51D048B4" w14:textId="77777777" w:rsidR="005F72F6" w:rsidRPr="001F16A3" w:rsidRDefault="005F72F6" w:rsidP="005F72F6">
      <w:pPr>
        <w:spacing w:after="0"/>
        <w:rPr>
          <w:rFonts w:ascii="Arial" w:hAnsi="Arial" w:cs="Arial"/>
          <w:bCs/>
          <w:sz w:val="24"/>
          <w:szCs w:val="24"/>
        </w:rPr>
      </w:pPr>
      <w:r w:rsidRPr="001F16A3">
        <w:rPr>
          <w:rFonts w:ascii="Arial" w:hAnsi="Arial" w:cs="Arial"/>
          <w:bCs/>
          <w:sz w:val="24"/>
          <w:szCs w:val="24"/>
        </w:rPr>
        <w:t>Atikokan Hydro stated that it seeks and has calculated for recovery DVA rate riders with a one year (12 month) recovery period, but has calculated and seeks a two year (24 month) recovery period for the rate riders for the disposition of Global Adjustment balances. The two-year recovery period of GA balances is part of the mechanism to mitigate bill increases for customer bill impacts exceeding 10%.</w:t>
      </w:r>
    </w:p>
    <w:p w14:paraId="3E81FED4" w14:textId="77777777" w:rsidR="005F72F6" w:rsidRPr="001F16A3" w:rsidRDefault="005F72F6" w:rsidP="005F72F6">
      <w:pPr>
        <w:spacing w:after="0"/>
        <w:rPr>
          <w:rFonts w:ascii="Arial" w:hAnsi="Arial" w:cs="Arial"/>
          <w:bCs/>
          <w:sz w:val="24"/>
          <w:szCs w:val="24"/>
        </w:rPr>
      </w:pPr>
    </w:p>
    <w:p w14:paraId="1C19D1E6" w14:textId="77777777" w:rsidR="005F72F6" w:rsidRPr="001F16A3" w:rsidRDefault="005F72F6" w:rsidP="005F72F6">
      <w:pPr>
        <w:spacing w:after="0"/>
        <w:rPr>
          <w:rFonts w:ascii="Arial" w:hAnsi="Arial" w:cs="Arial"/>
          <w:b/>
          <w:sz w:val="24"/>
          <w:szCs w:val="24"/>
        </w:rPr>
      </w:pPr>
      <w:r w:rsidRPr="001F16A3">
        <w:rPr>
          <w:rFonts w:ascii="Arial" w:hAnsi="Arial" w:cs="Arial"/>
          <w:b/>
          <w:sz w:val="24"/>
          <w:szCs w:val="24"/>
        </w:rPr>
        <w:t>Questions:</w:t>
      </w:r>
    </w:p>
    <w:p w14:paraId="259637F4" w14:textId="77777777" w:rsidR="005F72F6" w:rsidRPr="001F16A3" w:rsidRDefault="005F72F6" w:rsidP="005F72F6">
      <w:pPr>
        <w:spacing w:after="0"/>
        <w:rPr>
          <w:rFonts w:ascii="Arial" w:hAnsi="Arial" w:cs="Arial"/>
          <w:bCs/>
          <w:sz w:val="24"/>
          <w:szCs w:val="24"/>
        </w:rPr>
      </w:pPr>
    </w:p>
    <w:p w14:paraId="0EED457D" w14:textId="77777777" w:rsidR="005F72F6" w:rsidRPr="001F16A3" w:rsidRDefault="005F72F6" w:rsidP="005F72F6">
      <w:pPr>
        <w:pStyle w:val="ListParagraph"/>
        <w:numPr>
          <w:ilvl w:val="0"/>
          <w:numId w:val="27"/>
        </w:numPr>
        <w:spacing w:after="0"/>
        <w:rPr>
          <w:rFonts w:ascii="Arial" w:hAnsi="Arial" w:cs="Arial"/>
          <w:bCs/>
          <w:sz w:val="24"/>
          <w:szCs w:val="24"/>
        </w:rPr>
      </w:pPr>
      <w:r w:rsidRPr="001F16A3">
        <w:rPr>
          <w:rFonts w:ascii="Arial" w:hAnsi="Arial" w:cs="Arial"/>
          <w:bCs/>
          <w:sz w:val="24"/>
          <w:szCs w:val="24"/>
        </w:rPr>
        <w:t>If any changes to the Account 1588 and 1589 balances in this proceeding are required in response to OEB staff’s questions, please explain whether the proposed general DVA rate rider recovery period of 12 months and the GA rate rider recovery period of 24 months need to be changed.</w:t>
      </w:r>
    </w:p>
    <w:p w14:paraId="3F8F8894" w14:textId="77777777" w:rsidR="005F72F6" w:rsidRPr="001F16A3" w:rsidRDefault="005F72F6" w:rsidP="005F72F6">
      <w:pPr>
        <w:pStyle w:val="ListParagraph"/>
        <w:numPr>
          <w:ilvl w:val="0"/>
          <w:numId w:val="27"/>
        </w:numPr>
        <w:spacing w:after="0"/>
        <w:rPr>
          <w:rFonts w:ascii="Arial" w:hAnsi="Arial" w:cs="Arial"/>
          <w:bCs/>
          <w:sz w:val="24"/>
          <w:szCs w:val="24"/>
        </w:rPr>
      </w:pPr>
      <w:r w:rsidRPr="001F16A3">
        <w:rPr>
          <w:rFonts w:ascii="Arial" w:hAnsi="Arial" w:cs="Arial"/>
          <w:bCs/>
          <w:sz w:val="24"/>
          <w:szCs w:val="24"/>
        </w:rPr>
        <w:t>If Atikokan Hydro is of the view that no changes are required, please explain.</w:t>
      </w:r>
    </w:p>
    <w:p w14:paraId="00776A24" w14:textId="77777777" w:rsidR="005F72F6" w:rsidRDefault="005F72F6" w:rsidP="005F72F6">
      <w:pPr>
        <w:spacing w:after="0"/>
        <w:rPr>
          <w:rFonts w:ascii="Arial" w:hAnsi="Arial" w:cs="Arial"/>
          <w:bCs/>
          <w:sz w:val="24"/>
          <w:szCs w:val="24"/>
        </w:rPr>
      </w:pPr>
    </w:p>
    <w:p w14:paraId="002F886D" w14:textId="77777777" w:rsidR="005F72F6" w:rsidRPr="00D832A7" w:rsidRDefault="005F72F6" w:rsidP="005F72F6">
      <w:pPr>
        <w:spacing w:after="0"/>
        <w:rPr>
          <w:rFonts w:ascii="Arial" w:hAnsi="Arial" w:cs="Arial"/>
          <w:bCs/>
          <w:sz w:val="24"/>
          <w:szCs w:val="24"/>
        </w:rPr>
      </w:pPr>
    </w:p>
    <w:p w14:paraId="3A916A8E" w14:textId="77777777" w:rsidR="005F72F6" w:rsidRPr="00D832A7" w:rsidRDefault="005F72F6" w:rsidP="005F72F6">
      <w:pPr>
        <w:spacing w:after="0"/>
        <w:rPr>
          <w:rFonts w:ascii="Arial" w:hAnsi="Arial" w:cs="Arial"/>
          <w:bCs/>
          <w:sz w:val="24"/>
          <w:szCs w:val="24"/>
        </w:rPr>
      </w:pPr>
    </w:p>
    <w:p w14:paraId="77B1AE52" w14:textId="77777777" w:rsidR="005F72F6" w:rsidRDefault="005F72F6" w:rsidP="005F72F6">
      <w:pPr>
        <w:spacing w:after="240"/>
        <w:rPr>
          <w:rFonts w:ascii="Arial" w:hAnsi="Arial" w:cs="Arial"/>
          <w:bCs/>
          <w:sz w:val="24"/>
          <w:szCs w:val="24"/>
        </w:rPr>
      </w:pPr>
    </w:p>
    <w:p w14:paraId="76798755" w14:textId="77777777" w:rsidR="005F72F6" w:rsidRPr="009A1E5E" w:rsidRDefault="005F72F6" w:rsidP="005F72F6">
      <w:pPr>
        <w:spacing w:after="240"/>
        <w:rPr>
          <w:rFonts w:ascii="Arial" w:hAnsi="Arial" w:cs="Arial"/>
          <w:bCs/>
          <w:sz w:val="24"/>
          <w:szCs w:val="24"/>
        </w:rPr>
      </w:pPr>
    </w:p>
    <w:p w14:paraId="67CCE9E3" w14:textId="77777777" w:rsidR="00BF57A7" w:rsidRPr="00A00CA7" w:rsidRDefault="00BF57A7" w:rsidP="00A00CA7">
      <w:pPr>
        <w:spacing w:after="240"/>
        <w:rPr>
          <w:rFonts w:ascii="Arial" w:hAnsi="Arial" w:cs="Arial"/>
          <w:b/>
          <w:sz w:val="24"/>
          <w:szCs w:val="24"/>
        </w:rPr>
      </w:pPr>
    </w:p>
    <w:bookmarkEnd w:id="4"/>
    <w:sectPr w:rsidR="00BF57A7" w:rsidRPr="00A00CA7" w:rsidSect="00EA0919">
      <w:footerReference w:type="default" r:id="rId16"/>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D550" w14:textId="77777777" w:rsidR="00A86490" w:rsidRDefault="00A86490" w:rsidP="00A86490">
      <w:pPr>
        <w:spacing w:after="0" w:line="240" w:lineRule="auto"/>
      </w:pPr>
      <w:r>
        <w:separator/>
      </w:r>
    </w:p>
  </w:endnote>
  <w:endnote w:type="continuationSeparator" w:id="0">
    <w:p w14:paraId="28A68B22" w14:textId="77777777" w:rsidR="00A86490" w:rsidRDefault="00A86490" w:rsidP="00A86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035548"/>
      <w:docPartObj>
        <w:docPartGallery w:val="Page Numbers (Bottom of Page)"/>
        <w:docPartUnique/>
      </w:docPartObj>
    </w:sdtPr>
    <w:sdtEndPr>
      <w:rPr>
        <w:noProof/>
      </w:rPr>
    </w:sdtEndPr>
    <w:sdtContent>
      <w:p w14:paraId="660B6237" w14:textId="730698D4" w:rsidR="00A86490" w:rsidRDefault="00A864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4274CF" w14:textId="77777777" w:rsidR="00A86490" w:rsidRDefault="00A86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E2925" w14:textId="77777777" w:rsidR="00A86490" w:rsidRDefault="00A86490" w:rsidP="00A86490">
      <w:pPr>
        <w:spacing w:after="0" w:line="240" w:lineRule="auto"/>
      </w:pPr>
      <w:r>
        <w:separator/>
      </w:r>
    </w:p>
  </w:footnote>
  <w:footnote w:type="continuationSeparator" w:id="0">
    <w:p w14:paraId="5C0026EA" w14:textId="77777777" w:rsidR="00A86490" w:rsidRDefault="00A86490" w:rsidP="00A86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1B85"/>
    <w:multiLevelType w:val="hybridMultilevel"/>
    <w:tmpl w:val="28E8D8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D756DC"/>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F65AD4"/>
    <w:multiLevelType w:val="hybridMultilevel"/>
    <w:tmpl w:val="6A62C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3E3B23"/>
    <w:multiLevelType w:val="hybridMultilevel"/>
    <w:tmpl w:val="B66A7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344C1"/>
    <w:multiLevelType w:val="multilevel"/>
    <w:tmpl w:val="B33821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3097B3D"/>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BB6E70"/>
    <w:multiLevelType w:val="hybridMultilevel"/>
    <w:tmpl w:val="B3C40F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64301"/>
    <w:multiLevelType w:val="hybridMultilevel"/>
    <w:tmpl w:val="28E8D8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D5516E"/>
    <w:multiLevelType w:val="multilevel"/>
    <w:tmpl w:val="7CFC75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B362551"/>
    <w:multiLevelType w:val="hybridMultilevel"/>
    <w:tmpl w:val="81144C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021FE"/>
    <w:multiLevelType w:val="hybridMultilevel"/>
    <w:tmpl w:val="85BC1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F1BD0"/>
    <w:multiLevelType w:val="hybridMultilevel"/>
    <w:tmpl w:val="7BCE35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06132"/>
    <w:multiLevelType w:val="hybridMultilevel"/>
    <w:tmpl w:val="11C05F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E639C"/>
    <w:multiLevelType w:val="hybridMultilevel"/>
    <w:tmpl w:val="B5702686"/>
    <w:lvl w:ilvl="0" w:tplc="0C22D76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7C5EAB"/>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A6168F1"/>
    <w:multiLevelType w:val="hybridMultilevel"/>
    <w:tmpl w:val="9304A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3576B"/>
    <w:multiLevelType w:val="hybridMultilevel"/>
    <w:tmpl w:val="B568F4A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98744B"/>
    <w:multiLevelType w:val="hybridMultilevel"/>
    <w:tmpl w:val="6A5E30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F3468"/>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397028A"/>
    <w:multiLevelType w:val="hybridMultilevel"/>
    <w:tmpl w:val="DDA0D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131E62"/>
    <w:multiLevelType w:val="multilevel"/>
    <w:tmpl w:val="7BDE7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366047"/>
    <w:multiLevelType w:val="hybridMultilevel"/>
    <w:tmpl w:val="28E8D8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663732"/>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0A54B83"/>
    <w:multiLevelType w:val="multilevel"/>
    <w:tmpl w:val="5F50D3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22F482E"/>
    <w:multiLevelType w:val="hybridMultilevel"/>
    <w:tmpl w:val="C37A9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6C7981"/>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1"/>
  </w:num>
  <w:num w:numId="2">
    <w:abstractNumId w:val="0"/>
  </w:num>
  <w:num w:numId="3">
    <w:abstractNumId w:val="7"/>
  </w:num>
  <w:num w:numId="4">
    <w:abstractNumId w:val="22"/>
  </w:num>
  <w:num w:numId="5">
    <w:abstractNumId w:val="1"/>
  </w:num>
  <w:num w:numId="6">
    <w:abstractNumId w:val="5"/>
  </w:num>
  <w:num w:numId="7">
    <w:abstractNumId w:val="12"/>
  </w:num>
  <w:num w:numId="8">
    <w:abstractNumId w:val="17"/>
  </w:num>
  <w:num w:numId="9">
    <w:abstractNumId w:val="8"/>
  </w:num>
  <w:num w:numId="10">
    <w:abstractNumId w:val="23"/>
  </w:num>
  <w:num w:numId="11">
    <w:abstractNumId w:val="4"/>
  </w:num>
  <w:num w:numId="12">
    <w:abstractNumId w:val="16"/>
  </w:num>
  <w:num w:numId="13">
    <w:abstractNumId w:val="20"/>
  </w:num>
  <w:num w:numId="14">
    <w:abstractNumId w:val="13"/>
  </w:num>
  <w:num w:numId="15">
    <w:abstractNumId w:val="2"/>
  </w:num>
  <w:num w:numId="16">
    <w:abstractNumId w:val="2"/>
  </w:num>
  <w:num w:numId="17">
    <w:abstractNumId w:val="24"/>
  </w:num>
  <w:num w:numId="18">
    <w:abstractNumId w:val="10"/>
  </w:num>
  <w:num w:numId="19">
    <w:abstractNumId w:val="19"/>
  </w:num>
  <w:num w:numId="20">
    <w:abstractNumId w:val="18"/>
  </w:num>
  <w:num w:numId="21">
    <w:abstractNumId w:val="25"/>
  </w:num>
  <w:num w:numId="22">
    <w:abstractNumId w:val="14"/>
  </w:num>
  <w:num w:numId="23">
    <w:abstractNumId w:val="11"/>
  </w:num>
  <w:num w:numId="24">
    <w:abstractNumId w:val="15"/>
  </w:num>
  <w:num w:numId="25">
    <w:abstractNumId w:val="6"/>
  </w:num>
  <w:num w:numId="26">
    <w:abstractNumId w:val="3"/>
  </w:num>
  <w:num w:numId="2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52"/>
    <w:rsid w:val="000172AE"/>
    <w:rsid w:val="0001792C"/>
    <w:rsid w:val="0003073C"/>
    <w:rsid w:val="00035337"/>
    <w:rsid w:val="00037EE9"/>
    <w:rsid w:val="00054071"/>
    <w:rsid w:val="00055A86"/>
    <w:rsid w:val="0006126D"/>
    <w:rsid w:val="00067F57"/>
    <w:rsid w:val="00071BEC"/>
    <w:rsid w:val="00074514"/>
    <w:rsid w:val="000806E0"/>
    <w:rsid w:val="000832D4"/>
    <w:rsid w:val="00084926"/>
    <w:rsid w:val="00090160"/>
    <w:rsid w:val="000A2773"/>
    <w:rsid w:val="000A7A8D"/>
    <w:rsid w:val="000B0A57"/>
    <w:rsid w:val="000B3E7E"/>
    <w:rsid w:val="000D223C"/>
    <w:rsid w:val="000E4006"/>
    <w:rsid w:val="000F0E95"/>
    <w:rsid w:val="000F1E3A"/>
    <w:rsid w:val="000F2AC3"/>
    <w:rsid w:val="000F425A"/>
    <w:rsid w:val="00104717"/>
    <w:rsid w:val="00133BE1"/>
    <w:rsid w:val="00140765"/>
    <w:rsid w:val="00140893"/>
    <w:rsid w:val="001547B8"/>
    <w:rsid w:val="00164E99"/>
    <w:rsid w:val="00176BEE"/>
    <w:rsid w:val="00183CC8"/>
    <w:rsid w:val="00187E9B"/>
    <w:rsid w:val="001927C2"/>
    <w:rsid w:val="0019526D"/>
    <w:rsid w:val="001A4DCD"/>
    <w:rsid w:val="001E061F"/>
    <w:rsid w:val="00203092"/>
    <w:rsid w:val="0020412A"/>
    <w:rsid w:val="002208C0"/>
    <w:rsid w:val="00224C06"/>
    <w:rsid w:val="002277A6"/>
    <w:rsid w:val="002405D4"/>
    <w:rsid w:val="0025687C"/>
    <w:rsid w:val="00274A48"/>
    <w:rsid w:val="00291CCC"/>
    <w:rsid w:val="002A1948"/>
    <w:rsid w:val="002A6415"/>
    <w:rsid w:val="002B7B7C"/>
    <w:rsid w:val="002C2BF2"/>
    <w:rsid w:val="002C7EF6"/>
    <w:rsid w:val="002D4924"/>
    <w:rsid w:val="002F4756"/>
    <w:rsid w:val="00302509"/>
    <w:rsid w:val="003049C5"/>
    <w:rsid w:val="0030738B"/>
    <w:rsid w:val="00312EB8"/>
    <w:rsid w:val="00324AFA"/>
    <w:rsid w:val="00326078"/>
    <w:rsid w:val="003303BF"/>
    <w:rsid w:val="00340C00"/>
    <w:rsid w:val="00362BEF"/>
    <w:rsid w:val="003702D1"/>
    <w:rsid w:val="00373FAD"/>
    <w:rsid w:val="003777B5"/>
    <w:rsid w:val="003832E7"/>
    <w:rsid w:val="00390F2B"/>
    <w:rsid w:val="00392E18"/>
    <w:rsid w:val="003A20A0"/>
    <w:rsid w:val="003A58B0"/>
    <w:rsid w:val="003B7470"/>
    <w:rsid w:val="003C03ED"/>
    <w:rsid w:val="003F5BCB"/>
    <w:rsid w:val="00400DFC"/>
    <w:rsid w:val="00412DC6"/>
    <w:rsid w:val="00425009"/>
    <w:rsid w:val="00434B02"/>
    <w:rsid w:val="004377B0"/>
    <w:rsid w:val="00441567"/>
    <w:rsid w:val="00443C3B"/>
    <w:rsid w:val="00445BB6"/>
    <w:rsid w:val="00464260"/>
    <w:rsid w:val="00472C81"/>
    <w:rsid w:val="00475032"/>
    <w:rsid w:val="00484359"/>
    <w:rsid w:val="004859EF"/>
    <w:rsid w:val="004D1C3D"/>
    <w:rsid w:val="00511EC2"/>
    <w:rsid w:val="00514AAF"/>
    <w:rsid w:val="005164F5"/>
    <w:rsid w:val="0052560F"/>
    <w:rsid w:val="00526BDF"/>
    <w:rsid w:val="005666F2"/>
    <w:rsid w:val="0057178B"/>
    <w:rsid w:val="00572064"/>
    <w:rsid w:val="00584369"/>
    <w:rsid w:val="00587A35"/>
    <w:rsid w:val="005A4CBD"/>
    <w:rsid w:val="005D1DDD"/>
    <w:rsid w:val="005D3D06"/>
    <w:rsid w:val="005E27C0"/>
    <w:rsid w:val="005F4693"/>
    <w:rsid w:val="005F72F6"/>
    <w:rsid w:val="006174AC"/>
    <w:rsid w:val="00623602"/>
    <w:rsid w:val="0064279A"/>
    <w:rsid w:val="00651C98"/>
    <w:rsid w:val="00663215"/>
    <w:rsid w:val="006962FC"/>
    <w:rsid w:val="006A5D23"/>
    <w:rsid w:val="006B2B7D"/>
    <w:rsid w:val="006E3D58"/>
    <w:rsid w:val="006E74F6"/>
    <w:rsid w:val="006F4284"/>
    <w:rsid w:val="007007E7"/>
    <w:rsid w:val="00703AA4"/>
    <w:rsid w:val="00704EE5"/>
    <w:rsid w:val="007066E2"/>
    <w:rsid w:val="00721318"/>
    <w:rsid w:val="007222FC"/>
    <w:rsid w:val="0072241F"/>
    <w:rsid w:val="00722640"/>
    <w:rsid w:val="0073197E"/>
    <w:rsid w:val="00746080"/>
    <w:rsid w:val="007508EC"/>
    <w:rsid w:val="00756DA9"/>
    <w:rsid w:val="00756E40"/>
    <w:rsid w:val="00772B57"/>
    <w:rsid w:val="00772F96"/>
    <w:rsid w:val="00773C5C"/>
    <w:rsid w:val="00781D04"/>
    <w:rsid w:val="007A4CD6"/>
    <w:rsid w:val="007A60D9"/>
    <w:rsid w:val="007B13D8"/>
    <w:rsid w:val="007C2D45"/>
    <w:rsid w:val="007D721E"/>
    <w:rsid w:val="007E72F9"/>
    <w:rsid w:val="007F49EB"/>
    <w:rsid w:val="00805FDA"/>
    <w:rsid w:val="0080710B"/>
    <w:rsid w:val="00812C1B"/>
    <w:rsid w:val="00813EFE"/>
    <w:rsid w:val="008173B1"/>
    <w:rsid w:val="00835AD0"/>
    <w:rsid w:val="00841787"/>
    <w:rsid w:val="00846716"/>
    <w:rsid w:val="0086021B"/>
    <w:rsid w:val="00862D3F"/>
    <w:rsid w:val="008747B3"/>
    <w:rsid w:val="00877BD1"/>
    <w:rsid w:val="008813C3"/>
    <w:rsid w:val="00884852"/>
    <w:rsid w:val="008926F0"/>
    <w:rsid w:val="008964E8"/>
    <w:rsid w:val="008A48F6"/>
    <w:rsid w:val="008E6045"/>
    <w:rsid w:val="008F03CC"/>
    <w:rsid w:val="0090113B"/>
    <w:rsid w:val="0093258A"/>
    <w:rsid w:val="0094373C"/>
    <w:rsid w:val="00945174"/>
    <w:rsid w:val="00946DEE"/>
    <w:rsid w:val="00947985"/>
    <w:rsid w:val="00951E2B"/>
    <w:rsid w:val="00952939"/>
    <w:rsid w:val="00956B57"/>
    <w:rsid w:val="00961EA0"/>
    <w:rsid w:val="00972305"/>
    <w:rsid w:val="0098228E"/>
    <w:rsid w:val="009A5C44"/>
    <w:rsid w:val="009B03AF"/>
    <w:rsid w:val="009C4216"/>
    <w:rsid w:val="009D5F4B"/>
    <w:rsid w:val="009E626E"/>
    <w:rsid w:val="009E6B36"/>
    <w:rsid w:val="009E7CBF"/>
    <w:rsid w:val="00A00CA7"/>
    <w:rsid w:val="00A07077"/>
    <w:rsid w:val="00A301A7"/>
    <w:rsid w:val="00A50DD0"/>
    <w:rsid w:val="00A516B0"/>
    <w:rsid w:val="00A556D4"/>
    <w:rsid w:val="00A5620A"/>
    <w:rsid w:val="00A86490"/>
    <w:rsid w:val="00A86F14"/>
    <w:rsid w:val="00A964B1"/>
    <w:rsid w:val="00AA06D9"/>
    <w:rsid w:val="00AB2106"/>
    <w:rsid w:val="00AB251C"/>
    <w:rsid w:val="00AC2406"/>
    <w:rsid w:val="00AD3FCF"/>
    <w:rsid w:val="00B02090"/>
    <w:rsid w:val="00B03802"/>
    <w:rsid w:val="00B069AA"/>
    <w:rsid w:val="00B23A36"/>
    <w:rsid w:val="00B2407F"/>
    <w:rsid w:val="00B25576"/>
    <w:rsid w:val="00B25EF5"/>
    <w:rsid w:val="00B42707"/>
    <w:rsid w:val="00B50EB2"/>
    <w:rsid w:val="00B522BC"/>
    <w:rsid w:val="00B6722A"/>
    <w:rsid w:val="00B67F1E"/>
    <w:rsid w:val="00B71118"/>
    <w:rsid w:val="00B82D78"/>
    <w:rsid w:val="00BA434C"/>
    <w:rsid w:val="00BA56CE"/>
    <w:rsid w:val="00BD4F65"/>
    <w:rsid w:val="00BD7607"/>
    <w:rsid w:val="00BE679D"/>
    <w:rsid w:val="00BE6A91"/>
    <w:rsid w:val="00BF57A7"/>
    <w:rsid w:val="00C06F9E"/>
    <w:rsid w:val="00C13E6B"/>
    <w:rsid w:val="00C2370B"/>
    <w:rsid w:val="00C2643D"/>
    <w:rsid w:val="00C27193"/>
    <w:rsid w:val="00C4202E"/>
    <w:rsid w:val="00C624D5"/>
    <w:rsid w:val="00C663BD"/>
    <w:rsid w:val="00C848A0"/>
    <w:rsid w:val="00C859E5"/>
    <w:rsid w:val="00C878C5"/>
    <w:rsid w:val="00C9266B"/>
    <w:rsid w:val="00C96AEA"/>
    <w:rsid w:val="00CC0B6D"/>
    <w:rsid w:val="00CD01B4"/>
    <w:rsid w:val="00CE1CD3"/>
    <w:rsid w:val="00CE4F01"/>
    <w:rsid w:val="00CF10B1"/>
    <w:rsid w:val="00D30F16"/>
    <w:rsid w:val="00D323F1"/>
    <w:rsid w:val="00D3340B"/>
    <w:rsid w:val="00D406DF"/>
    <w:rsid w:val="00D55546"/>
    <w:rsid w:val="00D57E8C"/>
    <w:rsid w:val="00D6213C"/>
    <w:rsid w:val="00D647C0"/>
    <w:rsid w:val="00D77694"/>
    <w:rsid w:val="00D77B0F"/>
    <w:rsid w:val="00DB6B52"/>
    <w:rsid w:val="00DB7A5B"/>
    <w:rsid w:val="00DD26C5"/>
    <w:rsid w:val="00DE5488"/>
    <w:rsid w:val="00DE75AC"/>
    <w:rsid w:val="00DF5A52"/>
    <w:rsid w:val="00DF750C"/>
    <w:rsid w:val="00E0520A"/>
    <w:rsid w:val="00E17C58"/>
    <w:rsid w:val="00E231C2"/>
    <w:rsid w:val="00E26EB5"/>
    <w:rsid w:val="00E429DA"/>
    <w:rsid w:val="00E616AB"/>
    <w:rsid w:val="00E62C2A"/>
    <w:rsid w:val="00E76794"/>
    <w:rsid w:val="00E835E0"/>
    <w:rsid w:val="00E8586E"/>
    <w:rsid w:val="00E86F26"/>
    <w:rsid w:val="00E96A06"/>
    <w:rsid w:val="00EA0919"/>
    <w:rsid w:val="00EB4C14"/>
    <w:rsid w:val="00EB5240"/>
    <w:rsid w:val="00EC0B55"/>
    <w:rsid w:val="00ED07F4"/>
    <w:rsid w:val="00EE3753"/>
    <w:rsid w:val="00F034BF"/>
    <w:rsid w:val="00F233A3"/>
    <w:rsid w:val="00F23D7A"/>
    <w:rsid w:val="00F26D30"/>
    <w:rsid w:val="00F304C6"/>
    <w:rsid w:val="00F45BD2"/>
    <w:rsid w:val="00F57152"/>
    <w:rsid w:val="00F7362C"/>
    <w:rsid w:val="00F92F61"/>
    <w:rsid w:val="00F97BF7"/>
    <w:rsid w:val="00FB6F10"/>
    <w:rsid w:val="00FC4CF8"/>
    <w:rsid w:val="00FC5DA7"/>
    <w:rsid w:val="00FE1FD7"/>
    <w:rsid w:val="00FF0C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49891ED5-5734-4002-B938-1752EB33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3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222F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7222FC"/>
  </w:style>
  <w:style w:type="character" w:customStyle="1" w:styleId="eop">
    <w:name w:val="eop"/>
    <w:basedOn w:val="DefaultParagraphFont"/>
    <w:rsid w:val="007222FC"/>
  </w:style>
  <w:style w:type="character" w:styleId="Hyperlink">
    <w:name w:val="Hyperlink"/>
    <w:basedOn w:val="DefaultParagraphFont"/>
    <w:uiPriority w:val="99"/>
    <w:unhideWhenUsed/>
    <w:rsid w:val="00324AFA"/>
    <w:rPr>
      <w:color w:val="0000FF" w:themeColor="hyperlink"/>
      <w:u w:val="single"/>
    </w:rPr>
  </w:style>
  <w:style w:type="character" w:styleId="UnresolvedMention">
    <w:name w:val="Unresolved Mention"/>
    <w:basedOn w:val="DefaultParagraphFont"/>
    <w:uiPriority w:val="99"/>
    <w:semiHidden/>
    <w:unhideWhenUsed/>
    <w:rsid w:val="00324AFA"/>
    <w:rPr>
      <w:color w:val="605E5C"/>
      <w:shd w:val="clear" w:color="auto" w:fill="E1DFDD"/>
    </w:rPr>
  </w:style>
  <w:style w:type="paragraph" w:styleId="Revision">
    <w:name w:val="Revision"/>
    <w:hidden/>
    <w:uiPriority w:val="99"/>
    <w:semiHidden/>
    <w:rsid w:val="00A86490"/>
    <w:pPr>
      <w:spacing w:after="0" w:line="240" w:lineRule="auto"/>
    </w:pPr>
  </w:style>
  <w:style w:type="paragraph" w:styleId="Header">
    <w:name w:val="header"/>
    <w:basedOn w:val="Normal"/>
    <w:link w:val="HeaderChar"/>
    <w:uiPriority w:val="99"/>
    <w:unhideWhenUsed/>
    <w:rsid w:val="00A86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290548578">
      <w:bodyDiv w:val="1"/>
      <w:marLeft w:val="0"/>
      <w:marRight w:val="0"/>
      <w:marTop w:val="0"/>
      <w:marBottom w:val="0"/>
      <w:divBdr>
        <w:top w:val="none" w:sz="0" w:space="0" w:color="auto"/>
        <w:left w:val="none" w:sz="0" w:space="0" w:color="auto"/>
        <w:bottom w:val="none" w:sz="0" w:space="0" w:color="auto"/>
        <w:right w:val="none" w:sz="0" w:space="0" w:color="auto"/>
      </w:divBdr>
    </w:div>
    <w:div w:id="1353654400">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2092851017">
      <w:bodyDiv w:val="1"/>
      <w:marLeft w:val="0"/>
      <w:marRight w:val="0"/>
      <w:marTop w:val="0"/>
      <w:marBottom w:val="0"/>
      <w:divBdr>
        <w:top w:val="none" w:sz="0" w:space="0" w:color="auto"/>
        <w:left w:val="none" w:sz="0" w:space="0" w:color="auto"/>
        <w:bottom w:val="none" w:sz="0" w:space="0" w:color="auto"/>
        <w:right w:val="none" w:sz="0" w:space="0" w:color="auto"/>
      </w:divBdr>
      <w:divsChild>
        <w:div w:id="306279745">
          <w:marLeft w:val="0"/>
          <w:marRight w:val="0"/>
          <w:marTop w:val="0"/>
          <w:marBottom w:val="0"/>
          <w:divBdr>
            <w:top w:val="none" w:sz="0" w:space="0" w:color="auto"/>
            <w:left w:val="none" w:sz="0" w:space="0" w:color="auto"/>
            <w:bottom w:val="none" w:sz="0" w:space="0" w:color="auto"/>
            <w:right w:val="none" w:sz="0" w:space="0" w:color="auto"/>
          </w:divBdr>
        </w:div>
        <w:div w:id="826674944">
          <w:marLeft w:val="0"/>
          <w:marRight w:val="0"/>
          <w:marTop w:val="0"/>
          <w:marBottom w:val="0"/>
          <w:divBdr>
            <w:top w:val="none" w:sz="0" w:space="0" w:color="auto"/>
            <w:left w:val="none" w:sz="0" w:space="0" w:color="auto"/>
            <w:bottom w:val="none" w:sz="0" w:space="0" w:color="auto"/>
            <w:right w:val="none" w:sz="0" w:space="0" w:color="auto"/>
          </w:divBdr>
        </w:div>
        <w:div w:id="846284132">
          <w:marLeft w:val="0"/>
          <w:marRight w:val="0"/>
          <w:marTop w:val="0"/>
          <w:marBottom w:val="0"/>
          <w:divBdr>
            <w:top w:val="none" w:sz="0" w:space="0" w:color="auto"/>
            <w:left w:val="none" w:sz="0" w:space="0" w:color="auto"/>
            <w:bottom w:val="none" w:sz="0" w:space="0" w:color="auto"/>
            <w:right w:val="none" w:sz="0" w:space="0" w:color="auto"/>
          </w:divBdr>
        </w:div>
        <w:div w:id="907836678">
          <w:marLeft w:val="0"/>
          <w:marRight w:val="0"/>
          <w:marTop w:val="0"/>
          <w:marBottom w:val="0"/>
          <w:divBdr>
            <w:top w:val="none" w:sz="0" w:space="0" w:color="auto"/>
            <w:left w:val="none" w:sz="0" w:space="0" w:color="auto"/>
            <w:bottom w:val="none" w:sz="0" w:space="0" w:color="auto"/>
            <w:right w:val="none" w:sz="0" w:space="0" w:color="auto"/>
          </w:divBdr>
        </w:div>
        <w:div w:id="909315557">
          <w:marLeft w:val="0"/>
          <w:marRight w:val="0"/>
          <w:marTop w:val="0"/>
          <w:marBottom w:val="0"/>
          <w:divBdr>
            <w:top w:val="none" w:sz="0" w:space="0" w:color="auto"/>
            <w:left w:val="none" w:sz="0" w:space="0" w:color="auto"/>
            <w:bottom w:val="none" w:sz="0" w:space="0" w:color="auto"/>
            <w:right w:val="none" w:sz="0" w:space="0" w:color="auto"/>
          </w:divBdr>
        </w:div>
        <w:div w:id="964392368">
          <w:marLeft w:val="0"/>
          <w:marRight w:val="0"/>
          <w:marTop w:val="0"/>
          <w:marBottom w:val="0"/>
          <w:divBdr>
            <w:top w:val="none" w:sz="0" w:space="0" w:color="auto"/>
            <w:left w:val="none" w:sz="0" w:space="0" w:color="auto"/>
            <w:bottom w:val="none" w:sz="0" w:space="0" w:color="auto"/>
            <w:right w:val="none" w:sz="0" w:space="0" w:color="auto"/>
          </w:divBdr>
        </w:div>
        <w:div w:id="1129057139">
          <w:marLeft w:val="0"/>
          <w:marRight w:val="0"/>
          <w:marTop w:val="0"/>
          <w:marBottom w:val="0"/>
          <w:divBdr>
            <w:top w:val="none" w:sz="0" w:space="0" w:color="auto"/>
            <w:left w:val="none" w:sz="0" w:space="0" w:color="auto"/>
            <w:bottom w:val="none" w:sz="0" w:space="0" w:color="auto"/>
            <w:right w:val="none" w:sz="0" w:space="0" w:color="auto"/>
          </w:divBdr>
        </w:div>
        <w:div w:id="1148325903">
          <w:marLeft w:val="0"/>
          <w:marRight w:val="0"/>
          <w:marTop w:val="0"/>
          <w:marBottom w:val="0"/>
          <w:divBdr>
            <w:top w:val="none" w:sz="0" w:space="0" w:color="auto"/>
            <w:left w:val="none" w:sz="0" w:space="0" w:color="auto"/>
            <w:bottom w:val="none" w:sz="0" w:space="0" w:color="auto"/>
            <w:right w:val="none" w:sz="0" w:space="0" w:color="auto"/>
          </w:divBdr>
        </w:div>
        <w:div w:id="1263801597">
          <w:marLeft w:val="0"/>
          <w:marRight w:val="0"/>
          <w:marTop w:val="0"/>
          <w:marBottom w:val="0"/>
          <w:divBdr>
            <w:top w:val="none" w:sz="0" w:space="0" w:color="auto"/>
            <w:left w:val="none" w:sz="0" w:space="0" w:color="auto"/>
            <w:bottom w:val="none" w:sz="0" w:space="0" w:color="auto"/>
            <w:right w:val="none" w:sz="0" w:space="0" w:color="auto"/>
          </w:divBdr>
        </w:div>
        <w:div w:id="1410538408">
          <w:marLeft w:val="0"/>
          <w:marRight w:val="0"/>
          <w:marTop w:val="0"/>
          <w:marBottom w:val="0"/>
          <w:divBdr>
            <w:top w:val="none" w:sz="0" w:space="0" w:color="auto"/>
            <w:left w:val="none" w:sz="0" w:space="0" w:color="auto"/>
            <w:bottom w:val="none" w:sz="0" w:space="0" w:color="auto"/>
            <w:right w:val="none" w:sz="0" w:space="0" w:color="auto"/>
          </w:divBdr>
        </w:div>
        <w:div w:id="1625038801">
          <w:marLeft w:val="0"/>
          <w:marRight w:val="0"/>
          <w:marTop w:val="0"/>
          <w:marBottom w:val="0"/>
          <w:divBdr>
            <w:top w:val="none" w:sz="0" w:space="0" w:color="auto"/>
            <w:left w:val="none" w:sz="0" w:space="0" w:color="auto"/>
            <w:bottom w:val="none" w:sz="0" w:space="0" w:color="auto"/>
            <w:right w:val="none" w:sz="0" w:space="0" w:color="auto"/>
          </w:divBdr>
        </w:div>
        <w:div w:id="1833377362">
          <w:marLeft w:val="0"/>
          <w:marRight w:val="0"/>
          <w:marTop w:val="0"/>
          <w:marBottom w:val="0"/>
          <w:divBdr>
            <w:top w:val="none" w:sz="0" w:space="0" w:color="auto"/>
            <w:left w:val="none" w:sz="0" w:space="0" w:color="auto"/>
            <w:bottom w:val="none" w:sz="0" w:space="0" w:color="auto"/>
            <w:right w:val="none" w:sz="0" w:space="0" w:color="auto"/>
          </w:divBdr>
        </w:div>
        <w:div w:id="20447497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eb.ca/sites/default/files/OEB_ltr_2023_inflation%20updates_20221020.pdf" TargetMode="External"/><Relationship Id="rId13" Type="http://schemas.openxmlformats.org/officeDocument/2006/relationships/hyperlink" Target="https://www.rds.oeb.ca/CMWebDrawer/Record/764059/File/docu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ds.oeb.ca/CMWebDrawer/Record/760266/File/docu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ds.oeb.ca/CMWebDrawer/Record/760272/File/document" TargetMode="External"/><Relationship Id="rId5" Type="http://schemas.openxmlformats.org/officeDocument/2006/relationships/webSettings" Target="webSettings.xml"/><Relationship Id="rId15" Type="http://schemas.openxmlformats.org/officeDocument/2006/relationships/hyperlink" Target="https://www.rds.oeb.ca/CMWebDrawer/Record/762653/File/document" TargetMode="External"/><Relationship Id="rId10" Type="http://schemas.openxmlformats.org/officeDocument/2006/relationships/hyperlink" Target="https://www.oeb.ca/newsroom/2022/ontario-energy-board-announces-changes-electricity-prices-households-and-small" TargetMode="External"/><Relationship Id="rId4" Type="http://schemas.openxmlformats.org/officeDocument/2006/relationships/settings" Target="settings.xml"/><Relationship Id="rId9" Type="http://schemas.openxmlformats.org/officeDocument/2006/relationships/hyperlink" Target="https://www.oeb.ca/newsroom/2022/ontario-energy-board-announces-changes-electricity-prices-households-and-small" TargetMode="External"/><Relationship Id="rId14" Type="http://schemas.openxmlformats.org/officeDocument/2006/relationships/hyperlink" Target="https://www.rds.oeb.ca/CMWebDrawer/Record/764048/File/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1866</Words>
  <Characters>10752</Characters>
  <Application>Microsoft Office Word</Application>
  <DocSecurity>0</DocSecurity>
  <Lines>185</Lines>
  <Paragraphs>27</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subject/>
  <dc:creator>OEB</dc:creator>
  <cp:keywords/>
  <dc:description/>
  <cp:lastModifiedBy>Amber Goher</cp:lastModifiedBy>
  <cp:revision>4</cp:revision>
  <cp:lastPrinted>2014-09-29T14:43:00Z</cp:lastPrinted>
  <dcterms:created xsi:type="dcterms:W3CDTF">2023-01-13T15:32:00Z</dcterms:created>
  <dcterms:modified xsi:type="dcterms:W3CDTF">2023-01-13T15:41:00Z</dcterms:modified>
</cp:coreProperties>
</file>