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0616E" w14:textId="6D7FF397" w:rsidR="00E03B6B" w:rsidRDefault="00AB12A6" w:rsidP="00E03B6B">
      <w:pPr>
        <w:spacing w:after="0" w:line="240" w:lineRule="auto"/>
        <w:jc w:val="center"/>
        <w:rPr>
          <w:rFonts w:ascii="Arial" w:hAnsi="Arial" w:cs="Arial"/>
          <w:b/>
          <w:bCs/>
          <w:sz w:val="28"/>
          <w:szCs w:val="28"/>
        </w:rPr>
      </w:pPr>
      <w:r>
        <w:rPr>
          <w:rFonts w:ascii="Arial" w:hAnsi="Arial" w:cs="Arial"/>
          <w:b/>
          <w:bCs/>
          <w:sz w:val="28"/>
          <w:szCs w:val="28"/>
        </w:rPr>
        <w:t>Newmarket-Tay Power Distribution Ltd.</w:t>
      </w:r>
    </w:p>
    <w:p w14:paraId="40068517" w14:textId="14D5EEFF" w:rsidR="00E03B6B" w:rsidRDefault="00E03B6B" w:rsidP="00E03B6B">
      <w:pPr>
        <w:spacing w:after="0" w:line="240" w:lineRule="auto"/>
        <w:jc w:val="center"/>
        <w:rPr>
          <w:rFonts w:ascii="Arial" w:hAnsi="Arial" w:cs="Arial"/>
          <w:b/>
          <w:bCs/>
          <w:sz w:val="28"/>
          <w:szCs w:val="28"/>
        </w:rPr>
      </w:pPr>
      <w:r>
        <w:rPr>
          <w:rFonts w:ascii="Arial" w:hAnsi="Arial" w:cs="Arial"/>
          <w:b/>
          <w:bCs/>
          <w:sz w:val="28"/>
          <w:szCs w:val="28"/>
        </w:rPr>
        <w:t xml:space="preserve">OEB Staff </w:t>
      </w:r>
      <w:r w:rsidR="00F54927">
        <w:rPr>
          <w:rFonts w:ascii="Arial" w:hAnsi="Arial" w:cs="Arial"/>
          <w:b/>
          <w:bCs/>
          <w:sz w:val="28"/>
          <w:szCs w:val="28"/>
        </w:rPr>
        <w:t>Questions</w:t>
      </w:r>
      <w:r>
        <w:rPr>
          <w:rFonts w:ascii="Arial" w:hAnsi="Arial" w:cs="Arial"/>
          <w:b/>
          <w:bCs/>
          <w:sz w:val="28"/>
          <w:szCs w:val="28"/>
        </w:rPr>
        <w:t xml:space="preserve"> </w:t>
      </w:r>
    </w:p>
    <w:p w14:paraId="552C8BCF" w14:textId="71CDBEE1" w:rsidR="00E03B6B" w:rsidRPr="00182494" w:rsidRDefault="00E03B6B" w:rsidP="00E03B6B">
      <w:pPr>
        <w:spacing w:after="0" w:line="240" w:lineRule="auto"/>
        <w:jc w:val="center"/>
        <w:rPr>
          <w:rFonts w:ascii="Arial" w:hAnsi="Arial" w:cs="Arial"/>
          <w:b/>
          <w:bCs/>
          <w:sz w:val="28"/>
          <w:szCs w:val="28"/>
        </w:rPr>
      </w:pPr>
      <w:r>
        <w:rPr>
          <w:rFonts w:ascii="Arial" w:hAnsi="Arial" w:cs="Arial"/>
          <w:b/>
          <w:bCs/>
          <w:sz w:val="28"/>
          <w:szCs w:val="28"/>
        </w:rPr>
        <w:t>EB-2022-00</w:t>
      </w:r>
      <w:r w:rsidR="00AB12A6">
        <w:rPr>
          <w:rFonts w:ascii="Arial" w:hAnsi="Arial" w:cs="Arial"/>
          <w:b/>
          <w:bCs/>
          <w:sz w:val="28"/>
          <w:szCs w:val="28"/>
        </w:rPr>
        <w:t>50</w:t>
      </w:r>
    </w:p>
    <w:p w14:paraId="28FC76D7" w14:textId="77777777" w:rsidR="00E03B6B" w:rsidRDefault="00E03B6B" w:rsidP="00E03B6B">
      <w:pPr>
        <w:pStyle w:val="ListParagraph"/>
        <w:spacing w:after="240" w:line="240" w:lineRule="auto"/>
        <w:rPr>
          <w:sz w:val="24"/>
          <w:szCs w:val="24"/>
        </w:rPr>
      </w:pPr>
    </w:p>
    <w:p w14:paraId="7867EC7F" w14:textId="0E98E29E" w:rsidR="00E03B6B" w:rsidRPr="0099567A" w:rsidRDefault="00E03B6B" w:rsidP="000D7747">
      <w:pPr>
        <w:autoSpaceDE w:val="0"/>
        <w:autoSpaceDN w:val="0"/>
        <w:adjustRightInd w:val="0"/>
        <w:spacing w:after="240" w:line="240" w:lineRule="auto"/>
        <w:rPr>
          <w:rFonts w:ascii="Arial" w:eastAsia="Calibri" w:hAnsi="Arial" w:cs="Arial"/>
          <w:sz w:val="24"/>
          <w:szCs w:val="24"/>
        </w:rPr>
      </w:pPr>
      <w:bookmarkStart w:id="0" w:name="_Hlk55806661"/>
      <w:r w:rsidRPr="0099567A">
        <w:rPr>
          <w:rFonts w:ascii="Arial" w:eastAsia="Calibri" w:hAnsi="Arial" w:cs="Arial"/>
          <w:sz w:val="24"/>
          <w:szCs w:val="24"/>
        </w:rPr>
        <w:t xml:space="preserve">Please note, </w:t>
      </w:r>
      <w:r w:rsidR="00AB12A6">
        <w:rPr>
          <w:rFonts w:ascii="Arial" w:eastAsia="Calibri" w:hAnsi="Arial" w:cs="Arial"/>
          <w:sz w:val="24"/>
          <w:szCs w:val="24"/>
        </w:rPr>
        <w:t>Newmarket-Tay Power Distribution Ltd</w:t>
      </w:r>
      <w:r w:rsidRPr="0099567A">
        <w:rPr>
          <w:rFonts w:ascii="Arial" w:eastAsia="Calibri" w:hAnsi="Arial" w:cs="Arial"/>
          <w:sz w:val="24"/>
          <w:szCs w:val="24"/>
        </w:rPr>
        <w:t xml:space="preserve"> (</w:t>
      </w:r>
      <w:r w:rsidR="00AB12A6">
        <w:rPr>
          <w:rFonts w:ascii="Arial" w:eastAsia="Calibri" w:hAnsi="Arial" w:cs="Arial"/>
          <w:sz w:val="24"/>
          <w:szCs w:val="24"/>
        </w:rPr>
        <w:t>Newmarket-Tay Power</w:t>
      </w:r>
      <w:r w:rsidRPr="0099567A">
        <w:rPr>
          <w:rFonts w:ascii="Arial" w:eastAsia="Calibri" w:hAnsi="Arial" w:cs="Arial"/>
          <w:sz w:val="24"/>
          <w:szCs w:val="24"/>
        </w:rPr>
        <w:t xml:space="preserve">) is responsible for ensuring that all documents it files with the OEB, including responses to OEB staff interrogatories and any other supporting documentation, do not include personal information (as that phrase is defined in the </w:t>
      </w:r>
      <w:r w:rsidRPr="0099567A">
        <w:rPr>
          <w:rFonts w:ascii="Arial" w:eastAsia="Calibri" w:hAnsi="Arial" w:cs="Arial"/>
          <w:i/>
          <w:iCs/>
          <w:sz w:val="24"/>
          <w:szCs w:val="24"/>
        </w:rPr>
        <w:t>Freedom of Information and Protection of Privacy Act</w:t>
      </w:r>
      <w:r w:rsidRPr="0099567A">
        <w:rPr>
          <w:rFonts w:ascii="Arial" w:eastAsia="Calibri" w:hAnsi="Arial" w:cs="Arial"/>
          <w:sz w:val="24"/>
          <w:szCs w:val="24"/>
        </w:rPr>
        <w:t xml:space="preserve">) unless filed in accordance with rule 9A of the OEB’s </w:t>
      </w:r>
      <w:r w:rsidRPr="0099567A">
        <w:rPr>
          <w:rFonts w:ascii="Arial" w:eastAsia="Calibri" w:hAnsi="Arial" w:cs="Arial"/>
          <w:i/>
          <w:iCs/>
          <w:sz w:val="24"/>
          <w:szCs w:val="24"/>
        </w:rPr>
        <w:t>Rules of Practice and Procedure</w:t>
      </w:r>
      <w:r w:rsidRPr="0099567A">
        <w:rPr>
          <w:rFonts w:ascii="Arial" w:eastAsia="Calibri" w:hAnsi="Arial" w:cs="Arial"/>
          <w:sz w:val="24"/>
          <w:szCs w:val="24"/>
        </w:rPr>
        <w:t>.</w:t>
      </w:r>
    </w:p>
    <w:p w14:paraId="45E8AE89" w14:textId="77777777" w:rsidR="00E03B6B" w:rsidRDefault="00E03B6B" w:rsidP="00E03B6B">
      <w:pPr>
        <w:spacing w:after="240" w:line="240" w:lineRule="auto"/>
        <w:rPr>
          <w:rFonts w:ascii="Arial" w:hAnsi="Arial" w:cs="Arial"/>
          <w:b/>
          <w:bCs/>
          <w:sz w:val="24"/>
          <w:szCs w:val="24"/>
        </w:rPr>
      </w:pPr>
      <w:bookmarkStart w:id="1" w:name="_Hlk119921051"/>
      <w:bookmarkEnd w:id="0"/>
      <w:r>
        <w:rPr>
          <w:rFonts w:ascii="Arial" w:hAnsi="Arial" w:cs="Arial"/>
          <w:b/>
          <w:bCs/>
          <w:sz w:val="24"/>
          <w:szCs w:val="24"/>
        </w:rPr>
        <w:t>OEB Staff – 1</w:t>
      </w:r>
    </w:p>
    <w:p w14:paraId="0A7C94EA" w14:textId="27FA8B31" w:rsidR="00E03B6B" w:rsidRDefault="00E03B6B" w:rsidP="00E03B6B">
      <w:pPr>
        <w:spacing w:after="0" w:line="240" w:lineRule="auto"/>
        <w:rPr>
          <w:rFonts w:ascii="Arial" w:hAnsi="Arial" w:cs="Arial"/>
          <w:b/>
          <w:bCs/>
          <w:sz w:val="24"/>
          <w:szCs w:val="24"/>
        </w:rPr>
      </w:pPr>
      <w:bookmarkStart w:id="2" w:name="_Hlk120089973"/>
      <w:r>
        <w:rPr>
          <w:rFonts w:ascii="Arial" w:hAnsi="Arial" w:cs="Arial"/>
          <w:b/>
          <w:bCs/>
          <w:sz w:val="24"/>
          <w:szCs w:val="24"/>
        </w:rPr>
        <w:t>Ref</w:t>
      </w:r>
      <w:r w:rsidR="005A71E1">
        <w:rPr>
          <w:rFonts w:ascii="Arial" w:hAnsi="Arial" w:cs="Arial"/>
          <w:b/>
          <w:bCs/>
          <w:sz w:val="24"/>
          <w:szCs w:val="24"/>
        </w:rPr>
        <w:t xml:space="preserve"> 1</w:t>
      </w:r>
      <w:r>
        <w:rPr>
          <w:rFonts w:ascii="Arial" w:hAnsi="Arial" w:cs="Arial"/>
          <w:b/>
          <w:bCs/>
          <w:sz w:val="24"/>
          <w:szCs w:val="24"/>
        </w:rPr>
        <w:t>: IRM Rate Generator Tab 16, 17, 19 and 20 – Annual Adjustment Mechanism Ref</w:t>
      </w:r>
      <w:r w:rsidR="005A71E1">
        <w:rPr>
          <w:rFonts w:ascii="Arial" w:hAnsi="Arial" w:cs="Arial"/>
          <w:b/>
          <w:bCs/>
          <w:sz w:val="24"/>
          <w:szCs w:val="24"/>
        </w:rPr>
        <w:t xml:space="preserve"> 2</w:t>
      </w:r>
      <w:r>
        <w:rPr>
          <w:rFonts w:ascii="Arial" w:hAnsi="Arial" w:cs="Arial"/>
          <w:b/>
          <w:bCs/>
          <w:sz w:val="24"/>
          <w:szCs w:val="24"/>
        </w:rPr>
        <w:t xml:space="preserve">: </w:t>
      </w:r>
      <w:r w:rsidRPr="00D1274C">
        <w:rPr>
          <w:rFonts w:ascii="Arial" w:hAnsi="Arial" w:cs="Arial"/>
          <w:b/>
          <w:bCs/>
          <w:sz w:val="24"/>
          <w:szCs w:val="24"/>
        </w:rPr>
        <w:t>OEB Letter, 2023 Inflation Parameters</w:t>
      </w:r>
      <w:r w:rsidRPr="007870E5">
        <w:rPr>
          <w:rFonts w:ascii="Arial" w:hAnsi="Arial" w:cs="Arial"/>
          <w:b/>
          <w:bCs/>
          <w:sz w:val="24"/>
          <w:szCs w:val="24"/>
        </w:rPr>
        <w:t xml:space="preserve"> </w:t>
      </w:r>
    </w:p>
    <w:p w14:paraId="686991FF" w14:textId="7FAA712E" w:rsidR="00E03B6B" w:rsidRDefault="00E03B6B" w:rsidP="00E03B6B">
      <w:pPr>
        <w:spacing w:after="0" w:line="240" w:lineRule="auto"/>
        <w:rPr>
          <w:rFonts w:ascii="Arial" w:hAnsi="Arial" w:cs="Arial"/>
          <w:b/>
          <w:bCs/>
          <w:sz w:val="24"/>
          <w:szCs w:val="24"/>
        </w:rPr>
      </w:pPr>
      <w:r>
        <w:rPr>
          <w:rFonts w:ascii="Arial" w:hAnsi="Arial" w:cs="Arial"/>
          <w:b/>
          <w:bCs/>
          <w:sz w:val="24"/>
          <w:szCs w:val="24"/>
        </w:rPr>
        <w:t>Ref</w:t>
      </w:r>
      <w:r w:rsidR="005A71E1">
        <w:rPr>
          <w:rFonts w:ascii="Arial" w:hAnsi="Arial" w:cs="Arial"/>
          <w:b/>
          <w:bCs/>
          <w:sz w:val="24"/>
          <w:szCs w:val="24"/>
        </w:rPr>
        <w:t xml:space="preserve"> 3</w:t>
      </w:r>
      <w:r>
        <w:rPr>
          <w:rFonts w:ascii="Arial" w:hAnsi="Arial" w:cs="Arial"/>
          <w:b/>
          <w:bCs/>
          <w:sz w:val="24"/>
          <w:szCs w:val="24"/>
        </w:rPr>
        <w:t>: EB-2022-0020, Decision and Order</w:t>
      </w:r>
    </w:p>
    <w:p w14:paraId="3512DE4C" w14:textId="479B2315" w:rsidR="00E03B6B" w:rsidRDefault="00E03B6B" w:rsidP="00E03B6B">
      <w:pPr>
        <w:spacing w:after="0" w:line="240" w:lineRule="auto"/>
        <w:rPr>
          <w:rFonts w:ascii="Arial" w:hAnsi="Arial" w:cs="Arial"/>
          <w:b/>
          <w:bCs/>
          <w:sz w:val="24"/>
          <w:szCs w:val="24"/>
        </w:rPr>
      </w:pPr>
      <w:r>
        <w:rPr>
          <w:rFonts w:ascii="Arial" w:hAnsi="Arial" w:cs="Arial"/>
          <w:b/>
          <w:bCs/>
          <w:sz w:val="24"/>
          <w:szCs w:val="24"/>
        </w:rPr>
        <w:t>Ref</w:t>
      </w:r>
      <w:r w:rsidR="005A71E1">
        <w:rPr>
          <w:rFonts w:ascii="Arial" w:hAnsi="Arial" w:cs="Arial"/>
          <w:b/>
          <w:bCs/>
          <w:sz w:val="24"/>
          <w:szCs w:val="24"/>
        </w:rPr>
        <w:t xml:space="preserve"> 4</w:t>
      </w:r>
      <w:r>
        <w:rPr>
          <w:rFonts w:ascii="Arial" w:hAnsi="Arial" w:cs="Arial"/>
          <w:b/>
          <w:bCs/>
          <w:sz w:val="24"/>
          <w:szCs w:val="24"/>
        </w:rPr>
        <w:t>: EB-2022-0021, Decision and Order</w:t>
      </w:r>
    </w:p>
    <w:p w14:paraId="2FE6CA59" w14:textId="77777777" w:rsidR="00E03B6B" w:rsidRDefault="00E03B6B" w:rsidP="00E03B6B">
      <w:pPr>
        <w:spacing w:after="240" w:line="240" w:lineRule="auto"/>
        <w:rPr>
          <w:rFonts w:ascii="Arial" w:hAnsi="Arial" w:cs="Arial"/>
          <w:b/>
          <w:bCs/>
          <w:sz w:val="24"/>
          <w:szCs w:val="24"/>
        </w:rPr>
      </w:pPr>
    </w:p>
    <w:bookmarkEnd w:id="1"/>
    <w:bookmarkEnd w:id="2"/>
    <w:p w14:paraId="43ED8FC6" w14:textId="13DF6ED5" w:rsidR="00E03B6B" w:rsidRDefault="00E03B6B" w:rsidP="00E03B6B">
      <w:pPr>
        <w:spacing w:after="240" w:line="240" w:lineRule="auto"/>
        <w:rPr>
          <w:rFonts w:ascii="Arial" w:hAnsi="Arial" w:cs="Arial"/>
          <w:sz w:val="24"/>
          <w:szCs w:val="24"/>
        </w:rPr>
      </w:pPr>
      <w:r w:rsidRPr="00DE2DD9">
        <w:rPr>
          <w:rFonts w:ascii="Arial" w:hAnsi="Arial" w:cs="Arial"/>
          <w:sz w:val="24"/>
          <w:szCs w:val="24"/>
        </w:rPr>
        <w:t xml:space="preserve">OEB staff has </w:t>
      </w:r>
      <w:r>
        <w:rPr>
          <w:rFonts w:ascii="Arial" w:hAnsi="Arial" w:cs="Arial"/>
          <w:sz w:val="24"/>
          <w:szCs w:val="24"/>
        </w:rPr>
        <w:t xml:space="preserve">made the following updates to </w:t>
      </w:r>
      <w:r w:rsidR="00AB12A6">
        <w:rPr>
          <w:rFonts w:ascii="Arial" w:hAnsi="Arial" w:cs="Arial"/>
          <w:sz w:val="24"/>
          <w:szCs w:val="24"/>
        </w:rPr>
        <w:t>Newmarket-Tay Power</w:t>
      </w:r>
      <w:r>
        <w:rPr>
          <w:rFonts w:ascii="Arial" w:hAnsi="Arial" w:cs="Arial"/>
          <w:sz w:val="24"/>
          <w:szCs w:val="24"/>
        </w:rPr>
        <w:t xml:space="preserve">’s </w:t>
      </w:r>
      <w:r w:rsidR="00AB12A6">
        <w:rPr>
          <w:rFonts w:ascii="Arial" w:hAnsi="Arial" w:cs="Arial"/>
          <w:sz w:val="24"/>
          <w:szCs w:val="24"/>
        </w:rPr>
        <w:t>Main RZ as well as the former Midland RZ</w:t>
      </w:r>
      <w:r w:rsidR="0072210D">
        <w:rPr>
          <w:rFonts w:ascii="Arial" w:hAnsi="Arial" w:cs="Arial"/>
          <w:sz w:val="24"/>
          <w:szCs w:val="24"/>
        </w:rPr>
        <w:t xml:space="preserve"> </w:t>
      </w:r>
      <w:r>
        <w:rPr>
          <w:rFonts w:ascii="Arial" w:hAnsi="Arial" w:cs="Arial"/>
          <w:sz w:val="24"/>
          <w:szCs w:val="24"/>
        </w:rPr>
        <w:t>Rate Generator</w:t>
      </w:r>
      <w:r w:rsidR="0072210D">
        <w:rPr>
          <w:rFonts w:ascii="Arial" w:hAnsi="Arial" w:cs="Arial"/>
          <w:sz w:val="24"/>
          <w:szCs w:val="24"/>
        </w:rPr>
        <w:t>s</w:t>
      </w:r>
      <w:r>
        <w:rPr>
          <w:rFonts w:ascii="Arial" w:hAnsi="Arial" w:cs="Arial"/>
          <w:sz w:val="24"/>
          <w:szCs w:val="24"/>
        </w:rPr>
        <w:t>:</w:t>
      </w:r>
    </w:p>
    <w:p w14:paraId="64BD6FF8" w14:textId="77777777" w:rsidR="00E03B6B" w:rsidRPr="007870E5" w:rsidRDefault="00E03B6B" w:rsidP="00E03B6B">
      <w:pPr>
        <w:numPr>
          <w:ilvl w:val="0"/>
          <w:numId w:val="2"/>
        </w:numPr>
        <w:spacing w:after="0" w:line="240" w:lineRule="auto"/>
        <w:contextualSpacing/>
        <w:rPr>
          <w:rFonts w:ascii="Arial" w:hAnsi="Arial" w:cs="Arial"/>
          <w:sz w:val="24"/>
          <w:szCs w:val="24"/>
        </w:rPr>
      </w:pPr>
      <w:r w:rsidRPr="007870E5">
        <w:rPr>
          <w:rFonts w:ascii="Arial" w:hAnsi="Arial" w:cs="Arial"/>
          <w:sz w:val="24"/>
          <w:szCs w:val="24"/>
        </w:rPr>
        <w:t>Updated the IPI Inflation Factor to 3.</w:t>
      </w:r>
      <w:r>
        <w:rPr>
          <w:rFonts w:ascii="Arial" w:hAnsi="Arial" w:cs="Arial"/>
          <w:sz w:val="24"/>
          <w:szCs w:val="24"/>
        </w:rPr>
        <w:t>7</w:t>
      </w:r>
      <w:r w:rsidRPr="007870E5">
        <w:rPr>
          <w:rFonts w:ascii="Arial" w:hAnsi="Arial" w:cs="Arial"/>
          <w:sz w:val="24"/>
          <w:szCs w:val="24"/>
        </w:rPr>
        <w:t>0%</w:t>
      </w:r>
      <w:r w:rsidRPr="007870E5">
        <w:rPr>
          <w:rFonts w:ascii="Arial" w:hAnsi="Arial" w:cs="Arial"/>
          <w:sz w:val="24"/>
          <w:szCs w:val="24"/>
          <w:vertAlign w:val="superscript"/>
        </w:rPr>
        <w:footnoteReference w:id="1"/>
      </w:r>
      <w:r w:rsidRPr="007870E5">
        <w:rPr>
          <w:rFonts w:ascii="Arial" w:hAnsi="Arial" w:cs="Arial"/>
          <w:sz w:val="24"/>
          <w:szCs w:val="24"/>
        </w:rPr>
        <w:t xml:space="preserve"> in Tab 16 and Tab 17-Retail Service Charges</w:t>
      </w:r>
    </w:p>
    <w:p w14:paraId="527D6CD0" w14:textId="77777777" w:rsidR="00E03B6B" w:rsidRPr="007870E5" w:rsidRDefault="00E03B6B" w:rsidP="00E03B6B">
      <w:pPr>
        <w:numPr>
          <w:ilvl w:val="0"/>
          <w:numId w:val="2"/>
        </w:numPr>
        <w:spacing w:after="0" w:line="240" w:lineRule="auto"/>
        <w:contextualSpacing/>
        <w:rPr>
          <w:rFonts w:ascii="Arial" w:hAnsi="Arial" w:cs="Arial"/>
          <w:sz w:val="24"/>
          <w:szCs w:val="24"/>
        </w:rPr>
      </w:pPr>
      <w:r w:rsidRPr="007870E5">
        <w:rPr>
          <w:rFonts w:ascii="Arial" w:hAnsi="Arial" w:cs="Arial"/>
          <w:sz w:val="24"/>
          <w:szCs w:val="24"/>
        </w:rPr>
        <w:t>Updated the Ontario Electricity Rebate in Tab 20 to 1</w:t>
      </w:r>
      <w:r>
        <w:rPr>
          <w:rFonts w:ascii="Arial" w:hAnsi="Arial" w:cs="Arial"/>
          <w:sz w:val="24"/>
          <w:szCs w:val="24"/>
        </w:rPr>
        <w:t>1.7</w:t>
      </w:r>
      <w:r w:rsidRPr="007870E5">
        <w:rPr>
          <w:rFonts w:ascii="Arial" w:hAnsi="Arial" w:cs="Arial"/>
          <w:sz w:val="24"/>
          <w:szCs w:val="24"/>
        </w:rPr>
        <w:t>% (as of November 1, 202</w:t>
      </w:r>
      <w:r>
        <w:rPr>
          <w:rFonts w:ascii="Arial" w:hAnsi="Arial" w:cs="Arial"/>
          <w:sz w:val="24"/>
          <w:szCs w:val="24"/>
        </w:rPr>
        <w:t>2</w:t>
      </w:r>
      <w:r w:rsidRPr="007870E5">
        <w:rPr>
          <w:rFonts w:ascii="Arial" w:hAnsi="Arial" w:cs="Arial"/>
          <w:sz w:val="24"/>
          <w:szCs w:val="24"/>
        </w:rPr>
        <w:t>)</w:t>
      </w:r>
    </w:p>
    <w:p w14:paraId="30C43ABC" w14:textId="77777777" w:rsidR="00E03B6B" w:rsidRDefault="00E03B6B" w:rsidP="00E03B6B">
      <w:pPr>
        <w:numPr>
          <w:ilvl w:val="0"/>
          <w:numId w:val="2"/>
        </w:numPr>
        <w:spacing w:after="0" w:line="240" w:lineRule="auto"/>
        <w:contextualSpacing/>
        <w:rPr>
          <w:rFonts w:ascii="Arial" w:hAnsi="Arial" w:cs="Arial"/>
          <w:sz w:val="24"/>
          <w:szCs w:val="24"/>
        </w:rPr>
      </w:pPr>
      <w:r w:rsidRPr="007870E5">
        <w:rPr>
          <w:rFonts w:ascii="Arial" w:hAnsi="Arial" w:cs="Arial"/>
          <w:sz w:val="24"/>
          <w:szCs w:val="24"/>
        </w:rPr>
        <w:t>Updated the Wireline Pole Attachment Charge to $</w:t>
      </w:r>
      <w:r>
        <w:rPr>
          <w:rFonts w:ascii="Arial" w:hAnsi="Arial" w:cs="Arial"/>
          <w:sz w:val="24"/>
          <w:szCs w:val="24"/>
        </w:rPr>
        <w:t>36.05</w:t>
      </w:r>
      <w:r w:rsidRPr="007870E5">
        <w:rPr>
          <w:rFonts w:ascii="Arial" w:hAnsi="Arial" w:cs="Arial"/>
          <w:sz w:val="24"/>
          <w:szCs w:val="24"/>
          <w:vertAlign w:val="superscript"/>
        </w:rPr>
        <w:footnoteReference w:id="2"/>
      </w:r>
      <w:r w:rsidRPr="007870E5">
        <w:rPr>
          <w:rFonts w:ascii="Arial" w:hAnsi="Arial" w:cs="Arial"/>
          <w:sz w:val="24"/>
          <w:szCs w:val="24"/>
        </w:rPr>
        <w:t xml:space="preserve"> in Tab 17</w:t>
      </w:r>
    </w:p>
    <w:p w14:paraId="730E0999" w14:textId="77777777" w:rsidR="00E03B6B" w:rsidRDefault="00E03B6B" w:rsidP="00E03B6B">
      <w:pPr>
        <w:numPr>
          <w:ilvl w:val="0"/>
          <w:numId w:val="2"/>
        </w:numPr>
        <w:spacing w:after="0" w:line="240" w:lineRule="auto"/>
        <w:contextualSpacing/>
        <w:rPr>
          <w:rFonts w:ascii="Arial" w:hAnsi="Arial" w:cs="Arial"/>
          <w:sz w:val="24"/>
          <w:szCs w:val="24"/>
        </w:rPr>
      </w:pPr>
      <w:r>
        <w:rPr>
          <w:rFonts w:ascii="Arial" w:hAnsi="Arial" w:cs="Arial"/>
          <w:sz w:val="24"/>
          <w:szCs w:val="24"/>
        </w:rPr>
        <w:t>Updated Retail Service Charges by the inflation factor of 3.7% in Tab 17</w:t>
      </w:r>
    </w:p>
    <w:p w14:paraId="7C932179" w14:textId="77777777" w:rsidR="00E03B6B" w:rsidRDefault="00E03B6B" w:rsidP="00E03B6B">
      <w:pPr>
        <w:spacing w:after="240" w:line="240" w:lineRule="auto"/>
        <w:rPr>
          <w:rFonts w:ascii="Arial" w:hAnsi="Arial" w:cs="Arial"/>
          <w:b/>
          <w:bCs/>
          <w:sz w:val="24"/>
          <w:szCs w:val="24"/>
        </w:rPr>
      </w:pPr>
    </w:p>
    <w:p w14:paraId="33781891" w14:textId="77777777" w:rsidR="00E03B6B" w:rsidRPr="00586B1F" w:rsidRDefault="00E03B6B" w:rsidP="00E03B6B">
      <w:pPr>
        <w:spacing w:after="240" w:line="240" w:lineRule="auto"/>
        <w:rPr>
          <w:rFonts w:ascii="Arial" w:hAnsi="Arial" w:cs="Arial"/>
          <w:b/>
          <w:bCs/>
          <w:sz w:val="24"/>
          <w:szCs w:val="24"/>
        </w:rPr>
      </w:pPr>
      <w:bookmarkStart w:id="3" w:name="_Hlk123722155"/>
      <w:r w:rsidRPr="00586B1F">
        <w:rPr>
          <w:rFonts w:ascii="Arial" w:hAnsi="Arial" w:cs="Arial"/>
          <w:b/>
          <w:bCs/>
          <w:sz w:val="24"/>
          <w:szCs w:val="24"/>
        </w:rPr>
        <w:t xml:space="preserve">Question: </w:t>
      </w:r>
    </w:p>
    <w:bookmarkEnd w:id="3"/>
    <w:p w14:paraId="21534506" w14:textId="77777777" w:rsidR="00E03B6B" w:rsidRPr="000656E8" w:rsidRDefault="00E03B6B" w:rsidP="00E03B6B">
      <w:pPr>
        <w:pStyle w:val="ListParagraph"/>
        <w:numPr>
          <w:ilvl w:val="0"/>
          <w:numId w:val="1"/>
        </w:numPr>
        <w:spacing w:after="240" w:line="240" w:lineRule="auto"/>
        <w:rPr>
          <w:sz w:val="24"/>
          <w:szCs w:val="24"/>
        </w:rPr>
      </w:pPr>
      <w:r w:rsidRPr="000656E8">
        <w:rPr>
          <w:sz w:val="24"/>
          <w:szCs w:val="24"/>
        </w:rPr>
        <w:t xml:space="preserve">Please confirm </w:t>
      </w:r>
      <w:r>
        <w:rPr>
          <w:sz w:val="24"/>
          <w:szCs w:val="24"/>
        </w:rPr>
        <w:t>the accuracy of these updates in the attached rate generator</w:t>
      </w:r>
      <w:r w:rsidRPr="000656E8">
        <w:rPr>
          <w:sz w:val="24"/>
          <w:szCs w:val="24"/>
        </w:rPr>
        <w:t xml:space="preserve">. </w:t>
      </w:r>
    </w:p>
    <w:p w14:paraId="7799B1D6" w14:textId="249EE366" w:rsidR="00E03B6B" w:rsidRDefault="00E03B6B" w:rsidP="00E03B6B">
      <w:pPr>
        <w:spacing w:after="240" w:line="240" w:lineRule="auto"/>
        <w:rPr>
          <w:rFonts w:ascii="Arial" w:hAnsi="Arial" w:cs="Arial"/>
          <w:b/>
          <w:bCs/>
          <w:sz w:val="24"/>
          <w:szCs w:val="24"/>
        </w:rPr>
      </w:pPr>
      <w:r>
        <w:rPr>
          <w:rFonts w:ascii="Arial" w:hAnsi="Arial" w:cs="Arial"/>
          <w:b/>
          <w:bCs/>
          <w:sz w:val="24"/>
          <w:szCs w:val="24"/>
        </w:rPr>
        <w:t xml:space="preserve">OEB Staff – </w:t>
      </w:r>
      <w:r w:rsidR="00AB12A6">
        <w:rPr>
          <w:rFonts w:ascii="Arial" w:hAnsi="Arial" w:cs="Arial"/>
          <w:b/>
          <w:bCs/>
          <w:sz w:val="24"/>
          <w:szCs w:val="24"/>
        </w:rPr>
        <w:t>2</w:t>
      </w:r>
    </w:p>
    <w:p w14:paraId="5E4863AA" w14:textId="77777777" w:rsidR="00E03B6B" w:rsidRDefault="00E03B6B" w:rsidP="00E03B6B">
      <w:pPr>
        <w:spacing w:after="240" w:line="240" w:lineRule="auto"/>
        <w:rPr>
          <w:rFonts w:ascii="Arial" w:hAnsi="Arial" w:cs="Arial"/>
          <w:b/>
          <w:bCs/>
          <w:sz w:val="24"/>
          <w:szCs w:val="24"/>
        </w:rPr>
      </w:pPr>
      <w:r>
        <w:rPr>
          <w:rFonts w:ascii="Arial" w:hAnsi="Arial" w:cs="Arial"/>
          <w:b/>
          <w:bCs/>
          <w:sz w:val="24"/>
          <w:szCs w:val="24"/>
        </w:rPr>
        <w:t>Ref: IRM Rate Generator Tab 17 and Tab 20 – Regulatory Charges, Time of Use RPP Prices and Distribution Rate Protection Charge</w:t>
      </w:r>
    </w:p>
    <w:p w14:paraId="1A245397" w14:textId="77777777" w:rsidR="00E03B6B" w:rsidRDefault="00E03B6B" w:rsidP="00E03B6B">
      <w:pPr>
        <w:spacing w:after="240" w:line="240" w:lineRule="auto"/>
        <w:rPr>
          <w:rFonts w:ascii="Arial" w:hAnsi="Arial" w:cs="Arial"/>
          <w:sz w:val="24"/>
          <w:szCs w:val="24"/>
        </w:rPr>
      </w:pPr>
      <w:r w:rsidRPr="00DE2DD9">
        <w:rPr>
          <w:rFonts w:ascii="Arial" w:hAnsi="Arial" w:cs="Arial"/>
          <w:sz w:val="24"/>
          <w:szCs w:val="24"/>
        </w:rPr>
        <w:t xml:space="preserve">OEB staff has </w:t>
      </w:r>
      <w:r>
        <w:rPr>
          <w:rFonts w:ascii="Arial" w:hAnsi="Arial" w:cs="Arial"/>
          <w:sz w:val="24"/>
          <w:szCs w:val="24"/>
        </w:rPr>
        <w:t>made the following updates to Tab 17 of the rate generator:</w:t>
      </w:r>
    </w:p>
    <w:p w14:paraId="7EA791BB" w14:textId="77777777" w:rsidR="00E03B6B" w:rsidRDefault="00E03B6B" w:rsidP="00E03B6B">
      <w:pPr>
        <w:spacing w:after="240" w:line="240" w:lineRule="auto"/>
        <w:rPr>
          <w:rFonts w:ascii="Arial" w:hAnsi="Arial" w:cs="Arial"/>
          <w:sz w:val="24"/>
          <w:szCs w:val="24"/>
        </w:rPr>
      </w:pPr>
      <w:r w:rsidRPr="00BA234A">
        <w:rPr>
          <w:rFonts w:ascii="Arial" w:hAnsi="Arial" w:cs="Arial"/>
          <w:noProof/>
          <w:sz w:val="24"/>
          <w:szCs w:val="24"/>
        </w:rPr>
        <w:lastRenderedPageBreak/>
        <w:drawing>
          <wp:inline distT="0" distB="0" distL="0" distR="0" wp14:anchorId="2D4BA959" wp14:editId="4AAC78D9">
            <wp:extent cx="5943600" cy="16833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683385"/>
                    </a:xfrm>
                    <a:prstGeom prst="rect">
                      <a:avLst/>
                    </a:prstGeom>
                  </pic:spPr>
                </pic:pic>
              </a:graphicData>
            </a:graphic>
          </wp:inline>
        </w:drawing>
      </w:r>
    </w:p>
    <w:p w14:paraId="670AD0FE" w14:textId="77777777" w:rsidR="00E03B6B" w:rsidRPr="00586B1F" w:rsidRDefault="00E03B6B" w:rsidP="00E03B6B">
      <w:pPr>
        <w:spacing w:after="240" w:line="240" w:lineRule="auto"/>
        <w:rPr>
          <w:rFonts w:ascii="Arial" w:hAnsi="Arial" w:cs="Arial"/>
          <w:b/>
          <w:bCs/>
          <w:sz w:val="24"/>
          <w:szCs w:val="24"/>
        </w:rPr>
      </w:pPr>
      <w:bookmarkStart w:id="4" w:name="_Hlk120868394"/>
      <w:bookmarkStart w:id="5" w:name="_Hlk119923963"/>
      <w:r w:rsidRPr="00586B1F">
        <w:rPr>
          <w:rFonts w:ascii="Arial" w:hAnsi="Arial" w:cs="Arial"/>
          <w:b/>
          <w:bCs/>
          <w:sz w:val="24"/>
          <w:szCs w:val="24"/>
        </w:rPr>
        <w:t xml:space="preserve">Question: </w:t>
      </w:r>
    </w:p>
    <w:bookmarkEnd w:id="4"/>
    <w:p w14:paraId="250098D6" w14:textId="77777777" w:rsidR="00E03B6B" w:rsidRDefault="00E03B6B" w:rsidP="00E03B6B">
      <w:pPr>
        <w:pStyle w:val="ListParagraph"/>
        <w:numPr>
          <w:ilvl w:val="0"/>
          <w:numId w:val="3"/>
        </w:numPr>
        <w:spacing w:after="240" w:line="240" w:lineRule="auto"/>
        <w:rPr>
          <w:sz w:val="24"/>
          <w:szCs w:val="24"/>
        </w:rPr>
      </w:pPr>
      <w:r w:rsidRPr="000656E8">
        <w:rPr>
          <w:sz w:val="24"/>
          <w:szCs w:val="24"/>
        </w:rPr>
        <w:t xml:space="preserve">Please confirm </w:t>
      </w:r>
      <w:r>
        <w:rPr>
          <w:sz w:val="24"/>
          <w:szCs w:val="24"/>
        </w:rPr>
        <w:t>the accuracy of these updates in the rate generator.</w:t>
      </w:r>
    </w:p>
    <w:p w14:paraId="06C46DD2" w14:textId="28F4BF20" w:rsidR="00E03B6B" w:rsidRPr="00D25FDF" w:rsidRDefault="00E03B6B" w:rsidP="00E03B6B">
      <w:pPr>
        <w:spacing w:after="240" w:line="240" w:lineRule="auto"/>
        <w:rPr>
          <w:rFonts w:ascii="Arial" w:hAnsi="Arial" w:cs="Arial"/>
          <w:b/>
          <w:bCs/>
          <w:sz w:val="24"/>
          <w:szCs w:val="24"/>
        </w:rPr>
      </w:pPr>
      <w:bookmarkStart w:id="6" w:name="_Hlk123652909"/>
      <w:bookmarkEnd w:id="5"/>
      <w:r w:rsidRPr="00D25FDF">
        <w:rPr>
          <w:rFonts w:ascii="Arial" w:hAnsi="Arial" w:cs="Arial"/>
          <w:b/>
          <w:bCs/>
          <w:sz w:val="24"/>
          <w:szCs w:val="24"/>
        </w:rPr>
        <w:t xml:space="preserve">OEB Staff – </w:t>
      </w:r>
      <w:r w:rsidR="00AB12A6">
        <w:rPr>
          <w:rFonts w:ascii="Arial" w:hAnsi="Arial" w:cs="Arial"/>
          <w:b/>
          <w:bCs/>
          <w:sz w:val="24"/>
          <w:szCs w:val="24"/>
        </w:rPr>
        <w:t>3</w:t>
      </w:r>
    </w:p>
    <w:bookmarkEnd w:id="6"/>
    <w:p w14:paraId="38B5B94D" w14:textId="2C5FE2EF" w:rsidR="00E03B6B" w:rsidRDefault="00E03B6B" w:rsidP="00E03B6B">
      <w:pPr>
        <w:spacing w:after="0" w:line="240" w:lineRule="auto"/>
        <w:rPr>
          <w:rFonts w:ascii="Arial" w:hAnsi="Arial" w:cs="Arial"/>
          <w:b/>
          <w:bCs/>
          <w:sz w:val="24"/>
          <w:szCs w:val="24"/>
        </w:rPr>
      </w:pPr>
      <w:r w:rsidRPr="00D25FDF">
        <w:rPr>
          <w:rFonts w:ascii="Arial" w:hAnsi="Arial" w:cs="Arial"/>
          <w:b/>
          <w:bCs/>
          <w:sz w:val="24"/>
          <w:szCs w:val="24"/>
        </w:rPr>
        <w:t>Ref</w:t>
      </w:r>
      <w:r w:rsidR="005A71E1">
        <w:rPr>
          <w:rFonts w:ascii="Arial" w:hAnsi="Arial" w:cs="Arial"/>
          <w:b/>
          <w:bCs/>
          <w:sz w:val="24"/>
          <w:szCs w:val="24"/>
        </w:rPr>
        <w:t xml:space="preserve"> 1</w:t>
      </w:r>
      <w:r w:rsidRPr="00D25FDF">
        <w:rPr>
          <w:rFonts w:ascii="Arial" w:hAnsi="Arial" w:cs="Arial"/>
          <w:b/>
          <w:bCs/>
          <w:sz w:val="24"/>
          <w:szCs w:val="24"/>
        </w:rPr>
        <w:t xml:space="preserve">: IRM Rate Generator Tab 19 and Tab 20 – </w:t>
      </w:r>
      <w:r>
        <w:rPr>
          <w:rFonts w:ascii="Arial" w:hAnsi="Arial" w:cs="Arial"/>
          <w:b/>
          <w:bCs/>
          <w:sz w:val="24"/>
          <w:szCs w:val="24"/>
        </w:rPr>
        <w:t>Retail Service Transmission Rates (RTSRs)</w:t>
      </w:r>
    </w:p>
    <w:p w14:paraId="2E9298AA" w14:textId="722A36D6" w:rsidR="00E03B6B" w:rsidRDefault="00E03B6B" w:rsidP="00E03B6B">
      <w:pPr>
        <w:spacing w:after="0" w:line="240" w:lineRule="auto"/>
        <w:rPr>
          <w:rFonts w:ascii="Arial" w:hAnsi="Arial" w:cs="Arial"/>
          <w:sz w:val="24"/>
          <w:szCs w:val="24"/>
        </w:rPr>
      </w:pPr>
      <w:r>
        <w:rPr>
          <w:rFonts w:ascii="Arial" w:hAnsi="Arial" w:cs="Arial"/>
          <w:b/>
          <w:bCs/>
          <w:sz w:val="24"/>
          <w:szCs w:val="24"/>
        </w:rPr>
        <w:t>Ref</w:t>
      </w:r>
      <w:r w:rsidR="005A71E1">
        <w:rPr>
          <w:rFonts w:ascii="Arial" w:hAnsi="Arial" w:cs="Arial"/>
          <w:b/>
          <w:bCs/>
          <w:sz w:val="24"/>
          <w:szCs w:val="24"/>
        </w:rPr>
        <w:t xml:space="preserve"> 2</w:t>
      </w:r>
      <w:r>
        <w:rPr>
          <w:rFonts w:ascii="Arial" w:hAnsi="Arial" w:cs="Arial"/>
          <w:b/>
          <w:bCs/>
          <w:sz w:val="24"/>
          <w:szCs w:val="24"/>
        </w:rPr>
        <w:t>: Decision and Order, EB-2021-0110</w:t>
      </w:r>
    </w:p>
    <w:p w14:paraId="48F7757E" w14:textId="77777777" w:rsidR="00E03B6B" w:rsidRDefault="00E03B6B" w:rsidP="00E03B6B">
      <w:pPr>
        <w:spacing w:after="240" w:line="240" w:lineRule="auto"/>
        <w:rPr>
          <w:rFonts w:ascii="Arial" w:hAnsi="Arial" w:cs="Arial"/>
          <w:sz w:val="24"/>
          <w:szCs w:val="24"/>
        </w:rPr>
      </w:pPr>
    </w:p>
    <w:p w14:paraId="58634467" w14:textId="77777777" w:rsidR="00E03B6B" w:rsidRDefault="00E03B6B" w:rsidP="00E03B6B">
      <w:pPr>
        <w:spacing w:after="240" w:line="240" w:lineRule="auto"/>
        <w:rPr>
          <w:rFonts w:ascii="Arial" w:hAnsi="Arial" w:cs="Arial"/>
          <w:sz w:val="24"/>
          <w:szCs w:val="24"/>
        </w:rPr>
      </w:pPr>
      <w:r>
        <w:rPr>
          <w:rFonts w:ascii="Arial" w:hAnsi="Arial" w:cs="Arial"/>
          <w:sz w:val="24"/>
          <w:szCs w:val="24"/>
        </w:rPr>
        <w:t>OEB staff made the following updates to Tab 11 of the rate generator model:</w:t>
      </w:r>
    </w:p>
    <w:p w14:paraId="73441741" w14:textId="2E11A510" w:rsidR="00E03B6B" w:rsidRPr="00D25FDF" w:rsidRDefault="00E328DF" w:rsidP="00E03B6B">
      <w:pPr>
        <w:spacing w:after="240"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6597941A" wp14:editId="3DB86B47">
                <wp:simplePos x="0" y="0"/>
                <wp:positionH relativeFrom="column">
                  <wp:posOffset>5394740</wp:posOffset>
                </wp:positionH>
                <wp:positionV relativeFrom="paragraph">
                  <wp:posOffset>344673</wp:posOffset>
                </wp:positionV>
                <wp:extent cx="746760" cy="685800"/>
                <wp:effectExtent l="0" t="0" r="15240" b="19050"/>
                <wp:wrapNone/>
                <wp:docPr id="2" name="Oval 2"/>
                <wp:cNvGraphicFramePr/>
                <a:graphic xmlns:a="http://schemas.openxmlformats.org/drawingml/2006/main">
                  <a:graphicData uri="http://schemas.microsoft.com/office/word/2010/wordprocessingShape">
                    <wps:wsp>
                      <wps:cNvSpPr/>
                      <wps:spPr>
                        <a:xfrm>
                          <a:off x="0" y="0"/>
                          <a:ext cx="746760" cy="68580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DAD3D1" id="Oval 2" o:spid="_x0000_s1026" style="position:absolute;margin-left:424.8pt;margin-top:27.15pt;width:58.8pt;height:5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VuSAIAAI0EAAAOAAAAZHJzL2Uyb0RvYy54bWysVFFvGjEMfp+0/xDlfT1AQFvUo0JFTJOq&#10;tlI79dnkEu6kXJw5gaP79XNy19Kte5rGQ7Bj8zn+/Jmr62NrxUFTaNCVcnw2kkI7hVXjdqX8/rT5&#10;ciFFiOAqsOh0KV90kNfLz5+uOr/QE6zRVpoEg7iw6Hwp6xj9oiiCqnUL4Qy9dhw0SC1EdmlXVAQd&#10;o7e2mIxG86JDqjyh0iHw7boPymXGN0areG9M0FHYUvLbYj4pn9t0FssrWOwIfN2o4RnwD69ooXFc&#10;9A1qDRHEnpoPUG2jCAOaeKawLdCYRuncA3czHv3RzWMNXudemJzg32gK/w9W3R0e/QMxDZ0Pi8Bm&#10;6uJoqE3f/D5xzGS9vJGlj1Eovjyfzs/nTKni0PxidjHKZBanH3sK8avGViSjlNraxofUDizgcBsi&#10;1+Ts16x07XDTWJtHYp3oSjmZTRlWKGBlGAuRzdZXpQxuJwXYHUtORcqQAW1TpZ8noEC77Y0lcQAe&#10;+2Yz4k+aNJf7LS3VXkOo+7wcGtKsSzA6C2h46omfZG2xenkgQdgrKni1aRjtFkJ8AGIJ8bN5LeI9&#10;H8Yi94KDJUWN9PNv9ymfJ8tRKTqWJPf5Yw+kpbDfHM/8cjydJg1nZzo7n7BD7yPb9xG3b2+Q2x/z&#10;AnqVzZQf7atpCNtn3p5VqsohcIpr94wOzk3sV4X3T+nVKqexbj3EW/foVQJPPCUen47PQH6YdWSR&#10;3OGrfD/Mu8/tJ77aRzRNFsOJVx5VcljzeWjDfqaleu/nrNO/yPIXAAAA//8DAFBLAwQUAAYACAAA&#10;ACEAClYNmt8AAAAKAQAADwAAAGRycy9kb3ducmV2LnhtbEyPwU7DMBBE70j8g7VI3KiDm4Q2xKlo&#10;JQ7QEwVx3sbbJGpsR7HbBr6e5QTH1TzNvC1Xk+3FmcbQeafhfpaAIFd707lGw8f7890CRIjoDPbe&#10;kYYvCrCqrq9KLIy/uDc672IjuMSFAjW0MQ6FlKFuyWKY+YEcZwc/Wox8jo00I1643PZSJUkuLXaO&#10;F1ocaNNSfdydLO9u16lSn2qdHfvvzSsessH4F61vb6anRxCRpvgHw68+q0PFTnt/ciaIXsMiXeaM&#10;asjSOQgGlvmDArFnMldzkFUp/79Q/QAAAP//AwBQSwECLQAUAAYACAAAACEAtoM4kv4AAADhAQAA&#10;EwAAAAAAAAAAAAAAAAAAAAAAW0NvbnRlbnRfVHlwZXNdLnhtbFBLAQItABQABgAIAAAAIQA4/SH/&#10;1gAAAJQBAAALAAAAAAAAAAAAAAAAAC8BAABfcmVscy8ucmVsc1BLAQItABQABgAIAAAAIQCihKVu&#10;SAIAAI0EAAAOAAAAAAAAAAAAAAAAAC4CAABkcnMvZTJvRG9jLnhtbFBLAQItABQABgAIAAAAIQAK&#10;Vg2a3wAAAAoBAAAPAAAAAAAAAAAAAAAAAKIEAABkcnMvZG93bnJldi54bWxQSwUGAAAAAAQABADz&#10;AAAArgUAAAAA&#10;" filled="f" strokecolor="red" strokeweight="2pt"/>
            </w:pict>
          </mc:Fallback>
        </mc:AlternateContent>
      </w:r>
      <w:r>
        <w:rPr>
          <w:rFonts w:ascii="Arial" w:hAnsi="Arial" w:cs="Arial"/>
          <w:noProof/>
          <w:sz w:val="24"/>
          <w:szCs w:val="24"/>
        </w:rPr>
        <mc:AlternateContent>
          <mc:Choice Requires="wps">
            <w:drawing>
              <wp:anchor distT="0" distB="0" distL="114300" distR="114300" simplePos="0" relativeHeight="251660288" behindDoc="0" locked="0" layoutInCell="1" allowOverlap="1" wp14:anchorId="404D7673" wp14:editId="03018DB9">
                <wp:simplePos x="0" y="0"/>
                <wp:positionH relativeFrom="column">
                  <wp:posOffset>5227335</wp:posOffset>
                </wp:positionH>
                <wp:positionV relativeFrom="paragraph">
                  <wp:posOffset>1368065</wp:posOffset>
                </wp:positionV>
                <wp:extent cx="746760" cy="685800"/>
                <wp:effectExtent l="0" t="0" r="15240" b="19050"/>
                <wp:wrapNone/>
                <wp:docPr id="6" name="Oval 6"/>
                <wp:cNvGraphicFramePr/>
                <a:graphic xmlns:a="http://schemas.openxmlformats.org/drawingml/2006/main">
                  <a:graphicData uri="http://schemas.microsoft.com/office/word/2010/wordprocessingShape">
                    <wps:wsp>
                      <wps:cNvSpPr/>
                      <wps:spPr>
                        <a:xfrm>
                          <a:off x="0" y="0"/>
                          <a:ext cx="746760" cy="68580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323048" id="Oval 6" o:spid="_x0000_s1026" style="position:absolute;margin-left:411.6pt;margin-top:107.7pt;width:58.8pt;height:5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VuSAIAAI0EAAAOAAAAZHJzL2Uyb0RvYy54bWysVFFvGjEMfp+0/xDlfT1AQFvUo0JFTJOq&#10;tlI79dnkEu6kXJw5gaP79XNy19Kte5rGQ7Bj8zn+/Jmr62NrxUFTaNCVcnw2kkI7hVXjdqX8/rT5&#10;ciFFiOAqsOh0KV90kNfLz5+uOr/QE6zRVpoEg7iw6Hwp6xj9oiiCqnUL4Qy9dhw0SC1EdmlXVAQd&#10;o7e2mIxG86JDqjyh0iHw7boPymXGN0areG9M0FHYUvLbYj4pn9t0FssrWOwIfN2o4RnwD69ooXFc&#10;9A1qDRHEnpoPUG2jCAOaeKawLdCYRuncA3czHv3RzWMNXudemJzg32gK/w9W3R0e/QMxDZ0Pi8Bm&#10;6uJoqE3f/D5xzGS9vJGlj1Eovjyfzs/nTKni0PxidjHKZBanH3sK8avGViSjlNraxofUDizgcBsi&#10;1+Ts16x07XDTWJtHYp3oSjmZTRlWKGBlGAuRzdZXpQxuJwXYHUtORcqQAW1TpZ8noEC77Y0lcQAe&#10;+2Yz4k+aNJf7LS3VXkOo+7wcGtKsSzA6C2h46omfZG2xenkgQdgrKni1aRjtFkJ8AGIJ8bN5LeI9&#10;H8Yi94KDJUWN9PNv9ymfJ8tRKTqWJPf5Yw+kpbDfHM/8cjydJg1nZzo7n7BD7yPb9xG3b2+Q2x/z&#10;AnqVzZQf7atpCNtn3p5VqsohcIpr94wOzk3sV4X3T+nVKqexbj3EW/foVQJPPCUen47PQH6YdWSR&#10;3OGrfD/Mu8/tJ77aRzRNFsOJVx5VcljzeWjDfqaleu/nrNO/yPIXAAAA//8DAFBLAwQUAAYACAAA&#10;ACEAGH6CYOAAAAALAQAADwAAAGRycy9kb3ducmV2LnhtbEyPwU7DMBBE70j8g7VI3KhTJ0FtGqei&#10;lTgApxbE2Y23SdR4HcVuG/h6lhMcV/s086ZcT64XFxxD50nDfJaAQKq97ajR8PH+/LAAEaIha3pP&#10;qOELA6yr25vSFNZfaYeXfWwEh1AojIY2xqGQMtQtOhNmfkDi39GPzkQ+x0ba0Vw53PVSJcmjdKYj&#10;bmjNgNsW69P+7Lj3bZMp9ak2+an/3r6aYz5Y/6L1/d30tAIRcYp/MPzqszpU7HTwZ7JB9BoWKlWM&#10;alDzPAPBxDJLeMxBQ6rSDGRVyv8bqh8AAAD//wMAUEsBAi0AFAAGAAgAAAAhALaDOJL+AAAA4QEA&#10;ABMAAAAAAAAAAAAAAAAAAAAAAFtDb250ZW50X1R5cGVzXS54bWxQSwECLQAUAAYACAAAACEAOP0h&#10;/9YAAACUAQAACwAAAAAAAAAAAAAAAAAvAQAAX3JlbHMvLnJlbHNQSwECLQAUAAYACAAAACEAooSl&#10;bkgCAACNBAAADgAAAAAAAAAAAAAAAAAuAgAAZHJzL2Uyb0RvYy54bWxQSwECLQAUAAYACAAAACEA&#10;GH6CYOAAAAALAQAADwAAAAAAAAAAAAAAAACiBAAAZHJzL2Rvd25yZXYueG1sUEsFBgAAAAAEAAQA&#10;8wAAAK8FAAAAAA==&#10;" filled="f" strokecolor="red" strokeweight="2pt"/>
            </w:pict>
          </mc:Fallback>
        </mc:AlternateContent>
      </w:r>
      <w:r w:rsidRPr="00706A8A">
        <w:rPr>
          <w:rFonts w:ascii="Arial" w:hAnsi="Arial" w:cs="Arial"/>
          <w:noProof/>
          <w:sz w:val="24"/>
          <w:szCs w:val="24"/>
        </w:rPr>
        <w:drawing>
          <wp:inline distT="0" distB="0" distL="0" distR="0" wp14:anchorId="4AF19643" wp14:editId="61A5AAE8">
            <wp:extent cx="5943600" cy="93154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931545"/>
                    </a:xfrm>
                    <a:prstGeom prst="rect">
                      <a:avLst/>
                    </a:prstGeom>
                  </pic:spPr>
                </pic:pic>
              </a:graphicData>
            </a:graphic>
          </wp:inline>
        </w:drawing>
      </w:r>
      <w:r w:rsidR="00E03B6B" w:rsidRPr="00D25FDF">
        <w:rPr>
          <w:rFonts w:ascii="Arial" w:hAnsi="Arial" w:cs="Arial"/>
          <w:noProof/>
          <w:sz w:val="24"/>
          <w:szCs w:val="24"/>
        </w:rPr>
        <w:drawing>
          <wp:inline distT="0" distB="0" distL="0" distR="0" wp14:anchorId="08FBA916" wp14:editId="39926585">
            <wp:extent cx="5943600" cy="1110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110615"/>
                    </a:xfrm>
                    <a:prstGeom prst="rect">
                      <a:avLst/>
                    </a:prstGeom>
                  </pic:spPr>
                </pic:pic>
              </a:graphicData>
            </a:graphic>
          </wp:inline>
        </w:drawing>
      </w:r>
    </w:p>
    <w:p w14:paraId="3FDFA7D4" w14:textId="3A5D2169" w:rsidR="00E03B6B" w:rsidRPr="004D6191" w:rsidRDefault="00E03B6B" w:rsidP="00E03B6B">
      <w:pPr>
        <w:spacing w:after="240" w:line="240" w:lineRule="auto"/>
        <w:rPr>
          <w:rFonts w:ascii="Arial" w:hAnsi="Arial" w:cs="Arial"/>
          <w:b/>
          <w:bCs/>
          <w:sz w:val="24"/>
          <w:szCs w:val="24"/>
        </w:rPr>
      </w:pPr>
      <w:r w:rsidRPr="004D6191">
        <w:rPr>
          <w:rFonts w:ascii="Arial" w:hAnsi="Arial" w:cs="Arial"/>
          <w:b/>
          <w:bCs/>
          <w:sz w:val="24"/>
          <w:szCs w:val="24"/>
        </w:rPr>
        <w:t xml:space="preserve">Question: </w:t>
      </w:r>
    </w:p>
    <w:p w14:paraId="02365420" w14:textId="3E2642D3" w:rsidR="00E03B6B" w:rsidRDefault="00E03B6B" w:rsidP="00E328DF">
      <w:pPr>
        <w:pStyle w:val="ListParagraph"/>
        <w:numPr>
          <w:ilvl w:val="0"/>
          <w:numId w:val="12"/>
        </w:numPr>
        <w:spacing w:after="240" w:line="240" w:lineRule="auto"/>
        <w:rPr>
          <w:sz w:val="24"/>
          <w:szCs w:val="24"/>
        </w:rPr>
      </w:pPr>
      <w:r w:rsidRPr="00E328DF">
        <w:rPr>
          <w:sz w:val="24"/>
          <w:szCs w:val="24"/>
        </w:rPr>
        <w:t>Please confirm the accuracy of these updates in the rate generator.</w:t>
      </w:r>
    </w:p>
    <w:p w14:paraId="5CDE7F27" w14:textId="6069D5A8" w:rsidR="007E6007" w:rsidRDefault="007E6007" w:rsidP="007E6007">
      <w:pPr>
        <w:spacing w:after="240" w:line="240" w:lineRule="auto"/>
        <w:rPr>
          <w:rFonts w:ascii="Arial" w:hAnsi="Arial" w:cs="Arial"/>
          <w:b/>
          <w:bCs/>
          <w:sz w:val="24"/>
          <w:szCs w:val="24"/>
        </w:rPr>
      </w:pPr>
      <w:r w:rsidRPr="007E6007">
        <w:rPr>
          <w:rFonts w:ascii="Arial" w:hAnsi="Arial" w:cs="Arial"/>
          <w:b/>
          <w:bCs/>
          <w:sz w:val="24"/>
          <w:szCs w:val="24"/>
        </w:rPr>
        <w:t>Main RZ</w:t>
      </w:r>
    </w:p>
    <w:p w14:paraId="573673EF" w14:textId="57F96996" w:rsidR="007E6007" w:rsidRDefault="0067197D" w:rsidP="007E6007">
      <w:pPr>
        <w:spacing w:after="240" w:line="240" w:lineRule="auto"/>
        <w:rPr>
          <w:rFonts w:ascii="Arial" w:hAnsi="Arial" w:cs="Arial"/>
          <w:sz w:val="24"/>
          <w:szCs w:val="24"/>
        </w:rPr>
      </w:pPr>
      <w:r>
        <w:rPr>
          <w:rFonts w:ascii="Arial" w:hAnsi="Arial" w:cs="Arial"/>
          <w:b/>
          <w:bCs/>
          <w:sz w:val="24"/>
          <w:szCs w:val="24"/>
        </w:rPr>
        <w:t>OEB Staff – 4</w:t>
      </w:r>
    </w:p>
    <w:p w14:paraId="415F23AA" w14:textId="321CB2C0" w:rsidR="0067197D" w:rsidRDefault="0067197D" w:rsidP="007E6007">
      <w:pPr>
        <w:spacing w:after="240" w:line="240" w:lineRule="auto"/>
        <w:rPr>
          <w:rFonts w:ascii="Arial" w:hAnsi="Arial" w:cs="Arial"/>
          <w:sz w:val="24"/>
          <w:szCs w:val="24"/>
        </w:rPr>
      </w:pPr>
      <w:r w:rsidRPr="0067197D">
        <w:rPr>
          <w:rFonts w:ascii="Arial" w:hAnsi="Arial" w:cs="Arial"/>
          <w:b/>
          <w:bCs/>
          <w:sz w:val="24"/>
          <w:szCs w:val="24"/>
        </w:rPr>
        <w:t>Ref: NTRZ 2023 Rate Generator Model, Tab 3</w:t>
      </w:r>
    </w:p>
    <w:p w14:paraId="12024B51" w14:textId="35781589" w:rsidR="0067197D" w:rsidRDefault="0067197D" w:rsidP="000D7747">
      <w:pPr>
        <w:spacing w:after="240" w:line="240" w:lineRule="auto"/>
        <w:rPr>
          <w:rFonts w:ascii="Arial" w:hAnsi="Arial" w:cs="Arial"/>
          <w:sz w:val="24"/>
          <w:szCs w:val="24"/>
        </w:rPr>
      </w:pPr>
      <w:r>
        <w:rPr>
          <w:rFonts w:ascii="Arial" w:hAnsi="Arial" w:cs="Arial"/>
          <w:sz w:val="24"/>
          <w:szCs w:val="24"/>
        </w:rPr>
        <w:lastRenderedPageBreak/>
        <w:t>OEB staff notes the following inputs for disposition in 2021 in Account 1595 (2016 and pre-2016), which cannot be reconciled with the Decision and Order EB-2020-0041.</w:t>
      </w:r>
    </w:p>
    <w:p w14:paraId="518823F3" w14:textId="6FA946A7" w:rsidR="0067197D" w:rsidRDefault="0067197D" w:rsidP="007E6007">
      <w:pPr>
        <w:spacing w:after="240"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763D52ED" wp14:editId="2ED87737">
                <wp:simplePos x="0" y="0"/>
                <wp:positionH relativeFrom="column">
                  <wp:posOffset>1174115</wp:posOffset>
                </wp:positionH>
                <wp:positionV relativeFrom="paragraph">
                  <wp:posOffset>1571429</wp:posOffset>
                </wp:positionV>
                <wp:extent cx="330200" cy="182880"/>
                <wp:effectExtent l="0" t="0" r="12700" b="26670"/>
                <wp:wrapNone/>
                <wp:docPr id="9" name="Oval 9"/>
                <wp:cNvGraphicFramePr/>
                <a:graphic xmlns:a="http://schemas.openxmlformats.org/drawingml/2006/main">
                  <a:graphicData uri="http://schemas.microsoft.com/office/word/2010/wordprocessingShape">
                    <wps:wsp>
                      <wps:cNvSpPr/>
                      <wps:spPr>
                        <a:xfrm>
                          <a:off x="0" y="0"/>
                          <a:ext cx="330200" cy="1828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53374A1" id="Oval 9" o:spid="_x0000_s1026" style="position:absolute;margin-left:92.45pt;margin-top:123.75pt;width:26pt;height:14.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lOzfgIAAGEFAAAOAAAAZHJzL2Uyb0RvYy54bWysVEtv2zAMvg/YfxB0X2yn6ZYFdYqgRYYB&#10;RVu0HXpWZCkWIIuapMTJfv0o+ZFgLXYY5oMsiuTHN6+uD40me+G8AlPSYpJTIgyHSpltSX+8rD/N&#10;KfGBmYppMKKkR+Hp9fLjh6vWLsQUatCVcARBjF+0tqR1CHaRZZ7XomF+AlYYZEpwDQtIum1WOdYi&#10;eqOzaZ5/zlpwlXXAhff4etsx6TLhSyl4eJDSi0B0SdG3kE6Xzk08s+UVW2wds7XivRvsH7xomDJo&#10;dIS6ZYGRnVNvoBrFHXiQYcKhyUBKxUWKAaMp8j+iea6ZFSkWTI63Y5r8/4Pl9/tn++gwDa31C4/X&#10;GMVBuib+0T9ySMk6jskSh0A4Pl5c5FgASjiyivl0Pk/JzE7K1vnwTUBD4qWkQmtlfQyHLdj+zge0&#10;idKDVHw2sFZap5JoEx88aFXFt0S47eZGO7JnWMv1Oscvlg8xzsSQiqrZKZp0C0ctIoY2T0ISVaH/&#10;0+RJajQxwjLOhQlFx6pZJTprl+fGYmtGjWQ6AUZkiV6O2D3AINmBDNidz718VBWpT0fl/G+Odcqj&#10;RrIMJozKjTLg3gPQGFVvuZMfktSlJmZpA9Xx0REH3ZR4y9cKS3fHfHhkDscCq42jHh7wkBrakkJ/&#10;o6QG9+u99yiP3YpcSlocs5L6nzvmBCX6u8E+/lrMZnEuEzG7/DJFwp1zNuccs2tuAKtf4FKxPF2j&#10;fNDDVTpoXnEjrKJVZDHD0XZJeXADcRO68cedwsVqlcRwFi0Ld+bZ8ggesxr78uXwypzt+zdg49/D&#10;MJJveriTjZoGVrsAUqUGP+W1zzfOcWqcfufERXFOJ6nTZlz+BgAA//8DAFBLAwQUAAYACAAAACEA&#10;+UVYW98AAAALAQAADwAAAGRycy9kb3ducmV2LnhtbEyPQU/DMAyF70j8h8hI3FhK1najNJ3YJA6w&#10;EwNx9hqvrdYkVZNthV+POcHNz35673O5mmwvzjSGzjsN97MEBLnam841Gj7en++WIEJEZ7D3jjR8&#10;UYBVdX1VYmH8xb3ReRcbwSEuFKihjXEopAx1SxbDzA/k+Hbwo8XIcmykGfHC4baXKklyabFz3NDi&#10;QJuW6uPuZLl3u06V+lTr7Nh/b17xkA3Gv2h9ezM9PYKINMU/M/ziMzpUzLT3J2eC6Fkv0we2alDp&#10;IgPBDjXPebPnYZHPQVal/P9D9QMAAP//AwBQSwECLQAUAAYACAAAACEAtoM4kv4AAADhAQAAEwAA&#10;AAAAAAAAAAAAAAAAAAAAW0NvbnRlbnRfVHlwZXNdLnhtbFBLAQItABQABgAIAAAAIQA4/SH/1gAA&#10;AJQBAAALAAAAAAAAAAAAAAAAAC8BAABfcmVscy8ucmVsc1BLAQItABQABgAIAAAAIQC9PlOzfgIA&#10;AGEFAAAOAAAAAAAAAAAAAAAAAC4CAABkcnMvZTJvRG9jLnhtbFBLAQItABQABgAIAAAAIQD5RVhb&#10;3wAAAAsBAAAPAAAAAAAAAAAAAAAAANgEAABkcnMvZG93bnJldi54bWxQSwUGAAAAAAQABADzAAAA&#10;5AUAAAAA&#10;" filled="f" strokecolor="red" strokeweight="2pt"/>
            </w:pict>
          </mc:Fallback>
        </mc:AlternateContent>
      </w:r>
      <w:r>
        <w:rPr>
          <w:rFonts w:ascii="Arial" w:hAnsi="Arial" w:cs="Arial"/>
          <w:noProof/>
          <w:sz w:val="24"/>
          <w:szCs w:val="24"/>
        </w:rPr>
        <mc:AlternateContent>
          <mc:Choice Requires="wps">
            <w:drawing>
              <wp:anchor distT="0" distB="0" distL="114300" distR="114300" simplePos="0" relativeHeight="251663360" behindDoc="0" locked="0" layoutInCell="1" allowOverlap="1" wp14:anchorId="1A42E30D" wp14:editId="511E8B00">
                <wp:simplePos x="0" y="0"/>
                <wp:positionH relativeFrom="column">
                  <wp:posOffset>3889717</wp:posOffset>
                </wp:positionH>
                <wp:positionV relativeFrom="paragraph">
                  <wp:posOffset>1578659</wp:posOffset>
                </wp:positionV>
                <wp:extent cx="330591" cy="189914"/>
                <wp:effectExtent l="0" t="0" r="12700" b="19685"/>
                <wp:wrapNone/>
                <wp:docPr id="10" name="Oval 10"/>
                <wp:cNvGraphicFramePr/>
                <a:graphic xmlns:a="http://schemas.openxmlformats.org/drawingml/2006/main">
                  <a:graphicData uri="http://schemas.microsoft.com/office/word/2010/wordprocessingShape">
                    <wps:wsp>
                      <wps:cNvSpPr/>
                      <wps:spPr>
                        <a:xfrm>
                          <a:off x="0" y="0"/>
                          <a:ext cx="330591" cy="189914"/>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0A2934B" id="Oval 10" o:spid="_x0000_s1026" style="position:absolute;margin-left:306.3pt;margin-top:124.3pt;width:26.05pt;height:14.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IqcRQIAAI0EAAAOAAAAZHJzL2Uyb0RvYy54bWysVMFu2zAMvQ/YPwi6r3bSdGuDOkXQIsOA&#10;og3QDj0zshQbkEWNUuJ0Xz9Kdptu3WlYDgopMk/k42Murw6dFXtNoUVXyclJKYV2CuvWbSv5/XH1&#10;6VyKEMHVYNHpSj7rIK8WHz9c9n6up9igrTUJBnFh3vtKNjH6eVEE1egOwgl67ThokDqI7NK2qAl6&#10;Ru9sMS3Lz0WPVHtCpUPg25shKBcZ3xit4r0xQUdhK8m1xXxSPjfpLBaXMN8S+KZVYxnwD1V00Dp+&#10;9BXqBiKIHbXvoLpWEQY08URhV6AxrdK5B+5mUv7RzUMDXudemJzgX2kK/w9W3e0f/JqYht6HeWAz&#10;dXEw1KVvrk8cMlnPr2TpQxSKL09Py7OLiRSKQ5Pzi4vJLJFZHH/sKcSvGjuRjEpqa1sfUjswh/1t&#10;iEP2S1a6drhqrc0jsU70lZyezUqemgJWhrEQ2ex8XcngtlKA3bLkVKQMGdC2dfp5Agq03VxbEnvg&#10;sa9WJX/G4n5LS2/fQGiGvBwa06xLMDoLaCz1yE+yNlg/r0kQDooKXq1aRruFENdALCEum9ci3vNh&#10;LHIvOFpSNEg//3af8nmyHJWiZ0lynz92QFoK+83xzJniWdJwdmZnX6bs0NvI5m3E7bpr5PZ5RFxd&#10;NlN+tC+mIeyeeHuW6VUOgVP89sDo6FzHYVV4/5ReLnMa69ZDvHUPXiXwxFPi8fHwBOTHWUcWyR2+&#10;yPfdvIfcYeLLXUTTZjEceWUdJYc1nxU17mdaqrd+zjr+iyx+AQAA//8DAFBLAwQUAAYACAAAACEA&#10;7sGlTeAAAAALAQAADwAAAGRycy9kb3ducmV2LnhtbEyPzU7DMBCE70i8g7VI3KhTK3GjEKeilTgA&#10;JwrivI3dJKp/othtA0/PcqK33Z3RzLf1enaWnc0Uh+AVLBcZMOPboAffKfj8eH4ogcWEXqMN3ij4&#10;NhHWze1NjZUOF/9uzrvUMQrxsUIFfUpjxXlse+MwLsJoPGmHMDlMtE4d1xNeKNxZLrJMcoeDp4Ye&#10;R7PtTXvcnRz1vm1yIb7Epjjan+0rHopRhxel7u/mp0dgyczp3wx/+IQODTHtw8nryKwCuRSSrApE&#10;XtJADinzFbA9XVZlAbyp+fUPzS8AAAD//wMAUEsBAi0AFAAGAAgAAAAhALaDOJL+AAAA4QEAABMA&#10;AAAAAAAAAAAAAAAAAAAAAFtDb250ZW50X1R5cGVzXS54bWxQSwECLQAUAAYACAAAACEAOP0h/9YA&#10;AACUAQAACwAAAAAAAAAAAAAAAAAvAQAAX3JlbHMvLnJlbHNQSwECLQAUAAYACAAAACEABKSKnEUC&#10;AACNBAAADgAAAAAAAAAAAAAAAAAuAgAAZHJzL2Uyb0RvYy54bWxQSwECLQAUAAYACAAAACEA7sGl&#10;TeAAAAALAQAADwAAAAAAAAAAAAAAAACfBAAAZHJzL2Rvd25yZXYueG1sUEsFBgAAAAAEAAQA8wAA&#10;AKwFAAAAAA==&#10;" filled="f" strokecolor="red" strokeweight="2pt"/>
            </w:pict>
          </mc:Fallback>
        </mc:AlternateContent>
      </w:r>
      <w:r w:rsidRPr="0067197D">
        <w:rPr>
          <w:rFonts w:ascii="Arial" w:hAnsi="Arial" w:cs="Arial"/>
          <w:noProof/>
          <w:sz w:val="24"/>
          <w:szCs w:val="24"/>
        </w:rPr>
        <w:drawing>
          <wp:inline distT="0" distB="0" distL="0" distR="0" wp14:anchorId="4A4F6D9A" wp14:editId="642C91A6">
            <wp:extent cx="4883401" cy="259728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83401" cy="2597283"/>
                    </a:xfrm>
                    <a:prstGeom prst="rect">
                      <a:avLst/>
                    </a:prstGeom>
                  </pic:spPr>
                </pic:pic>
              </a:graphicData>
            </a:graphic>
          </wp:inline>
        </w:drawing>
      </w:r>
    </w:p>
    <w:p w14:paraId="4C08789E" w14:textId="4A74A56C" w:rsidR="0067197D" w:rsidRPr="000D7747" w:rsidRDefault="0067197D" w:rsidP="000D7747">
      <w:pPr>
        <w:spacing w:after="240" w:line="240" w:lineRule="auto"/>
        <w:rPr>
          <w:rFonts w:ascii="Arial" w:hAnsi="Arial" w:cs="Arial"/>
          <w:b/>
          <w:bCs/>
          <w:sz w:val="24"/>
          <w:szCs w:val="24"/>
        </w:rPr>
      </w:pPr>
      <w:r w:rsidRPr="000D7747">
        <w:rPr>
          <w:rFonts w:ascii="Arial" w:hAnsi="Arial" w:cs="Arial"/>
          <w:b/>
          <w:bCs/>
          <w:sz w:val="24"/>
          <w:szCs w:val="24"/>
        </w:rPr>
        <w:t>Question:</w:t>
      </w:r>
    </w:p>
    <w:p w14:paraId="77FAEE88" w14:textId="6BA976C8" w:rsidR="0067197D" w:rsidRDefault="0067197D" w:rsidP="000D7747">
      <w:pPr>
        <w:pStyle w:val="ListParagraph"/>
        <w:numPr>
          <w:ilvl w:val="0"/>
          <w:numId w:val="16"/>
        </w:numPr>
        <w:spacing w:after="240" w:line="240" w:lineRule="auto"/>
        <w:rPr>
          <w:sz w:val="24"/>
          <w:szCs w:val="24"/>
        </w:rPr>
      </w:pPr>
      <w:r>
        <w:rPr>
          <w:sz w:val="24"/>
          <w:szCs w:val="24"/>
        </w:rPr>
        <w:t xml:space="preserve">Please explain </w:t>
      </w:r>
      <w:r w:rsidR="000D7747">
        <w:rPr>
          <w:sz w:val="24"/>
          <w:szCs w:val="24"/>
        </w:rPr>
        <w:t xml:space="preserve">the difference and update the rate generator if necessary. </w:t>
      </w:r>
    </w:p>
    <w:p w14:paraId="0F87BC30" w14:textId="77777777" w:rsidR="000C789E" w:rsidRDefault="000D7747" w:rsidP="000D7747">
      <w:pPr>
        <w:pStyle w:val="ListParagraph"/>
        <w:numPr>
          <w:ilvl w:val="0"/>
          <w:numId w:val="16"/>
        </w:numPr>
        <w:spacing w:after="240" w:line="240" w:lineRule="auto"/>
        <w:rPr>
          <w:sz w:val="24"/>
          <w:szCs w:val="24"/>
        </w:rPr>
      </w:pPr>
      <w:r>
        <w:rPr>
          <w:sz w:val="24"/>
          <w:szCs w:val="24"/>
        </w:rPr>
        <w:t>Please provide the amount that has been transferred to account 1595 (2021) and update the RG accordingly.</w:t>
      </w:r>
    </w:p>
    <w:p w14:paraId="5A026D17" w14:textId="0698E293" w:rsidR="000D7747" w:rsidRPr="000C789E" w:rsidRDefault="000C789E" w:rsidP="000C789E">
      <w:pPr>
        <w:pStyle w:val="ListParagraph"/>
        <w:numPr>
          <w:ilvl w:val="0"/>
          <w:numId w:val="16"/>
        </w:numPr>
        <w:spacing w:after="240" w:line="240" w:lineRule="auto"/>
        <w:rPr>
          <w:sz w:val="24"/>
          <w:szCs w:val="24"/>
        </w:rPr>
      </w:pPr>
      <w:r>
        <w:rPr>
          <w:sz w:val="24"/>
          <w:szCs w:val="24"/>
        </w:rPr>
        <w:t>Please complete the 1595 Workform for all applicable years.</w:t>
      </w:r>
      <w:r w:rsidR="000D7747" w:rsidRPr="000C789E">
        <w:rPr>
          <w:sz w:val="24"/>
          <w:szCs w:val="24"/>
        </w:rPr>
        <w:t xml:space="preserve"> </w:t>
      </w:r>
    </w:p>
    <w:p w14:paraId="14C84E6B" w14:textId="40A85EA2" w:rsidR="00B9721C" w:rsidRPr="00D64BB9" w:rsidRDefault="00B9721C" w:rsidP="00B9721C">
      <w:pPr>
        <w:spacing w:after="240" w:line="240" w:lineRule="auto"/>
        <w:rPr>
          <w:rFonts w:ascii="Arial" w:hAnsi="Arial" w:cs="Arial"/>
          <w:b/>
          <w:bCs/>
          <w:sz w:val="24"/>
          <w:szCs w:val="24"/>
        </w:rPr>
      </w:pPr>
      <w:r>
        <w:rPr>
          <w:rFonts w:ascii="Arial" w:hAnsi="Arial" w:cs="Arial"/>
          <w:b/>
          <w:bCs/>
          <w:sz w:val="24"/>
          <w:szCs w:val="24"/>
        </w:rPr>
        <w:t>OEB Staff - 5</w:t>
      </w:r>
    </w:p>
    <w:p w14:paraId="637526F3" w14:textId="497D0592" w:rsidR="00B9721C" w:rsidRDefault="00B9721C" w:rsidP="00B9721C">
      <w:pPr>
        <w:spacing w:after="0"/>
        <w:rPr>
          <w:rFonts w:ascii="Arial" w:hAnsi="Arial" w:cs="Arial"/>
          <w:sz w:val="24"/>
          <w:szCs w:val="24"/>
        </w:rPr>
      </w:pPr>
      <w:r w:rsidRPr="00D64BB9">
        <w:rPr>
          <w:rFonts w:ascii="Arial" w:hAnsi="Arial" w:cs="Arial"/>
          <w:b/>
          <w:bCs/>
          <w:sz w:val="24"/>
          <w:szCs w:val="24"/>
        </w:rPr>
        <w:t xml:space="preserve">Ref: </w:t>
      </w:r>
      <w:r w:rsidRPr="0006266C">
        <w:rPr>
          <w:rFonts w:ascii="Arial" w:hAnsi="Arial" w:cs="Arial"/>
          <w:b/>
          <w:bCs/>
          <w:sz w:val="24"/>
          <w:szCs w:val="24"/>
        </w:rPr>
        <w:t>N</w:t>
      </w:r>
      <w:r>
        <w:rPr>
          <w:rFonts w:ascii="Arial" w:hAnsi="Arial" w:cs="Arial"/>
          <w:b/>
          <w:bCs/>
          <w:sz w:val="24"/>
          <w:szCs w:val="24"/>
        </w:rPr>
        <w:t>TRZ</w:t>
      </w:r>
      <w:r w:rsidRPr="00D64BB9">
        <w:rPr>
          <w:rFonts w:ascii="Arial" w:hAnsi="Arial" w:cs="Arial"/>
          <w:b/>
          <w:bCs/>
          <w:sz w:val="24"/>
          <w:szCs w:val="24"/>
        </w:rPr>
        <w:t>, GA Analysis WorkForm</w:t>
      </w:r>
      <w:r>
        <w:rPr>
          <w:rFonts w:ascii="Arial" w:hAnsi="Arial" w:cs="Arial"/>
          <w:b/>
          <w:bCs/>
          <w:sz w:val="24"/>
          <w:szCs w:val="24"/>
        </w:rPr>
        <w:t>, Tab GA2021</w:t>
      </w:r>
      <w:r w:rsidRPr="00D64BB9">
        <w:rPr>
          <w:rFonts w:ascii="Arial" w:hAnsi="Arial" w:cs="Arial"/>
          <w:b/>
          <w:bCs/>
          <w:sz w:val="24"/>
          <w:szCs w:val="24"/>
        </w:rPr>
        <w:t xml:space="preserve"> </w:t>
      </w:r>
      <w:r w:rsidRPr="00D64BB9">
        <w:rPr>
          <w:rFonts w:ascii="Arial" w:hAnsi="Arial" w:cs="Arial"/>
          <w:b/>
          <w:bCs/>
          <w:sz w:val="24"/>
          <w:szCs w:val="24"/>
        </w:rPr>
        <w:br/>
      </w:r>
    </w:p>
    <w:p w14:paraId="1FB0B031" w14:textId="4B46ABED" w:rsidR="00191351" w:rsidRDefault="00B9721C" w:rsidP="00B9721C">
      <w:pPr>
        <w:spacing w:after="0"/>
        <w:rPr>
          <w:rFonts w:ascii="Arial" w:hAnsi="Arial" w:cs="Arial"/>
          <w:sz w:val="24"/>
          <w:szCs w:val="24"/>
        </w:rPr>
      </w:pPr>
      <w:r w:rsidRPr="00560CB7">
        <w:rPr>
          <w:rFonts w:ascii="Arial" w:hAnsi="Arial" w:cs="Arial"/>
          <w:sz w:val="24"/>
          <w:szCs w:val="24"/>
        </w:rPr>
        <w:t xml:space="preserve">OEB staff calculated the actual loss factor below based on information in the GA Analysis Workform. </w:t>
      </w:r>
    </w:p>
    <w:p w14:paraId="0EEDC17E" w14:textId="77777777" w:rsidR="00191351" w:rsidRDefault="00191351" w:rsidP="00B9721C">
      <w:pPr>
        <w:spacing w:after="0"/>
        <w:rPr>
          <w:rFonts w:ascii="Arial" w:hAnsi="Arial" w:cs="Arial"/>
          <w:sz w:val="24"/>
          <w:szCs w:val="24"/>
        </w:rPr>
      </w:pPr>
    </w:p>
    <w:tbl>
      <w:tblPr>
        <w:tblW w:w="0" w:type="auto"/>
        <w:tblCellMar>
          <w:left w:w="0" w:type="dxa"/>
          <w:right w:w="0" w:type="dxa"/>
        </w:tblCellMar>
        <w:tblLook w:val="04A0" w:firstRow="1" w:lastRow="0" w:firstColumn="1" w:lastColumn="0" w:noHBand="0" w:noVBand="1"/>
      </w:tblPr>
      <w:tblGrid>
        <w:gridCol w:w="4670"/>
        <w:gridCol w:w="4410"/>
      </w:tblGrid>
      <w:tr w:rsidR="00B9721C" w:rsidRPr="00560CB7" w14:paraId="418F2CAC" w14:textId="77777777" w:rsidTr="006A6574">
        <w:tc>
          <w:tcPr>
            <w:tcW w:w="467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421471A" w14:textId="77777777" w:rsidR="00B9721C" w:rsidRPr="005A4595" w:rsidRDefault="00B9721C" w:rsidP="006A6574">
            <w:pPr>
              <w:spacing w:line="264" w:lineRule="auto"/>
              <w:rPr>
                <w:rFonts w:ascii="Arial" w:hAnsi="Arial" w:cs="Arial"/>
                <w:b/>
                <w:bCs/>
                <w:highlight w:val="yellow"/>
              </w:rPr>
            </w:pPr>
            <w:r>
              <w:rPr>
                <w:rFonts w:ascii="Arial" w:hAnsi="Arial" w:cs="Arial"/>
                <w:b/>
                <w:bCs/>
              </w:rPr>
              <w:t>NRTZ</w:t>
            </w:r>
          </w:p>
        </w:tc>
        <w:tc>
          <w:tcPr>
            <w:tcW w:w="4410" w:type="dxa"/>
            <w:tcBorders>
              <w:top w:val="single" w:sz="8" w:space="0" w:color="auto"/>
              <w:left w:val="nil"/>
              <w:bottom w:val="single" w:sz="8" w:space="0" w:color="auto"/>
              <w:right w:val="single" w:sz="8" w:space="0" w:color="auto"/>
            </w:tcBorders>
          </w:tcPr>
          <w:p w14:paraId="5BB172D5" w14:textId="77777777" w:rsidR="00B9721C" w:rsidRPr="005A4595" w:rsidRDefault="00B9721C" w:rsidP="006A6574">
            <w:pPr>
              <w:spacing w:line="264" w:lineRule="auto"/>
              <w:jc w:val="center"/>
              <w:rPr>
                <w:rFonts w:ascii="Arial" w:hAnsi="Arial" w:cs="Arial"/>
                <w:b/>
                <w:bCs/>
              </w:rPr>
            </w:pPr>
            <w:r w:rsidRPr="005A4595">
              <w:rPr>
                <w:rFonts w:ascii="Arial" w:hAnsi="Arial" w:cs="Arial"/>
                <w:b/>
                <w:bCs/>
              </w:rPr>
              <w:t>2021</w:t>
            </w:r>
          </w:p>
        </w:tc>
      </w:tr>
      <w:tr w:rsidR="00B9721C" w:rsidRPr="00560CB7" w14:paraId="15E240CD" w14:textId="77777777" w:rsidTr="006A6574">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18D6A" w14:textId="77777777" w:rsidR="00B9721C" w:rsidRPr="005A4595" w:rsidRDefault="00B9721C" w:rsidP="006A6574">
            <w:pPr>
              <w:spacing w:line="264" w:lineRule="auto"/>
              <w:rPr>
                <w:rFonts w:ascii="Arial" w:hAnsi="Arial" w:cs="Arial"/>
                <w:highlight w:val="yellow"/>
              </w:rPr>
            </w:pPr>
            <w:r w:rsidRPr="005A4595">
              <w:rPr>
                <w:rFonts w:ascii="Arial" w:hAnsi="Arial" w:cs="Arial"/>
              </w:rPr>
              <w:t>Non-RPP retail kWh, including loss (A)</w:t>
            </w:r>
          </w:p>
        </w:tc>
        <w:tc>
          <w:tcPr>
            <w:tcW w:w="4410" w:type="dxa"/>
            <w:tcBorders>
              <w:top w:val="nil"/>
              <w:left w:val="nil"/>
              <w:bottom w:val="single" w:sz="8" w:space="0" w:color="auto"/>
              <w:right w:val="single" w:sz="8" w:space="0" w:color="auto"/>
            </w:tcBorders>
          </w:tcPr>
          <w:p w14:paraId="328AE790" w14:textId="77777777" w:rsidR="00B9721C" w:rsidRPr="005A4595" w:rsidRDefault="00B9721C" w:rsidP="006A6574">
            <w:pPr>
              <w:spacing w:line="264" w:lineRule="auto"/>
              <w:jc w:val="center"/>
              <w:rPr>
                <w:rFonts w:ascii="Arial" w:hAnsi="Arial" w:cs="Arial"/>
              </w:rPr>
            </w:pPr>
            <w:r>
              <w:rPr>
                <w:rFonts w:ascii="Arial" w:hAnsi="Arial" w:cs="Arial"/>
              </w:rPr>
              <w:t>187,795,660</w:t>
            </w:r>
          </w:p>
        </w:tc>
      </w:tr>
      <w:tr w:rsidR="00B9721C" w:rsidRPr="00560CB7" w14:paraId="38829F77" w14:textId="77777777" w:rsidTr="006A6574">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DCC8DF" w14:textId="77777777" w:rsidR="00B9721C" w:rsidRPr="00C55904" w:rsidRDefault="00B9721C" w:rsidP="006A6574">
            <w:pPr>
              <w:spacing w:line="264" w:lineRule="auto"/>
              <w:rPr>
                <w:rFonts w:ascii="Arial" w:hAnsi="Arial" w:cs="Arial"/>
                <w:b/>
                <w:bCs/>
                <w:highlight w:val="yellow"/>
              </w:rPr>
            </w:pPr>
            <w:r w:rsidRPr="00C55904">
              <w:rPr>
                <w:rFonts w:ascii="Arial" w:hAnsi="Arial" w:cs="Arial"/>
                <w:b/>
                <w:bCs/>
              </w:rPr>
              <w:t>Approved loss factor (B)</w:t>
            </w:r>
          </w:p>
        </w:tc>
        <w:tc>
          <w:tcPr>
            <w:tcW w:w="4410" w:type="dxa"/>
            <w:tcBorders>
              <w:top w:val="nil"/>
              <w:left w:val="nil"/>
              <w:bottom w:val="single" w:sz="8" w:space="0" w:color="auto"/>
              <w:right w:val="single" w:sz="8" w:space="0" w:color="auto"/>
            </w:tcBorders>
          </w:tcPr>
          <w:p w14:paraId="6812E907" w14:textId="77777777" w:rsidR="00B9721C" w:rsidRPr="00C55904" w:rsidRDefault="00B9721C" w:rsidP="006A6574">
            <w:pPr>
              <w:spacing w:line="264" w:lineRule="auto"/>
              <w:jc w:val="center"/>
              <w:rPr>
                <w:rFonts w:ascii="Arial" w:hAnsi="Arial" w:cs="Arial"/>
                <w:b/>
                <w:bCs/>
              </w:rPr>
            </w:pPr>
            <w:r w:rsidRPr="00C55904">
              <w:rPr>
                <w:rFonts w:ascii="Arial" w:hAnsi="Arial" w:cs="Arial"/>
                <w:b/>
                <w:bCs/>
              </w:rPr>
              <w:t>1.03</w:t>
            </w:r>
            <w:r>
              <w:rPr>
                <w:rFonts w:ascii="Arial" w:hAnsi="Arial" w:cs="Arial"/>
                <w:b/>
                <w:bCs/>
              </w:rPr>
              <w:t>83</w:t>
            </w:r>
          </w:p>
        </w:tc>
      </w:tr>
      <w:tr w:rsidR="00B9721C" w:rsidRPr="00560CB7" w14:paraId="5B487ADB" w14:textId="77777777" w:rsidTr="006A6574">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2C5D9E" w14:textId="77777777" w:rsidR="00B9721C" w:rsidRPr="005A4595" w:rsidRDefault="00B9721C" w:rsidP="006A6574">
            <w:pPr>
              <w:spacing w:line="264" w:lineRule="auto"/>
              <w:rPr>
                <w:rFonts w:ascii="Arial" w:hAnsi="Arial" w:cs="Arial"/>
              </w:rPr>
            </w:pPr>
            <w:r w:rsidRPr="005A4595">
              <w:rPr>
                <w:rFonts w:ascii="Arial" w:hAnsi="Arial" w:cs="Arial"/>
              </w:rPr>
              <w:t>Non-RPP retail kWh excluding loss (C = A/B)</w:t>
            </w:r>
          </w:p>
        </w:tc>
        <w:tc>
          <w:tcPr>
            <w:tcW w:w="4410" w:type="dxa"/>
            <w:tcBorders>
              <w:top w:val="nil"/>
              <w:left w:val="nil"/>
              <w:bottom w:val="single" w:sz="8" w:space="0" w:color="auto"/>
              <w:right w:val="single" w:sz="8" w:space="0" w:color="auto"/>
            </w:tcBorders>
          </w:tcPr>
          <w:p w14:paraId="6F103184" w14:textId="77777777" w:rsidR="00B9721C" w:rsidRPr="005A4595" w:rsidRDefault="00B9721C" w:rsidP="006A6574">
            <w:pPr>
              <w:jc w:val="center"/>
              <w:rPr>
                <w:rFonts w:ascii="Arial" w:hAnsi="Arial" w:cs="Arial"/>
              </w:rPr>
            </w:pPr>
            <w:r>
              <w:rPr>
                <w:rFonts w:ascii="Arial" w:hAnsi="Arial" w:cs="Arial"/>
              </w:rPr>
              <w:t>180,868,400</w:t>
            </w:r>
          </w:p>
        </w:tc>
      </w:tr>
      <w:tr w:rsidR="00B9721C" w:rsidRPr="00560CB7" w14:paraId="1D756E36" w14:textId="77777777" w:rsidTr="006A6574">
        <w:trPr>
          <w:trHeight w:val="394"/>
        </w:trPr>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9DFE9A" w14:textId="77777777" w:rsidR="00B9721C" w:rsidRPr="005A4595" w:rsidRDefault="00B9721C" w:rsidP="006A6574">
            <w:pPr>
              <w:spacing w:line="264" w:lineRule="auto"/>
              <w:rPr>
                <w:rFonts w:ascii="Arial" w:hAnsi="Arial" w:cs="Arial"/>
              </w:rPr>
            </w:pPr>
            <w:r w:rsidRPr="005A4595">
              <w:rPr>
                <w:rFonts w:ascii="Arial" w:hAnsi="Arial" w:cs="Arial"/>
              </w:rPr>
              <w:t>Non-RPP wholesale kWh (D)</w:t>
            </w:r>
          </w:p>
        </w:tc>
        <w:tc>
          <w:tcPr>
            <w:tcW w:w="4410" w:type="dxa"/>
            <w:tcBorders>
              <w:top w:val="nil"/>
              <w:left w:val="nil"/>
              <w:bottom w:val="single" w:sz="8" w:space="0" w:color="auto"/>
              <w:right w:val="single" w:sz="8" w:space="0" w:color="auto"/>
            </w:tcBorders>
          </w:tcPr>
          <w:p w14:paraId="763D01A8" w14:textId="77777777" w:rsidR="00B9721C" w:rsidRPr="005A4595" w:rsidRDefault="00B9721C" w:rsidP="006A6574">
            <w:pPr>
              <w:jc w:val="center"/>
              <w:rPr>
                <w:rFonts w:ascii="Arial" w:hAnsi="Arial" w:cs="Arial"/>
              </w:rPr>
            </w:pPr>
            <w:r>
              <w:rPr>
                <w:rFonts w:ascii="Arial" w:hAnsi="Arial" w:cs="Arial"/>
              </w:rPr>
              <w:t>191,420,826</w:t>
            </w:r>
          </w:p>
        </w:tc>
      </w:tr>
      <w:tr w:rsidR="00B9721C" w:rsidRPr="00560CB7" w14:paraId="19B50CD5" w14:textId="77777777" w:rsidTr="006A6574">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11E1E9" w14:textId="77777777" w:rsidR="00B9721C" w:rsidRPr="00C55904" w:rsidRDefault="00B9721C" w:rsidP="006A6574">
            <w:pPr>
              <w:spacing w:line="264" w:lineRule="auto"/>
              <w:rPr>
                <w:rFonts w:ascii="Arial" w:hAnsi="Arial" w:cs="Arial"/>
                <w:b/>
                <w:bCs/>
              </w:rPr>
            </w:pPr>
            <w:r w:rsidRPr="00C55904">
              <w:rPr>
                <w:rFonts w:ascii="Arial" w:hAnsi="Arial" w:cs="Arial"/>
                <w:b/>
                <w:bCs/>
              </w:rPr>
              <w:t>Calculated actual loss factor (=D/C)</w:t>
            </w:r>
          </w:p>
        </w:tc>
        <w:tc>
          <w:tcPr>
            <w:tcW w:w="4410" w:type="dxa"/>
            <w:tcBorders>
              <w:top w:val="nil"/>
              <w:left w:val="nil"/>
              <w:bottom w:val="single" w:sz="8" w:space="0" w:color="auto"/>
              <w:right w:val="single" w:sz="8" w:space="0" w:color="auto"/>
            </w:tcBorders>
          </w:tcPr>
          <w:p w14:paraId="72148EBE" w14:textId="77777777" w:rsidR="00B9721C" w:rsidRPr="00C55904" w:rsidRDefault="00B9721C" w:rsidP="006A6574">
            <w:pPr>
              <w:spacing w:line="264" w:lineRule="auto"/>
              <w:jc w:val="center"/>
              <w:rPr>
                <w:rFonts w:ascii="Arial" w:hAnsi="Arial" w:cs="Arial"/>
                <w:b/>
                <w:bCs/>
              </w:rPr>
            </w:pPr>
            <w:r w:rsidRPr="00C55904">
              <w:rPr>
                <w:rFonts w:ascii="Arial" w:hAnsi="Arial" w:cs="Arial"/>
                <w:b/>
                <w:bCs/>
              </w:rPr>
              <w:t>1.0</w:t>
            </w:r>
            <w:r>
              <w:rPr>
                <w:rFonts w:ascii="Arial" w:hAnsi="Arial" w:cs="Arial"/>
                <w:b/>
                <w:bCs/>
              </w:rPr>
              <w:t>583</w:t>
            </w:r>
          </w:p>
        </w:tc>
      </w:tr>
    </w:tbl>
    <w:p w14:paraId="51B9F9F4" w14:textId="77777777" w:rsidR="00B9721C" w:rsidRDefault="00B9721C" w:rsidP="00B9721C"/>
    <w:p w14:paraId="6B8CC7EB" w14:textId="77777777" w:rsidR="00191351" w:rsidRPr="00191351" w:rsidRDefault="00191351" w:rsidP="00191351">
      <w:pPr>
        <w:spacing w:after="240" w:line="240" w:lineRule="auto"/>
        <w:rPr>
          <w:rFonts w:ascii="Arial" w:hAnsi="Arial" w:cs="Arial"/>
          <w:b/>
          <w:bCs/>
          <w:sz w:val="24"/>
          <w:szCs w:val="24"/>
        </w:rPr>
      </w:pPr>
      <w:r w:rsidRPr="00191351">
        <w:rPr>
          <w:rFonts w:ascii="Arial" w:hAnsi="Arial" w:cs="Arial"/>
          <w:b/>
          <w:bCs/>
          <w:sz w:val="24"/>
          <w:szCs w:val="24"/>
        </w:rPr>
        <w:lastRenderedPageBreak/>
        <w:t>Question:</w:t>
      </w:r>
    </w:p>
    <w:p w14:paraId="12DE770A" w14:textId="5B9DAD40" w:rsidR="00191351" w:rsidRPr="00191351" w:rsidRDefault="00191351" w:rsidP="00191351">
      <w:pPr>
        <w:pStyle w:val="ListParagraph"/>
        <w:numPr>
          <w:ilvl w:val="0"/>
          <w:numId w:val="20"/>
        </w:numPr>
        <w:spacing w:after="240" w:line="240" w:lineRule="auto"/>
        <w:rPr>
          <w:sz w:val="24"/>
          <w:szCs w:val="24"/>
        </w:rPr>
      </w:pPr>
      <w:r w:rsidRPr="00191351">
        <w:rPr>
          <w:sz w:val="24"/>
          <w:szCs w:val="24"/>
        </w:rPr>
        <w:t>Please comment on the reasonability of the calculated actual loss factor as compared to the actual losses that NT Power</w:t>
      </w:r>
      <w:r w:rsidR="009F1547">
        <w:rPr>
          <w:sz w:val="24"/>
          <w:szCs w:val="24"/>
        </w:rPr>
        <w:t xml:space="preserve"> has experienced </w:t>
      </w:r>
      <w:r w:rsidRPr="00191351">
        <w:rPr>
          <w:sz w:val="24"/>
          <w:szCs w:val="24"/>
        </w:rPr>
        <w:t>in NRTZ.</w:t>
      </w:r>
    </w:p>
    <w:p w14:paraId="7B896710" w14:textId="77777777" w:rsidR="00191351" w:rsidRDefault="00191351" w:rsidP="00191351">
      <w:pPr>
        <w:spacing w:after="0"/>
        <w:rPr>
          <w:rFonts w:ascii="Arial" w:hAnsi="Arial" w:cs="Arial"/>
          <w:sz w:val="24"/>
          <w:szCs w:val="24"/>
        </w:rPr>
      </w:pPr>
      <w:r w:rsidRPr="00560CB7">
        <w:rPr>
          <w:rFonts w:ascii="Arial" w:hAnsi="Arial" w:cs="Arial"/>
          <w:sz w:val="24"/>
          <w:szCs w:val="24"/>
        </w:rPr>
        <w:t xml:space="preserve"> </w:t>
      </w:r>
    </w:p>
    <w:p w14:paraId="0FADDA5C" w14:textId="30554E7D" w:rsidR="00B9721C" w:rsidRPr="00D64BB9" w:rsidRDefault="00B9721C" w:rsidP="00B9721C">
      <w:pPr>
        <w:spacing w:after="240" w:line="240" w:lineRule="auto"/>
        <w:rPr>
          <w:rFonts w:ascii="Arial" w:hAnsi="Arial" w:cs="Arial"/>
          <w:b/>
          <w:bCs/>
          <w:sz w:val="24"/>
          <w:szCs w:val="24"/>
        </w:rPr>
      </w:pPr>
      <w:r>
        <w:rPr>
          <w:rFonts w:ascii="Arial" w:hAnsi="Arial" w:cs="Arial"/>
          <w:b/>
          <w:bCs/>
          <w:sz w:val="24"/>
          <w:szCs w:val="24"/>
        </w:rPr>
        <w:t>OEB Staff - 6</w:t>
      </w:r>
    </w:p>
    <w:p w14:paraId="14263B23" w14:textId="267CE166" w:rsidR="00B9721C" w:rsidRPr="0052512E" w:rsidRDefault="00B9721C" w:rsidP="00B9721C">
      <w:pPr>
        <w:spacing w:after="0"/>
        <w:rPr>
          <w:rFonts w:ascii="Arial" w:hAnsi="Arial" w:cs="Arial"/>
          <w:b/>
          <w:bCs/>
          <w:sz w:val="24"/>
          <w:szCs w:val="24"/>
        </w:rPr>
      </w:pPr>
      <w:r w:rsidRPr="0052512E">
        <w:rPr>
          <w:rFonts w:ascii="Arial" w:hAnsi="Arial" w:cs="Arial"/>
          <w:b/>
          <w:bCs/>
          <w:sz w:val="24"/>
          <w:szCs w:val="24"/>
        </w:rPr>
        <w:t>Ref</w:t>
      </w:r>
      <w:r w:rsidR="005A71E1">
        <w:rPr>
          <w:rFonts w:ascii="Arial" w:hAnsi="Arial" w:cs="Arial"/>
          <w:b/>
          <w:bCs/>
          <w:sz w:val="24"/>
          <w:szCs w:val="24"/>
        </w:rPr>
        <w:t xml:space="preserve"> </w:t>
      </w:r>
      <w:r w:rsidRPr="0052512E">
        <w:rPr>
          <w:rFonts w:ascii="Arial" w:hAnsi="Arial" w:cs="Arial"/>
          <w:b/>
          <w:bCs/>
          <w:sz w:val="24"/>
          <w:szCs w:val="24"/>
        </w:rPr>
        <w:t>1: NT</w:t>
      </w:r>
      <w:r>
        <w:rPr>
          <w:rFonts w:ascii="Arial" w:hAnsi="Arial" w:cs="Arial"/>
          <w:b/>
          <w:bCs/>
          <w:sz w:val="24"/>
          <w:szCs w:val="24"/>
        </w:rPr>
        <w:t xml:space="preserve"> </w:t>
      </w:r>
      <w:r w:rsidRPr="0052512E">
        <w:rPr>
          <w:rFonts w:ascii="Arial" w:hAnsi="Arial" w:cs="Arial"/>
          <w:b/>
          <w:bCs/>
          <w:sz w:val="24"/>
          <w:szCs w:val="24"/>
        </w:rPr>
        <w:t>Power, 2023 Incentive ratemaking application, Page 6 of 22</w:t>
      </w:r>
    </w:p>
    <w:p w14:paraId="19B77772" w14:textId="1677F141" w:rsidR="00B9721C" w:rsidRDefault="00B9721C" w:rsidP="00B9721C">
      <w:pPr>
        <w:spacing w:after="0"/>
        <w:rPr>
          <w:rFonts w:ascii="Arial" w:hAnsi="Arial" w:cs="Arial"/>
          <w:b/>
          <w:bCs/>
          <w:sz w:val="24"/>
          <w:szCs w:val="24"/>
        </w:rPr>
      </w:pPr>
      <w:r w:rsidRPr="0052512E">
        <w:rPr>
          <w:rFonts w:ascii="Arial" w:hAnsi="Arial" w:cs="Arial"/>
          <w:b/>
          <w:bCs/>
          <w:sz w:val="24"/>
          <w:szCs w:val="24"/>
        </w:rPr>
        <w:t>Ref</w:t>
      </w:r>
      <w:r w:rsidR="005A71E1">
        <w:rPr>
          <w:rFonts w:ascii="Arial" w:hAnsi="Arial" w:cs="Arial"/>
          <w:b/>
          <w:bCs/>
          <w:sz w:val="24"/>
          <w:szCs w:val="24"/>
        </w:rPr>
        <w:t xml:space="preserve"> </w:t>
      </w:r>
      <w:r w:rsidRPr="0052512E">
        <w:rPr>
          <w:rFonts w:ascii="Arial" w:hAnsi="Arial" w:cs="Arial"/>
          <w:b/>
          <w:bCs/>
          <w:sz w:val="24"/>
          <w:szCs w:val="24"/>
        </w:rPr>
        <w:t>2: NT</w:t>
      </w:r>
      <w:r>
        <w:rPr>
          <w:rFonts w:ascii="Arial" w:hAnsi="Arial" w:cs="Arial"/>
          <w:b/>
          <w:bCs/>
          <w:sz w:val="24"/>
          <w:szCs w:val="24"/>
        </w:rPr>
        <w:t xml:space="preserve"> </w:t>
      </w:r>
      <w:r w:rsidRPr="0052512E">
        <w:rPr>
          <w:rFonts w:ascii="Arial" w:hAnsi="Arial" w:cs="Arial"/>
          <w:b/>
          <w:bCs/>
          <w:sz w:val="24"/>
          <w:szCs w:val="24"/>
        </w:rPr>
        <w:t>Power, 2023 Incentive ratemaking application, Page 11 of 22</w:t>
      </w:r>
    </w:p>
    <w:p w14:paraId="126F098E" w14:textId="676B84E7" w:rsidR="00F755DC" w:rsidRDefault="00F755DC" w:rsidP="00B9721C">
      <w:pPr>
        <w:spacing w:after="0"/>
        <w:rPr>
          <w:rFonts w:ascii="Arial" w:hAnsi="Arial" w:cs="Arial"/>
          <w:b/>
          <w:bCs/>
          <w:sz w:val="24"/>
          <w:szCs w:val="24"/>
        </w:rPr>
      </w:pPr>
      <w:r>
        <w:rPr>
          <w:rFonts w:ascii="Arial" w:hAnsi="Arial" w:cs="Arial"/>
          <w:b/>
          <w:bCs/>
          <w:sz w:val="24"/>
          <w:szCs w:val="24"/>
        </w:rPr>
        <w:t>Ref 3: NTRZ &amp; MRZ, 2023 Rate Generator Models, Tab3</w:t>
      </w:r>
      <w:r w:rsidR="00087EE9">
        <w:rPr>
          <w:rFonts w:ascii="Arial" w:hAnsi="Arial" w:cs="Arial"/>
          <w:b/>
          <w:bCs/>
          <w:sz w:val="24"/>
          <w:szCs w:val="24"/>
        </w:rPr>
        <w:t>, Cell BT41</w:t>
      </w:r>
    </w:p>
    <w:p w14:paraId="2E6E2010" w14:textId="77777777" w:rsidR="00B9721C" w:rsidRPr="0052512E" w:rsidRDefault="00B9721C" w:rsidP="00B9721C">
      <w:pPr>
        <w:spacing w:after="0"/>
        <w:rPr>
          <w:rFonts w:ascii="Arial" w:hAnsi="Arial" w:cs="Arial"/>
          <w:b/>
          <w:bCs/>
          <w:sz w:val="24"/>
          <w:szCs w:val="24"/>
        </w:rPr>
      </w:pPr>
    </w:p>
    <w:p w14:paraId="1D36CD8F" w14:textId="77777777" w:rsidR="00EC7A07" w:rsidRDefault="00EC7A07" w:rsidP="00B9721C">
      <w:pPr>
        <w:spacing w:after="0"/>
        <w:rPr>
          <w:rFonts w:ascii="Arial" w:hAnsi="Arial" w:cs="Arial"/>
          <w:sz w:val="24"/>
          <w:szCs w:val="24"/>
        </w:rPr>
      </w:pPr>
      <w:r w:rsidRPr="00EC7A07">
        <w:rPr>
          <w:rFonts w:ascii="Arial" w:hAnsi="Arial" w:cs="Arial"/>
          <w:sz w:val="24"/>
          <w:szCs w:val="24"/>
        </w:rPr>
        <w:t xml:space="preserve">OEB staff has compiled the following table based on the information provided in Reference 1 &amp; 2: </w:t>
      </w:r>
    </w:p>
    <w:p w14:paraId="55847FAF" w14:textId="71A3D330" w:rsidR="00A0106A" w:rsidRPr="00A0106A" w:rsidRDefault="00A0106A" w:rsidP="00153F94">
      <w:pPr>
        <w:spacing w:after="0" w:line="240" w:lineRule="auto"/>
        <w:ind w:left="360"/>
        <w:rPr>
          <w:rFonts w:ascii="Arial" w:hAnsi="Arial" w:cs="Arial"/>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EC7A07" w14:paraId="71F6E768" w14:textId="77777777" w:rsidTr="00EC7A07">
        <w:tc>
          <w:tcPr>
            <w:tcW w:w="2337" w:type="dxa"/>
          </w:tcPr>
          <w:p w14:paraId="2E8EC391" w14:textId="26B15C5F" w:rsidR="00EC7A07" w:rsidRDefault="00EC7A07" w:rsidP="00B9721C">
            <w:pPr>
              <w:rPr>
                <w:rFonts w:ascii="Arial" w:hAnsi="Arial" w:cs="Arial"/>
                <w:sz w:val="24"/>
                <w:szCs w:val="24"/>
              </w:rPr>
            </w:pPr>
            <w:r>
              <w:rPr>
                <w:rFonts w:ascii="Arial" w:hAnsi="Arial" w:cs="Arial"/>
                <w:sz w:val="24"/>
                <w:szCs w:val="24"/>
              </w:rPr>
              <w:t>Group 1 Balance for Disposition</w:t>
            </w:r>
          </w:p>
        </w:tc>
        <w:tc>
          <w:tcPr>
            <w:tcW w:w="2337" w:type="dxa"/>
          </w:tcPr>
          <w:p w14:paraId="35F16C57" w14:textId="72AE9C6D" w:rsidR="00EC7A07" w:rsidRDefault="00EC7A07" w:rsidP="00153F94">
            <w:pPr>
              <w:jc w:val="center"/>
              <w:rPr>
                <w:rFonts w:ascii="Arial" w:hAnsi="Arial" w:cs="Arial"/>
                <w:sz w:val="24"/>
                <w:szCs w:val="24"/>
              </w:rPr>
            </w:pPr>
            <w:r>
              <w:rPr>
                <w:rFonts w:ascii="Arial" w:hAnsi="Arial" w:cs="Arial"/>
                <w:sz w:val="24"/>
                <w:szCs w:val="24"/>
              </w:rPr>
              <w:t>Reference 1</w:t>
            </w:r>
          </w:p>
        </w:tc>
        <w:tc>
          <w:tcPr>
            <w:tcW w:w="2338" w:type="dxa"/>
          </w:tcPr>
          <w:p w14:paraId="09D61735" w14:textId="28582621" w:rsidR="00EC7A07" w:rsidRDefault="00EC7A07" w:rsidP="00153F94">
            <w:pPr>
              <w:jc w:val="center"/>
              <w:rPr>
                <w:rFonts w:ascii="Arial" w:hAnsi="Arial" w:cs="Arial"/>
                <w:sz w:val="24"/>
                <w:szCs w:val="24"/>
              </w:rPr>
            </w:pPr>
            <w:r>
              <w:rPr>
                <w:rFonts w:ascii="Arial" w:hAnsi="Arial" w:cs="Arial"/>
                <w:sz w:val="24"/>
                <w:szCs w:val="24"/>
              </w:rPr>
              <w:t>Reference 2</w:t>
            </w:r>
          </w:p>
        </w:tc>
        <w:tc>
          <w:tcPr>
            <w:tcW w:w="2338" w:type="dxa"/>
          </w:tcPr>
          <w:p w14:paraId="7544F84F" w14:textId="2CDFD115" w:rsidR="00EC7A07" w:rsidRDefault="00EC7A07" w:rsidP="00153F94">
            <w:pPr>
              <w:jc w:val="center"/>
              <w:rPr>
                <w:rFonts w:ascii="Arial" w:hAnsi="Arial" w:cs="Arial"/>
                <w:sz w:val="24"/>
                <w:szCs w:val="24"/>
              </w:rPr>
            </w:pPr>
            <w:r>
              <w:rPr>
                <w:rFonts w:ascii="Arial" w:hAnsi="Arial" w:cs="Arial"/>
                <w:sz w:val="24"/>
                <w:szCs w:val="24"/>
              </w:rPr>
              <w:t>Variance</w:t>
            </w:r>
          </w:p>
        </w:tc>
      </w:tr>
      <w:tr w:rsidR="00EC7A07" w14:paraId="0065C9CB" w14:textId="77777777" w:rsidTr="00EC7A07">
        <w:tc>
          <w:tcPr>
            <w:tcW w:w="2337" w:type="dxa"/>
          </w:tcPr>
          <w:p w14:paraId="28187299" w14:textId="1BCBFF20" w:rsidR="00EC7A07" w:rsidRDefault="00EC7A07" w:rsidP="00B9721C">
            <w:pPr>
              <w:rPr>
                <w:rFonts w:ascii="Arial" w:hAnsi="Arial" w:cs="Arial"/>
                <w:sz w:val="24"/>
                <w:szCs w:val="24"/>
              </w:rPr>
            </w:pPr>
            <w:r>
              <w:rPr>
                <w:rFonts w:ascii="Arial" w:hAnsi="Arial" w:cs="Arial"/>
                <w:sz w:val="24"/>
                <w:szCs w:val="24"/>
              </w:rPr>
              <w:t>NTRZ</w:t>
            </w:r>
          </w:p>
        </w:tc>
        <w:tc>
          <w:tcPr>
            <w:tcW w:w="2337" w:type="dxa"/>
          </w:tcPr>
          <w:p w14:paraId="4CF12E20" w14:textId="71ACBA13" w:rsidR="00EC7A07" w:rsidRDefault="00EC7A07" w:rsidP="00153F94">
            <w:pPr>
              <w:jc w:val="center"/>
              <w:rPr>
                <w:rFonts w:ascii="Arial" w:hAnsi="Arial" w:cs="Arial"/>
                <w:sz w:val="24"/>
                <w:szCs w:val="24"/>
              </w:rPr>
            </w:pPr>
            <w:r>
              <w:rPr>
                <w:rFonts w:ascii="Arial" w:hAnsi="Arial" w:cs="Arial"/>
                <w:sz w:val="24"/>
                <w:szCs w:val="24"/>
              </w:rPr>
              <w:t>2,165,814</w:t>
            </w:r>
          </w:p>
        </w:tc>
        <w:tc>
          <w:tcPr>
            <w:tcW w:w="2338" w:type="dxa"/>
          </w:tcPr>
          <w:p w14:paraId="5B835398" w14:textId="5D12CE34" w:rsidR="00EC7A07" w:rsidRDefault="00EC7A07" w:rsidP="00153F94">
            <w:pPr>
              <w:jc w:val="center"/>
              <w:rPr>
                <w:rFonts w:ascii="Arial" w:hAnsi="Arial" w:cs="Arial"/>
                <w:sz w:val="24"/>
                <w:szCs w:val="24"/>
              </w:rPr>
            </w:pPr>
            <w:r>
              <w:rPr>
                <w:rFonts w:ascii="Arial" w:hAnsi="Arial" w:cs="Arial"/>
                <w:sz w:val="24"/>
                <w:szCs w:val="24"/>
              </w:rPr>
              <w:t>2,155,433</w:t>
            </w:r>
          </w:p>
        </w:tc>
        <w:tc>
          <w:tcPr>
            <w:tcW w:w="2338" w:type="dxa"/>
          </w:tcPr>
          <w:p w14:paraId="582AE37B" w14:textId="1D305A93" w:rsidR="00EC7A07" w:rsidRDefault="00E76ECC" w:rsidP="00153F94">
            <w:pPr>
              <w:jc w:val="center"/>
              <w:rPr>
                <w:rFonts w:ascii="Arial" w:hAnsi="Arial" w:cs="Arial"/>
                <w:sz w:val="24"/>
                <w:szCs w:val="24"/>
              </w:rPr>
            </w:pPr>
            <w:r>
              <w:rPr>
                <w:rFonts w:ascii="Arial" w:hAnsi="Arial" w:cs="Arial"/>
                <w:sz w:val="24"/>
                <w:szCs w:val="24"/>
              </w:rPr>
              <w:t>10,381</w:t>
            </w:r>
          </w:p>
        </w:tc>
      </w:tr>
      <w:tr w:rsidR="00EC7A07" w14:paraId="1AD1E540" w14:textId="77777777" w:rsidTr="00EC7A07">
        <w:tc>
          <w:tcPr>
            <w:tcW w:w="2337" w:type="dxa"/>
          </w:tcPr>
          <w:p w14:paraId="5BFB17A2" w14:textId="003EA70C" w:rsidR="00EC7A07" w:rsidRDefault="00EC7A07" w:rsidP="00B9721C">
            <w:pPr>
              <w:rPr>
                <w:rFonts w:ascii="Arial" w:hAnsi="Arial" w:cs="Arial"/>
                <w:sz w:val="24"/>
                <w:szCs w:val="24"/>
              </w:rPr>
            </w:pPr>
            <w:r>
              <w:rPr>
                <w:rFonts w:ascii="Arial" w:hAnsi="Arial" w:cs="Arial"/>
                <w:sz w:val="24"/>
                <w:szCs w:val="24"/>
              </w:rPr>
              <w:t>MRZ</w:t>
            </w:r>
          </w:p>
        </w:tc>
        <w:tc>
          <w:tcPr>
            <w:tcW w:w="2337" w:type="dxa"/>
          </w:tcPr>
          <w:p w14:paraId="4AC6861B" w14:textId="19A1A333" w:rsidR="00EC7A07" w:rsidRDefault="00EC7A07" w:rsidP="00153F94">
            <w:pPr>
              <w:jc w:val="center"/>
              <w:rPr>
                <w:rFonts w:ascii="Arial" w:hAnsi="Arial" w:cs="Arial"/>
                <w:sz w:val="24"/>
                <w:szCs w:val="24"/>
              </w:rPr>
            </w:pPr>
            <w:r>
              <w:rPr>
                <w:rFonts w:ascii="Arial" w:hAnsi="Arial" w:cs="Arial"/>
                <w:sz w:val="24"/>
                <w:szCs w:val="24"/>
              </w:rPr>
              <w:t>984,086</w:t>
            </w:r>
          </w:p>
        </w:tc>
        <w:tc>
          <w:tcPr>
            <w:tcW w:w="2338" w:type="dxa"/>
          </w:tcPr>
          <w:p w14:paraId="3D13A362" w14:textId="70ED3D17" w:rsidR="00EC7A07" w:rsidRDefault="00EC7A07" w:rsidP="00153F94">
            <w:pPr>
              <w:jc w:val="center"/>
              <w:rPr>
                <w:rFonts w:ascii="Arial" w:hAnsi="Arial" w:cs="Arial"/>
                <w:sz w:val="24"/>
                <w:szCs w:val="24"/>
              </w:rPr>
            </w:pPr>
            <w:r>
              <w:rPr>
                <w:rFonts w:ascii="Arial" w:hAnsi="Arial" w:cs="Arial"/>
                <w:sz w:val="24"/>
                <w:szCs w:val="24"/>
              </w:rPr>
              <w:t>944,951</w:t>
            </w:r>
          </w:p>
        </w:tc>
        <w:tc>
          <w:tcPr>
            <w:tcW w:w="2338" w:type="dxa"/>
          </w:tcPr>
          <w:p w14:paraId="356FBDD2" w14:textId="7A623F82" w:rsidR="00EC7A07" w:rsidRDefault="00E76ECC" w:rsidP="00153F94">
            <w:pPr>
              <w:jc w:val="center"/>
              <w:rPr>
                <w:rFonts w:ascii="Arial" w:hAnsi="Arial" w:cs="Arial"/>
                <w:sz w:val="24"/>
                <w:szCs w:val="24"/>
              </w:rPr>
            </w:pPr>
            <w:r>
              <w:rPr>
                <w:rFonts w:ascii="Arial" w:hAnsi="Arial" w:cs="Arial"/>
                <w:sz w:val="24"/>
                <w:szCs w:val="24"/>
              </w:rPr>
              <w:t>39,135</w:t>
            </w:r>
          </w:p>
        </w:tc>
      </w:tr>
      <w:tr w:rsidR="00EC7A07" w14:paraId="64B09A05" w14:textId="77777777" w:rsidTr="00EC7A07">
        <w:tc>
          <w:tcPr>
            <w:tcW w:w="2337" w:type="dxa"/>
          </w:tcPr>
          <w:p w14:paraId="0154986D" w14:textId="335FF93D" w:rsidR="00EC7A07" w:rsidRDefault="00EC7A07" w:rsidP="00B9721C">
            <w:pPr>
              <w:rPr>
                <w:rFonts w:ascii="Arial" w:hAnsi="Arial" w:cs="Arial"/>
                <w:sz w:val="24"/>
                <w:szCs w:val="24"/>
              </w:rPr>
            </w:pPr>
            <w:r>
              <w:rPr>
                <w:rFonts w:ascii="Arial" w:hAnsi="Arial" w:cs="Arial"/>
                <w:sz w:val="24"/>
                <w:szCs w:val="24"/>
              </w:rPr>
              <w:t>NT Power</w:t>
            </w:r>
          </w:p>
        </w:tc>
        <w:tc>
          <w:tcPr>
            <w:tcW w:w="2337" w:type="dxa"/>
          </w:tcPr>
          <w:p w14:paraId="25684EB6" w14:textId="60D7166D" w:rsidR="00EC7A07" w:rsidRDefault="00EC7A07" w:rsidP="00153F94">
            <w:pPr>
              <w:jc w:val="center"/>
              <w:rPr>
                <w:rFonts w:ascii="Arial" w:hAnsi="Arial" w:cs="Arial"/>
                <w:sz w:val="24"/>
                <w:szCs w:val="24"/>
              </w:rPr>
            </w:pPr>
            <w:r>
              <w:rPr>
                <w:rFonts w:ascii="Arial" w:hAnsi="Arial" w:cs="Arial"/>
                <w:sz w:val="24"/>
                <w:szCs w:val="24"/>
              </w:rPr>
              <w:t>3,149,900</w:t>
            </w:r>
          </w:p>
        </w:tc>
        <w:tc>
          <w:tcPr>
            <w:tcW w:w="2338" w:type="dxa"/>
          </w:tcPr>
          <w:p w14:paraId="2DA0700A" w14:textId="5E227BB6" w:rsidR="00EC7A07" w:rsidRDefault="00EC7A07" w:rsidP="00153F94">
            <w:pPr>
              <w:jc w:val="center"/>
              <w:rPr>
                <w:rFonts w:ascii="Arial" w:hAnsi="Arial" w:cs="Arial"/>
                <w:sz w:val="24"/>
                <w:szCs w:val="24"/>
              </w:rPr>
            </w:pPr>
            <w:r>
              <w:rPr>
                <w:rFonts w:ascii="Arial" w:hAnsi="Arial" w:cs="Arial"/>
                <w:sz w:val="24"/>
                <w:szCs w:val="24"/>
              </w:rPr>
              <w:t>3,100,385</w:t>
            </w:r>
          </w:p>
        </w:tc>
        <w:tc>
          <w:tcPr>
            <w:tcW w:w="2338" w:type="dxa"/>
          </w:tcPr>
          <w:p w14:paraId="7EF6FF64" w14:textId="6960268F" w:rsidR="00EC7A07" w:rsidRDefault="00E76ECC" w:rsidP="00153F94">
            <w:pPr>
              <w:jc w:val="center"/>
              <w:rPr>
                <w:rFonts w:ascii="Arial" w:hAnsi="Arial" w:cs="Arial"/>
                <w:sz w:val="24"/>
                <w:szCs w:val="24"/>
              </w:rPr>
            </w:pPr>
            <w:r>
              <w:rPr>
                <w:rFonts w:ascii="Arial" w:hAnsi="Arial" w:cs="Arial"/>
                <w:sz w:val="24"/>
                <w:szCs w:val="24"/>
              </w:rPr>
              <w:t>49,51</w:t>
            </w:r>
            <w:r w:rsidR="007F76F4">
              <w:rPr>
                <w:rFonts w:ascii="Arial" w:hAnsi="Arial" w:cs="Arial"/>
                <w:sz w:val="24"/>
                <w:szCs w:val="24"/>
              </w:rPr>
              <w:t>5</w:t>
            </w:r>
          </w:p>
        </w:tc>
      </w:tr>
    </w:tbl>
    <w:p w14:paraId="0588929C" w14:textId="77777777" w:rsidR="00A0106A" w:rsidRDefault="00A0106A" w:rsidP="00A0106A">
      <w:pPr>
        <w:rPr>
          <w:rFonts w:ascii="Arial" w:hAnsi="Arial" w:cs="Arial"/>
          <w:sz w:val="24"/>
          <w:szCs w:val="24"/>
        </w:rPr>
      </w:pPr>
    </w:p>
    <w:p w14:paraId="180B8EFE" w14:textId="10599A45" w:rsidR="00A0106A" w:rsidRPr="00B46088" w:rsidRDefault="00A0106A" w:rsidP="00153F94">
      <w:pPr>
        <w:rPr>
          <w:b/>
          <w:bCs/>
        </w:rPr>
      </w:pPr>
      <w:r>
        <w:rPr>
          <w:rFonts w:ascii="Arial" w:hAnsi="Arial" w:cs="Arial"/>
          <w:sz w:val="24"/>
          <w:szCs w:val="24"/>
        </w:rPr>
        <w:t xml:space="preserve">OEB staff </w:t>
      </w:r>
      <w:r w:rsidR="00F755DC">
        <w:rPr>
          <w:rFonts w:ascii="Arial" w:hAnsi="Arial" w:cs="Arial"/>
          <w:sz w:val="24"/>
          <w:szCs w:val="24"/>
        </w:rPr>
        <w:t>has also noted that the balances for both rate zones in Ref</w:t>
      </w:r>
      <w:r w:rsidR="00087EE9">
        <w:rPr>
          <w:rFonts w:ascii="Arial" w:hAnsi="Arial" w:cs="Arial"/>
          <w:sz w:val="24"/>
          <w:szCs w:val="24"/>
        </w:rPr>
        <w:t>erence</w:t>
      </w:r>
      <w:r w:rsidR="00F755DC">
        <w:rPr>
          <w:rFonts w:ascii="Arial" w:hAnsi="Arial" w:cs="Arial"/>
          <w:sz w:val="24"/>
          <w:szCs w:val="24"/>
        </w:rPr>
        <w:t xml:space="preserve"> 2 match th</w:t>
      </w:r>
      <w:r w:rsidR="00087EE9">
        <w:rPr>
          <w:rFonts w:ascii="Arial" w:hAnsi="Arial" w:cs="Arial"/>
          <w:sz w:val="24"/>
          <w:szCs w:val="24"/>
        </w:rPr>
        <w:t>ose in Reference 3.</w:t>
      </w:r>
    </w:p>
    <w:p w14:paraId="217F3713" w14:textId="2FBE3C06" w:rsidR="00191351" w:rsidRPr="00191351" w:rsidRDefault="00191351" w:rsidP="00191351">
      <w:pPr>
        <w:spacing w:after="240" w:line="240" w:lineRule="auto"/>
        <w:rPr>
          <w:rFonts w:ascii="Arial" w:hAnsi="Arial" w:cs="Arial"/>
          <w:b/>
          <w:bCs/>
          <w:sz w:val="24"/>
          <w:szCs w:val="24"/>
        </w:rPr>
      </w:pPr>
      <w:r w:rsidRPr="00191351">
        <w:rPr>
          <w:rFonts w:ascii="Arial" w:hAnsi="Arial" w:cs="Arial"/>
          <w:b/>
          <w:bCs/>
          <w:sz w:val="24"/>
          <w:szCs w:val="24"/>
        </w:rPr>
        <w:t>Question</w:t>
      </w:r>
    </w:p>
    <w:p w14:paraId="6E5F3B4A" w14:textId="133FBBD3" w:rsidR="00B9721C" w:rsidRPr="00153F94" w:rsidRDefault="00EC7A07">
      <w:pPr>
        <w:pStyle w:val="ListParagraph"/>
        <w:numPr>
          <w:ilvl w:val="0"/>
          <w:numId w:val="21"/>
        </w:numPr>
        <w:spacing w:after="240" w:line="240" w:lineRule="auto"/>
        <w:rPr>
          <w:b/>
          <w:bCs/>
          <w:sz w:val="24"/>
          <w:szCs w:val="24"/>
        </w:rPr>
      </w:pPr>
      <w:r>
        <w:rPr>
          <w:sz w:val="24"/>
          <w:szCs w:val="24"/>
        </w:rPr>
        <w:t xml:space="preserve">Please reconcile the difference of </w:t>
      </w:r>
      <w:r w:rsidR="00E76ECC">
        <w:rPr>
          <w:sz w:val="24"/>
          <w:szCs w:val="24"/>
        </w:rPr>
        <w:t>both rate zones and the total Group 1 Balance for Dispositions in the above table, and revise the schedules as needed.</w:t>
      </w:r>
      <w:r w:rsidR="00E76ECC" w:rsidRPr="00191351" w:rsidDel="00E76ECC">
        <w:rPr>
          <w:sz w:val="24"/>
          <w:szCs w:val="24"/>
        </w:rPr>
        <w:t xml:space="preserve"> </w:t>
      </w:r>
    </w:p>
    <w:p w14:paraId="5EE5F0F9" w14:textId="45B3CB59" w:rsidR="00B9721C" w:rsidRPr="00D64BB9" w:rsidRDefault="00B9721C" w:rsidP="00B9721C">
      <w:pPr>
        <w:spacing w:after="240" w:line="240" w:lineRule="auto"/>
        <w:rPr>
          <w:rFonts w:ascii="Arial" w:hAnsi="Arial" w:cs="Arial"/>
          <w:b/>
          <w:bCs/>
          <w:sz w:val="24"/>
          <w:szCs w:val="24"/>
        </w:rPr>
      </w:pPr>
      <w:r>
        <w:rPr>
          <w:rFonts w:ascii="Arial" w:hAnsi="Arial" w:cs="Arial"/>
          <w:b/>
          <w:bCs/>
          <w:sz w:val="24"/>
          <w:szCs w:val="24"/>
        </w:rPr>
        <w:t>OEB Staff - 7</w:t>
      </w:r>
    </w:p>
    <w:p w14:paraId="13ABC376" w14:textId="71432A83" w:rsidR="00B9721C" w:rsidRDefault="00B9721C" w:rsidP="00B9721C">
      <w:pPr>
        <w:spacing w:after="0"/>
        <w:rPr>
          <w:rFonts w:ascii="Arial" w:hAnsi="Arial" w:cs="Arial"/>
          <w:b/>
          <w:bCs/>
          <w:sz w:val="24"/>
          <w:szCs w:val="24"/>
        </w:rPr>
      </w:pPr>
      <w:r w:rsidRPr="0052512E">
        <w:rPr>
          <w:rFonts w:ascii="Arial" w:hAnsi="Arial" w:cs="Arial"/>
          <w:b/>
          <w:bCs/>
          <w:sz w:val="24"/>
          <w:szCs w:val="24"/>
        </w:rPr>
        <w:t>Ref</w:t>
      </w:r>
      <w:r w:rsidR="005A71E1">
        <w:rPr>
          <w:rFonts w:ascii="Arial" w:hAnsi="Arial" w:cs="Arial"/>
          <w:b/>
          <w:bCs/>
          <w:sz w:val="24"/>
          <w:szCs w:val="24"/>
        </w:rPr>
        <w:t xml:space="preserve"> </w:t>
      </w:r>
      <w:r w:rsidRPr="0052512E">
        <w:rPr>
          <w:rFonts w:ascii="Arial" w:hAnsi="Arial" w:cs="Arial"/>
          <w:b/>
          <w:bCs/>
          <w:sz w:val="24"/>
          <w:szCs w:val="24"/>
        </w:rPr>
        <w:t xml:space="preserve">1: </w:t>
      </w:r>
      <w:r w:rsidRPr="0006266C">
        <w:rPr>
          <w:rFonts w:ascii="Arial" w:hAnsi="Arial" w:cs="Arial"/>
          <w:b/>
          <w:bCs/>
          <w:sz w:val="24"/>
          <w:szCs w:val="24"/>
        </w:rPr>
        <w:t>N</w:t>
      </w:r>
      <w:r>
        <w:rPr>
          <w:rFonts w:ascii="Arial" w:hAnsi="Arial" w:cs="Arial"/>
          <w:b/>
          <w:bCs/>
          <w:sz w:val="24"/>
          <w:szCs w:val="24"/>
        </w:rPr>
        <w:t>TRZ</w:t>
      </w:r>
      <w:r w:rsidRPr="00D64BB9">
        <w:rPr>
          <w:rFonts w:ascii="Arial" w:hAnsi="Arial" w:cs="Arial"/>
          <w:b/>
          <w:bCs/>
          <w:sz w:val="24"/>
          <w:szCs w:val="24"/>
        </w:rPr>
        <w:t>, GA Analysis WorkForm</w:t>
      </w:r>
      <w:r>
        <w:rPr>
          <w:rFonts w:ascii="Arial" w:hAnsi="Arial" w:cs="Arial"/>
          <w:b/>
          <w:bCs/>
          <w:sz w:val="24"/>
          <w:szCs w:val="24"/>
        </w:rPr>
        <w:t>, Tab GA2021</w:t>
      </w:r>
      <w:r w:rsidRPr="00D64BB9">
        <w:rPr>
          <w:rFonts w:ascii="Arial" w:hAnsi="Arial" w:cs="Arial"/>
          <w:b/>
          <w:bCs/>
          <w:sz w:val="24"/>
          <w:szCs w:val="24"/>
        </w:rPr>
        <w:t xml:space="preserve"> </w:t>
      </w:r>
      <w:r w:rsidR="00E72053">
        <w:rPr>
          <w:rFonts w:ascii="Arial" w:hAnsi="Arial" w:cs="Arial"/>
          <w:b/>
          <w:bCs/>
          <w:sz w:val="24"/>
          <w:szCs w:val="24"/>
        </w:rPr>
        <w:t>&amp; Principal Adjustments</w:t>
      </w:r>
      <w:r w:rsidR="00C227B0">
        <w:rPr>
          <w:rFonts w:ascii="Arial" w:hAnsi="Arial" w:cs="Arial"/>
          <w:b/>
          <w:bCs/>
          <w:sz w:val="24"/>
          <w:szCs w:val="24"/>
        </w:rPr>
        <w:t xml:space="preserve"> Tab</w:t>
      </w:r>
    </w:p>
    <w:p w14:paraId="3F764017" w14:textId="32D9F6A9" w:rsidR="00B9721C" w:rsidRDefault="00B9721C" w:rsidP="00B9721C">
      <w:pPr>
        <w:spacing w:after="0"/>
        <w:rPr>
          <w:rFonts w:ascii="Arial" w:hAnsi="Arial" w:cs="Arial"/>
          <w:b/>
          <w:bCs/>
          <w:sz w:val="24"/>
          <w:szCs w:val="24"/>
        </w:rPr>
      </w:pPr>
      <w:r w:rsidRPr="0052512E">
        <w:rPr>
          <w:rFonts w:ascii="Arial" w:hAnsi="Arial" w:cs="Arial"/>
          <w:b/>
          <w:bCs/>
          <w:sz w:val="24"/>
          <w:szCs w:val="24"/>
        </w:rPr>
        <w:t>Ref</w:t>
      </w:r>
      <w:r w:rsidR="005A71E1">
        <w:rPr>
          <w:rFonts w:ascii="Arial" w:hAnsi="Arial" w:cs="Arial"/>
          <w:b/>
          <w:bCs/>
          <w:sz w:val="24"/>
          <w:szCs w:val="24"/>
        </w:rPr>
        <w:t xml:space="preserve"> </w:t>
      </w:r>
      <w:r w:rsidRPr="0052512E">
        <w:rPr>
          <w:rFonts w:ascii="Arial" w:hAnsi="Arial" w:cs="Arial"/>
          <w:b/>
          <w:bCs/>
          <w:sz w:val="24"/>
          <w:szCs w:val="24"/>
        </w:rPr>
        <w:t>2: NTPower, 2023 Incentive ratemaking application, Page 1</w:t>
      </w:r>
      <w:r w:rsidR="008F1463">
        <w:rPr>
          <w:rFonts w:ascii="Arial" w:hAnsi="Arial" w:cs="Arial"/>
          <w:b/>
          <w:bCs/>
          <w:sz w:val="24"/>
          <w:szCs w:val="24"/>
        </w:rPr>
        <w:t>5</w:t>
      </w:r>
      <w:r w:rsidRPr="0052512E">
        <w:rPr>
          <w:rFonts w:ascii="Arial" w:hAnsi="Arial" w:cs="Arial"/>
          <w:b/>
          <w:bCs/>
          <w:sz w:val="24"/>
          <w:szCs w:val="24"/>
        </w:rPr>
        <w:t xml:space="preserve"> of 22</w:t>
      </w:r>
    </w:p>
    <w:p w14:paraId="0143326D" w14:textId="35E76BDE" w:rsidR="00150969" w:rsidRDefault="00150969" w:rsidP="00150969">
      <w:pPr>
        <w:spacing w:after="0"/>
        <w:rPr>
          <w:rFonts w:ascii="Arial" w:hAnsi="Arial" w:cs="Arial"/>
          <w:b/>
          <w:bCs/>
          <w:sz w:val="24"/>
          <w:szCs w:val="24"/>
        </w:rPr>
      </w:pPr>
      <w:r w:rsidRPr="0052512E">
        <w:rPr>
          <w:rFonts w:ascii="Arial" w:hAnsi="Arial" w:cs="Arial"/>
          <w:b/>
          <w:bCs/>
          <w:sz w:val="24"/>
          <w:szCs w:val="24"/>
        </w:rPr>
        <w:t>Ref</w:t>
      </w:r>
      <w:r>
        <w:rPr>
          <w:rFonts w:ascii="Arial" w:hAnsi="Arial" w:cs="Arial"/>
          <w:b/>
          <w:bCs/>
          <w:sz w:val="24"/>
          <w:szCs w:val="24"/>
        </w:rPr>
        <w:t xml:space="preserve"> 3</w:t>
      </w:r>
      <w:r w:rsidRPr="0052512E">
        <w:rPr>
          <w:rFonts w:ascii="Arial" w:hAnsi="Arial" w:cs="Arial"/>
          <w:b/>
          <w:bCs/>
          <w:sz w:val="24"/>
          <w:szCs w:val="24"/>
        </w:rPr>
        <w:t xml:space="preserve">: NTPower, 2023 Incentive ratemaking application, </w:t>
      </w:r>
      <w:r>
        <w:rPr>
          <w:rFonts w:ascii="Arial" w:hAnsi="Arial" w:cs="Arial"/>
          <w:b/>
          <w:bCs/>
          <w:sz w:val="24"/>
          <w:szCs w:val="24"/>
        </w:rPr>
        <w:t xml:space="preserve">NTRZ, </w:t>
      </w:r>
      <w:r w:rsidRPr="0052512E">
        <w:rPr>
          <w:rFonts w:ascii="Arial" w:hAnsi="Arial" w:cs="Arial"/>
          <w:b/>
          <w:bCs/>
          <w:sz w:val="24"/>
          <w:szCs w:val="24"/>
        </w:rPr>
        <w:t>Page 1</w:t>
      </w:r>
      <w:r>
        <w:rPr>
          <w:rFonts w:ascii="Arial" w:hAnsi="Arial" w:cs="Arial"/>
          <w:b/>
          <w:bCs/>
          <w:sz w:val="24"/>
          <w:szCs w:val="24"/>
        </w:rPr>
        <w:t>2</w:t>
      </w:r>
      <w:r w:rsidRPr="0052512E">
        <w:rPr>
          <w:rFonts w:ascii="Arial" w:hAnsi="Arial" w:cs="Arial"/>
          <w:b/>
          <w:bCs/>
          <w:sz w:val="24"/>
          <w:szCs w:val="24"/>
        </w:rPr>
        <w:t xml:space="preserve"> of 22</w:t>
      </w:r>
    </w:p>
    <w:p w14:paraId="09F22D62" w14:textId="3507587D" w:rsidR="00150969" w:rsidRDefault="00150969" w:rsidP="00150969">
      <w:pPr>
        <w:spacing w:after="0"/>
        <w:rPr>
          <w:rFonts w:ascii="Arial" w:hAnsi="Arial" w:cs="Arial"/>
          <w:b/>
          <w:bCs/>
          <w:sz w:val="24"/>
          <w:szCs w:val="24"/>
        </w:rPr>
      </w:pPr>
      <w:r w:rsidRPr="0052512E">
        <w:rPr>
          <w:rFonts w:ascii="Arial" w:hAnsi="Arial" w:cs="Arial"/>
          <w:b/>
          <w:bCs/>
          <w:sz w:val="24"/>
          <w:szCs w:val="24"/>
        </w:rPr>
        <w:t>Ref</w:t>
      </w:r>
      <w:r>
        <w:rPr>
          <w:rFonts w:ascii="Arial" w:hAnsi="Arial" w:cs="Arial"/>
          <w:b/>
          <w:bCs/>
          <w:sz w:val="24"/>
          <w:szCs w:val="24"/>
        </w:rPr>
        <w:t xml:space="preserve"> 4</w:t>
      </w:r>
      <w:r w:rsidRPr="0052512E">
        <w:rPr>
          <w:rFonts w:ascii="Arial" w:hAnsi="Arial" w:cs="Arial"/>
          <w:b/>
          <w:bCs/>
          <w:sz w:val="24"/>
          <w:szCs w:val="24"/>
        </w:rPr>
        <w:t xml:space="preserve">: NTPower, 2023 Incentive ratemaking application, </w:t>
      </w:r>
      <w:r>
        <w:rPr>
          <w:rFonts w:ascii="Arial" w:hAnsi="Arial" w:cs="Arial"/>
          <w:b/>
          <w:bCs/>
          <w:sz w:val="24"/>
          <w:szCs w:val="24"/>
        </w:rPr>
        <w:t xml:space="preserve">MRZ, </w:t>
      </w:r>
      <w:r w:rsidRPr="0052512E">
        <w:rPr>
          <w:rFonts w:ascii="Arial" w:hAnsi="Arial" w:cs="Arial"/>
          <w:b/>
          <w:bCs/>
          <w:sz w:val="24"/>
          <w:szCs w:val="24"/>
        </w:rPr>
        <w:t>Page 1</w:t>
      </w:r>
      <w:r>
        <w:rPr>
          <w:rFonts w:ascii="Arial" w:hAnsi="Arial" w:cs="Arial"/>
          <w:b/>
          <w:bCs/>
          <w:sz w:val="24"/>
          <w:szCs w:val="24"/>
        </w:rPr>
        <w:t>3</w:t>
      </w:r>
      <w:r w:rsidRPr="0052512E">
        <w:rPr>
          <w:rFonts w:ascii="Arial" w:hAnsi="Arial" w:cs="Arial"/>
          <w:b/>
          <w:bCs/>
          <w:sz w:val="24"/>
          <w:szCs w:val="24"/>
        </w:rPr>
        <w:t xml:space="preserve"> of 22</w:t>
      </w:r>
    </w:p>
    <w:p w14:paraId="75DA7CB0" w14:textId="585E414B" w:rsidR="0026029B" w:rsidRDefault="0026029B" w:rsidP="00150969">
      <w:pPr>
        <w:spacing w:after="0"/>
        <w:rPr>
          <w:rFonts w:ascii="Arial" w:hAnsi="Arial" w:cs="Arial"/>
          <w:b/>
          <w:bCs/>
          <w:sz w:val="24"/>
          <w:szCs w:val="24"/>
        </w:rPr>
      </w:pPr>
      <w:r>
        <w:rPr>
          <w:rFonts w:ascii="Arial" w:hAnsi="Arial" w:cs="Arial"/>
          <w:b/>
          <w:bCs/>
          <w:sz w:val="24"/>
          <w:szCs w:val="24"/>
        </w:rPr>
        <w:t>Ref 5: OEB letter issued on October 31, 2019 – “</w:t>
      </w:r>
      <w:r w:rsidRPr="0026029B">
        <w:rPr>
          <w:rFonts w:ascii="Arial" w:hAnsi="Arial" w:cs="Arial"/>
          <w:b/>
          <w:bCs/>
          <w:sz w:val="24"/>
          <w:szCs w:val="24"/>
        </w:rPr>
        <w:t>Adjustments to Correct for Errors in Electricity Distributor “Pass-Through” Variance Accounts After Disposition</w:t>
      </w:r>
      <w:r>
        <w:rPr>
          <w:rFonts w:ascii="Arial" w:hAnsi="Arial" w:cs="Arial"/>
          <w:b/>
          <w:bCs/>
          <w:sz w:val="24"/>
          <w:szCs w:val="24"/>
        </w:rPr>
        <w:t>”</w:t>
      </w:r>
    </w:p>
    <w:p w14:paraId="6ED87667" w14:textId="77777777" w:rsidR="00150969" w:rsidRDefault="00150969" w:rsidP="00B9721C">
      <w:pPr>
        <w:spacing w:after="0"/>
        <w:rPr>
          <w:rFonts w:ascii="Arial" w:hAnsi="Arial" w:cs="Arial"/>
          <w:b/>
          <w:bCs/>
          <w:sz w:val="24"/>
          <w:szCs w:val="24"/>
        </w:rPr>
      </w:pPr>
    </w:p>
    <w:p w14:paraId="36858201" w14:textId="77777777" w:rsidR="00B9721C" w:rsidRPr="0052512E" w:rsidRDefault="00B9721C" w:rsidP="00B9721C">
      <w:pPr>
        <w:spacing w:after="0"/>
        <w:rPr>
          <w:rFonts w:ascii="Arial" w:hAnsi="Arial" w:cs="Arial"/>
          <w:b/>
          <w:bCs/>
          <w:sz w:val="24"/>
          <w:szCs w:val="24"/>
        </w:rPr>
      </w:pPr>
    </w:p>
    <w:p w14:paraId="47115827" w14:textId="77777777" w:rsidR="00390461" w:rsidRDefault="00390461" w:rsidP="00B9721C">
      <w:pPr>
        <w:spacing w:after="0"/>
        <w:rPr>
          <w:rFonts w:ascii="Arial" w:hAnsi="Arial" w:cs="Arial"/>
          <w:sz w:val="24"/>
          <w:szCs w:val="24"/>
        </w:rPr>
      </w:pPr>
      <w:r>
        <w:rPr>
          <w:rFonts w:ascii="Arial" w:hAnsi="Arial" w:cs="Arial"/>
          <w:sz w:val="24"/>
          <w:szCs w:val="24"/>
        </w:rPr>
        <w:t xml:space="preserve">In </w:t>
      </w:r>
      <w:r w:rsidR="00B9721C" w:rsidRPr="0052512E">
        <w:rPr>
          <w:rFonts w:ascii="Arial" w:hAnsi="Arial" w:cs="Arial"/>
          <w:sz w:val="24"/>
          <w:szCs w:val="24"/>
        </w:rPr>
        <w:t xml:space="preserve">Reference </w:t>
      </w:r>
      <w:r w:rsidR="00B9721C">
        <w:rPr>
          <w:rFonts w:ascii="Arial" w:hAnsi="Arial" w:cs="Arial"/>
          <w:sz w:val="24"/>
          <w:szCs w:val="24"/>
        </w:rPr>
        <w:t>2</w:t>
      </w:r>
      <w:r>
        <w:rPr>
          <w:rFonts w:ascii="Arial" w:hAnsi="Arial" w:cs="Arial"/>
          <w:sz w:val="24"/>
          <w:szCs w:val="24"/>
        </w:rPr>
        <w:t>, NT Power</w:t>
      </w:r>
      <w:r w:rsidR="00B9721C" w:rsidRPr="0052512E">
        <w:rPr>
          <w:rFonts w:ascii="Arial" w:hAnsi="Arial" w:cs="Arial"/>
          <w:sz w:val="24"/>
          <w:szCs w:val="24"/>
        </w:rPr>
        <w:t xml:space="preserve"> states that</w:t>
      </w:r>
      <w:r>
        <w:rPr>
          <w:rFonts w:ascii="Arial" w:hAnsi="Arial" w:cs="Arial"/>
          <w:sz w:val="24"/>
          <w:szCs w:val="24"/>
        </w:rPr>
        <w:t xml:space="preserve"> “</w:t>
      </w:r>
      <w:r w:rsidRPr="00153F94">
        <w:rPr>
          <w:rFonts w:ascii="Arial" w:hAnsi="Arial" w:cs="Arial"/>
          <w:sz w:val="24"/>
          <w:szCs w:val="24"/>
        </w:rPr>
        <w:t>NT Power reconciled the 2021 GA accounts for NTRZ and MRZ post the 2021 yearend due to staffing issues</w:t>
      </w:r>
      <w:r>
        <w:rPr>
          <w:rFonts w:ascii="Arial" w:hAnsi="Arial" w:cs="Arial"/>
          <w:sz w:val="24"/>
          <w:szCs w:val="24"/>
        </w:rPr>
        <w:t>”</w:t>
      </w:r>
      <w:r w:rsidRPr="00153F94">
        <w:rPr>
          <w:rFonts w:ascii="Arial" w:hAnsi="Arial" w:cs="Arial"/>
          <w:sz w:val="24"/>
          <w:szCs w:val="24"/>
        </w:rPr>
        <w:t>.</w:t>
      </w:r>
      <w:r w:rsidR="00B9721C" w:rsidRPr="0052512E">
        <w:rPr>
          <w:rFonts w:ascii="Arial" w:hAnsi="Arial" w:cs="Arial"/>
          <w:sz w:val="24"/>
          <w:szCs w:val="24"/>
        </w:rPr>
        <w:t xml:space="preserve"> </w:t>
      </w:r>
    </w:p>
    <w:p w14:paraId="503743DD" w14:textId="77777777" w:rsidR="00390461" w:rsidRDefault="00390461" w:rsidP="00B9721C">
      <w:pPr>
        <w:spacing w:after="0"/>
        <w:rPr>
          <w:rFonts w:ascii="Arial" w:hAnsi="Arial" w:cs="Arial"/>
          <w:sz w:val="24"/>
          <w:szCs w:val="24"/>
        </w:rPr>
      </w:pPr>
    </w:p>
    <w:p w14:paraId="139762FB" w14:textId="30A9525B" w:rsidR="00390461" w:rsidRDefault="00390461" w:rsidP="00B9721C">
      <w:pPr>
        <w:spacing w:after="0"/>
        <w:rPr>
          <w:rFonts w:ascii="Arial" w:hAnsi="Arial" w:cs="Arial"/>
          <w:sz w:val="24"/>
          <w:szCs w:val="24"/>
        </w:rPr>
      </w:pPr>
      <w:r>
        <w:rPr>
          <w:rFonts w:ascii="Arial" w:hAnsi="Arial" w:cs="Arial"/>
          <w:sz w:val="24"/>
          <w:szCs w:val="24"/>
        </w:rPr>
        <w:lastRenderedPageBreak/>
        <w:t xml:space="preserve">NT Power </w:t>
      </w:r>
      <w:r w:rsidR="00993BFA">
        <w:rPr>
          <w:rFonts w:ascii="Arial" w:hAnsi="Arial" w:cs="Arial"/>
          <w:sz w:val="24"/>
          <w:szCs w:val="24"/>
        </w:rPr>
        <w:t xml:space="preserve">provide a Table 8 for the reconciling items and provide the associated explanation as below. </w:t>
      </w:r>
    </w:p>
    <w:p w14:paraId="7B86FF44" w14:textId="0995F20B" w:rsidR="00390461" w:rsidRDefault="00390461" w:rsidP="00B9721C">
      <w:pPr>
        <w:spacing w:after="0"/>
        <w:rPr>
          <w:rFonts w:ascii="Arial" w:hAnsi="Arial" w:cs="Arial"/>
          <w:sz w:val="24"/>
          <w:szCs w:val="24"/>
        </w:rPr>
      </w:pPr>
    </w:p>
    <w:p w14:paraId="58733A2E" w14:textId="61F213E1" w:rsidR="00FD6175" w:rsidRDefault="00FD6175" w:rsidP="00B9721C">
      <w:pPr>
        <w:spacing w:after="0"/>
        <w:rPr>
          <w:rFonts w:ascii="Arial" w:hAnsi="Arial" w:cs="Arial"/>
          <w:sz w:val="24"/>
          <w:szCs w:val="24"/>
        </w:rPr>
      </w:pPr>
      <w:r>
        <w:rPr>
          <w:noProof/>
        </w:rPr>
        <w:drawing>
          <wp:inline distT="0" distB="0" distL="0" distR="0" wp14:anchorId="1EF19594" wp14:editId="76E8F45C">
            <wp:extent cx="5943600" cy="18167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816735"/>
                    </a:xfrm>
                    <a:prstGeom prst="rect">
                      <a:avLst/>
                    </a:prstGeom>
                  </pic:spPr>
                </pic:pic>
              </a:graphicData>
            </a:graphic>
          </wp:inline>
        </w:drawing>
      </w:r>
    </w:p>
    <w:p w14:paraId="27A0B331" w14:textId="77777777" w:rsidR="00993BFA" w:rsidRPr="00153F94" w:rsidRDefault="00993BFA" w:rsidP="00B9721C">
      <w:pPr>
        <w:spacing w:after="0"/>
        <w:rPr>
          <w:rFonts w:ascii="Arial" w:hAnsi="Arial" w:cs="Arial"/>
          <w:sz w:val="24"/>
          <w:szCs w:val="24"/>
        </w:rPr>
      </w:pPr>
      <w:r w:rsidRPr="00153F94">
        <w:rPr>
          <w:rFonts w:ascii="Arial" w:hAnsi="Arial" w:cs="Arial"/>
          <w:sz w:val="24"/>
          <w:szCs w:val="24"/>
        </w:rPr>
        <w:t xml:space="preserve">1. NTRZ coding error between GA account 1589 and 1580. </w:t>
      </w:r>
    </w:p>
    <w:p w14:paraId="7DA7E079" w14:textId="21201697" w:rsidR="00993BFA" w:rsidRDefault="00993BFA" w:rsidP="00B9721C">
      <w:pPr>
        <w:spacing w:after="0"/>
        <w:rPr>
          <w:rFonts w:ascii="Arial" w:hAnsi="Arial" w:cs="Arial"/>
          <w:sz w:val="24"/>
          <w:szCs w:val="24"/>
        </w:rPr>
      </w:pPr>
      <w:r w:rsidRPr="00153F94">
        <w:rPr>
          <w:rFonts w:ascii="Arial" w:hAnsi="Arial" w:cs="Arial"/>
          <w:sz w:val="24"/>
          <w:szCs w:val="24"/>
        </w:rPr>
        <w:t>2. The incorrect GA RPP vs non RPP split percentage (%) used in January 2021 for calculating the non RPP GA.</w:t>
      </w:r>
    </w:p>
    <w:p w14:paraId="3AD93D6D" w14:textId="04FD8280" w:rsidR="00B9721C" w:rsidRDefault="003F7024" w:rsidP="00B9721C">
      <w:pPr>
        <w:spacing w:after="0"/>
        <w:rPr>
          <w:rFonts w:ascii="Arial" w:hAnsi="Arial" w:cs="Arial"/>
          <w:sz w:val="24"/>
          <w:szCs w:val="24"/>
        </w:rPr>
      </w:pPr>
      <w:r>
        <w:rPr>
          <w:rFonts w:ascii="Arial" w:hAnsi="Arial" w:cs="Arial"/>
          <w:sz w:val="24"/>
          <w:szCs w:val="24"/>
        </w:rPr>
        <w:t xml:space="preserve">3. </w:t>
      </w:r>
      <w:r w:rsidR="00B9721C" w:rsidRPr="00714334">
        <w:rPr>
          <w:rFonts w:ascii="Arial" w:hAnsi="Arial" w:cs="Arial"/>
          <w:sz w:val="24"/>
          <w:szCs w:val="24"/>
        </w:rPr>
        <w:t>NTRZ had submitted a post settlement class A adjustment in October 2020 for ($768,874) and accrued the adjustment in December 2020 by debiting AR IESO and</w:t>
      </w:r>
      <w:r w:rsidR="00B9721C">
        <w:rPr>
          <w:rFonts w:ascii="Arial" w:hAnsi="Arial" w:cs="Arial"/>
          <w:sz w:val="24"/>
          <w:szCs w:val="24"/>
        </w:rPr>
        <w:t xml:space="preserve"> </w:t>
      </w:r>
      <w:r w:rsidR="00B9721C" w:rsidRPr="00714334">
        <w:rPr>
          <w:rFonts w:ascii="Arial" w:hAnsi="Arial" w:cs="Arial"/>
          <w:sz w:val="24"/>
          <w:szCs w:val="24"/>
        </w:rPr>
        <w:t>crediting GA 1589.The adjustment was reversed in 2021 crediting AR</w:t>
      </w:r>
      <w:r w:rsidR="00B9721C">
        <w:rPr>
          <w:rFonts w:ascii="Arial" w:hAnsi="Arial" w:cs="Arial"/>
          <w:sz w:val="24"/>
          <w:szCs w:val="24"/>
        </w:rPr>
        <w:t xml:space="preserve"> </w:t>
      </w:r>
      <w:r w:rsidR="00B9721C" w:rsidRPr="00714334">
        <w:rPr>
          <w:rFonts w:ascii="Arial" w:hAnsi="Arial" w:cs="Arial"/>
          <w:sz w:val="24"/>
          <w:szCs w:val="24"/>
        </w:rPr>
        <w:t>IESO and debiting GA 1589.</w:t>
      </w:r>
    </w:p>
    <w:p w14:paraId="345CA350" w14:textId="6E512904" w:rsidR="00C95AEF" w:rsidRDefault="00C95AEF" w:rsidP="00B9721C">
      <w:pPr>
        <w:spacing w:after="0"/>
        <w:rPr>
          <w:rFonts w:ascii="Arial" w:hAnsi="Arial" w:cs="Arial"/>
          <w:sz w:val="24"/>
          <w:szCs w:val="24"/>
        </w:rPr>
      </w:pPr>
    </w:p>
    <w:p w14:paraId="5B30B724" w14:textId="6777B60C" w:rsidR="00150969" w:rsidRDefault="00150969" w:rsidP="00150969">
      <w:pPr>
        <w:spacing w:after="0"/>
        <w:rPr>
          <w:rFonts w:ascii="Arial" w:hAnsi="Arial" w:cs="Arial"/>
          <w:sz w:val="24"/>
          <w:szCs w:val="24"/>
        </w:rPr>
      </w:pPr>
      <w:r w:rsidRPr="00C76998">
        <w:rPr>
          <w:rFonts w:ascii="Arial" w:hAnsi="Arial" w:cs="Arial"/>
          <w:sz w:val="24"/>
          <w:szCs w:val="24"/>
        </w:rPr>
        <w:t xml:space="preserve">Reference </w:t>
      </w:r>
      <w:r>
        <w:rPr>
          <w:rFonts w:ascii="Arial" w:hAnsi="Arial" w:cs="Arial"/>
          <w:sz w:val="24"/>
          <w:szCs w:val="24"/>
        </w:rPr>
        <w:t>3</w:t>
      </w:r>
      <w:r w:rsidRPr="00C76998">
        <w:rPr>
          <w:rFonts w:ascii="Arial" w:hAnsi="Arial" w:cs="Arial"/>
          <w:sz w:val="24"/>
          <w:szCs w:val="24"/>
        </w:rPr>
        <w:t xml:space="preserve"> states that “Identified the January 2021 adjustment for the RPP vs Non RPP GA was incorrect. An adjustment is provided in the continuity schedule in 2021 to reallocate $878,424 from Power 1588 account to GA 1589 account.”</w:t>
      </w:r>
    </w:p>
    <w:p w14:paraId="76EEC59A" w14:textId="77777777" w:rsidR="00150969" w:rsidRPr="00C76998" w:rsidRDefault="00150969" w:rsidP="00150969">
      <w:pPr>
        <w:spacing w:after="0"/>
        <w:rPr>
          <w:rFonts w:ascii="Arial" w:hAnsi="Arial" w:cs="Arial"/>
          <w:sz w:val="24"/>
          <w:szCs w:val="24"/>
        </w:rPr>
      </w:pPr>
    </w:p>
    <w:p w14:paraId="411FA9DE" w14:textId="32FBB43C" w:rsidR="00150969" w:rsidRDefault="00150969" w:rsidP="00150969">
      <w:pPr>
        <w:spacing w:after="0"/>
        <w:rPr>
          <w:rFonts w:ascii="Arial" w:hAnsi="Arial" w:cs="Arial"/>
          <w:sz w:val="24"/>
          <w:szCs w:val="24"/>
        </w:rPr>
      </w:pPr>
      <w:r w:rsidRPr="00C76998">
        <w:rPr>
          <w:rFonts w:ascii="Arial" w:hAnsi="Arial" w:cs="Arial"/>
          <w:sz w:val="24"/>
          <w:szCs w:val="24"/>
        </w:rPr>
        <w:t xml:space="preserve">Reference </w:t>
      </w:r>
      <w:r>
        <w:rPr>
          <w:rFonts w:ascii="Arial" w:hAnsi="Arial" w:cs="Arial"/>
          <w:sz w:val="24"/>
          <w:szCs w:val="24"/>
        </w:rPr>
        <w:t>4</w:t>
      </w:r>
      <w:r w:rsidRPr="00C76998">
        <w:rPr>
          <w:rFonts w:ascii="Arial" w:hAnsi="Arial" w:cs="Arial"/>
          <w:sz w:val="24"/>
          <w:szCs w:val="24"/>
        </w:rPr>
        <w:t xml:space="preserve"> states that “Identified the January 2021 adjustment for the RPP vs Non RPP GA was incorrect. An adjustment is provided in the continuity schedule in 2021 to reallocate $193,849 from Power 1588 account to GA 1589 account.”</w:t>
      </w:r>
    </w:p>
    <w:p w14:paraId="7D3E4167" w14:textId="586003ED" w:rsidR="0026029B" w:rsidRDefault="0026029B" w:rsidP="00150969">
      <w:pPr>
        <w:spacing w:after="0"/>
        <w:rPr>
          <w:rFonts w:ascii="Arial" w:hAnsi="Arial" w:cs="Arial"/>
          <w:sz w:val="24"/>
          <w:szCs w:val="24"/>
        </w:rPr>
      </w:pPr>
    </w:p>
    <w:p w14:paraId="3E7C4743" w14:textId="77777777" w:rsidR="0026029B" w:rsidRPr="0026029B" w:rsidRDefault="0026029B" w:rsidP="0026029B">
      <w:pPr>
        <w:spacing w:after="0"/>
        <w:rPr>
          <w:rFonts w:ascii="Arial" w:hAnsi="Arial" w:cs="Arial"/>
          <w:sz w:val="24"/>
          <w:szCs w:val="24"/>
        </w:rPr>
      </w:pPr>
      <w:r>
        <w:rPr>
          <w:rFonts w:ascii="Arial" w:hAnsi="Arial" w:cs="Arial"/>
          <w:sz w:val="24"/>
          <w:szCs w:val="24"/>
        </w:rPr>
        <w:t>Reference 5 states that “</w:t>
      </w:r>
      <w:r w:rsidRPr="0026029B">
        <w:rPr>
          <w:rFonts w:ascii="Arial" w:hAnsi="Arial" w:cs="Arial"/>
          <w:sz w:val="24"/>
          <w:szCs w:val="24"/>
        </w:rPr>
        <w:t>Where an accounting or other error is discovered after the balance in one of the above-listed variance accounts has been cleared by a final order of the OEB, the OEB will determine on a case-by-case basis whether to make a retroactive adjustment based on the particular circumstances of each case, including factors such as:</w:t>
      </w:r>
    </w:p>
    <w:p w14:paraId="40C6BC37" w14:textId="1D316870" w:rsidR="0026029B" w:rsidRPr="00153F94" w:rsidRDefault="0026029B" w:rsidP="00153F94">
      <w:pPr>
        <w:pStyle w:val="ListParagraph"/>
        <w:numPr>
          <w:ilvl w:val="0"/>
          <w:numId w:val="30"/>
        </w:numPr>
        <w:spacing w:after="0"/>
        <w:rPr>
          <w:sz w:val="24"/>
          <w:szCs w:val="24"/>
        </w:rPr>
      </w:pPr>
      <w:r w:rsidRPr="00153F94">
        <w:rPr>
          <w:sz w:val="24"/>
          <w:szCs w:val="24"/>
        </w:rPr>
        <w:t>whether the error was within the control of the distributor</w:t>
      </w:r>
    </w:p>
    <w:p w14:paraId="232F72E2" w14:textId="3391999E" w:rsidR="0026029B" w:rsidRPr="00153F94" w:rsidRDefault="0026029B" w:rsidP="00153F94">
      <w:pPr>
        <w:pStyle w:val="ListParagraph"/>
        <w:numPr>
          <w:ilvl w:val="0"/>
          <w:numId w:val="30"/>
        </w:numPr>
        <w:spacing w:after="0"/>
        <w:rPr>
          <w:sz w:val="24"/>
          <w:szCs w:val="24"/>
        </w:rPr>
      </w:pPr>
      <w:r w:rsidRPr="00153F94">
        <w:rPr>
          <w:sz w:val="24"/>
          <w:szCs w:val="24"/>
        </w:rPr>
        <w:t>the frequency with which the distributor has made the same error</w:t>
      </w:r>
    </w:p>
    <w:p w14:paraId="6E5706F7" w14:textId="7D514185" w:rsidR="0026029B" w:rsidRPr="00153F94" w:rsidRDefault="0026029B" w:rsidP="00153F94">
      <w:pPr>
        <w:pStyle w:val="ListParagraph"/>
        <w:numPr>
          <w:ilvl w:val="0"/>
          <w:numId w:val="30"/>
        </w:numPr>
        <w:spacing w:after="0"/>
        <w:rPr>
          <w:sz w:val="24"/>
          <w:szCs w:val="24"/>
        </w:rPr>
      </w:pPr>
      <w:r w:rsidRPr="00153F94">
        <w:rPr>
          <w:sz w:val="24"/>
          <w:szCs w:val="24"/>
        </w:rPr>
        <w:t>failure to follow guidance provided by the OEB</w:t>
      </w:r>
    </w:p>
    <w:p w14:paraId="76839082" w14:textId="2FD0C885" w:rsidR="0026029B" w:rsidRPr="00153F94" w:rsidRDefault="0026029B" w:rsidP="00153F94">
      <w:pPr>
        <w:pStyle w:val="ListParagraph"/>
        <w:numPr>
          <w:ilvl w:val="0"/>
          <w:numId w:val="30"/>
        </w:numPr>
        <w:spacing w:after="0"/>
        <w:rPr>
          <w:sz w:val="24"/>
          <w:szCs w:val="24"/>
        </w:rPr>
      </w:pPr>
      <w:r w:rsidRPr="00153F94">
        <w:rPr>
          <w:sz w:val="24"/>
          <w:szCs w:val="24"/>
        </w:rPr>
        <w:t>the degree to which other distributors are making similar errors</w:t>
      </w:r>
    </w:p>
    <w:p w14:paraId="376077F7" w14:textId="77777777" w:rsidR="00B530CD" w:rsidRDefault="00B530CD" w:rsidP="00B9721C">
      <w:pPr>
        <w:spacing w:after="0"/>
        <w:rPr>
          <w:rFonts w:ascii="Arial" w:hAnsi="Arial" w:cs="Arial"/>
          <w:sz w:val="24"/>
          <w:szCs w:val="24"/>
        </w:rPr>
      </w:pPr>
    </w:p>
    <w:p w14:paraId="3FB310D6" w14:textId="1C796228" w:rsidR="00191351" w:rsidRPr="00191351" w:rsidRDefault="00191351" w:rsidP="00191351">
      <w:pPr>
        <w:spacing w:after="240" w:line="240" w:lineRule="auto"/>
        <w:rPr>
          <w:rFonts w:ascii="Arial" w:hAnsi="Arial" w:cs="Arial"/>
          <w:b/>
          <w:bCs/>
          <w:sz w:val="24"/>
          <w:szCs w:val="24"/>
        </w:rPr>
      </w:pPr>
      <w:r w:rsidRPr="00191351">
        <w:rPr>
          <w:rFonts w:ascii="Arial" w:hAnsi="Arial" w:cs="Arial"/>
          <w:b/>
          <w:bCs/>
          <w:sz w:val="24"/>
          <w:szCs w:val="24"/>
        </w:rPr>
        <w:t>Question</w:t>
      </w:r>
      <w:r>
        <w:rPr>
          <w:rFonts w:ascii="Arial" w:hAnsi="Arial" w:cs="Arial"/>
          <w:b/>
          <w:bCs/>
          <w:sz w:val="24"/>
          <w:szCs w:val="24"/>
        </w:rPr>
        <w:t>s</w:t>
      </w:r>
      <w:r w:rsidRPr="00191351">
        <w:rPr>
          <w:rFonts w:ascii="Arial" w:hAnsi="Arial" w:cs="Arial"/>
          <w:b/>
          <w:bCs/>
          <w:sz w:val="24"/>
          <w:szCs w:val="24"/>
        </w:rPr>
        <w:t>:</w:t>
      </w:r>
    </w:p>
    <w:p w14:paraId="2A942873" w14:textId="77777777" w:rsidR="00B01A26" w:rsidRDefault="009D673A" w:rsidP="00E72053">
      <w:pPr>
        <w:pStyle w:val="ListParagraph"/>
        <w:numPr>
          <w:ilvl w:val="0"/>
          <w:numId w:val="22"/>
        </w:numPr>
        <w:spacing w:after="240" w:line="240" w:lineRule="auto"/>
        <w:rPr>
          <w:sz w:val="24"/>
          <w:szCs w:val="24"/>
        </w:rPr>
      </w:pPr>
      <w:r>
        <w:rPr>
          <w:sz w:val="24"/>
          <w:szCs w:val="24"/>
        </w:rPr>
        <w:lastRenderedPageBreak/>
        <w:t>Please explain whether any of the adjustmen</w:t>
      </w:r>
      <w:r w:rsidR="007C1832">
        <w:rPr>
          <w:sz w:val="24"/>
          <w:szCs w:val="24"/>
        </w:rPr>
        <w:t>t</w:t>
      </w:r>
      <w:r>
        <w:rPr>
          <w:sz w:val="24"/>
          <w:szCs w:val="24"/>
        </w:rPr>
        <w:t xml:space="preserve">s identified in Table 8 impacts the final disposed balances </w:t>
      </w:r>
      <w:r w:rsidR="002776DC">
        <w:rPr>
          <w:sz w:val="24"/>
          <w:szCs w:val="24"/>
        </w:rPr>
        <w:t xml:space="preserve">for both rate zones. </w:t>
      </w:r>
    </w:p>
    <w:p w14:paraId="213F565E" w14:textId="3E9361F6" w:rsidR="00B01A26" w:rsidRDefault="002776DC" w:rsidP="00B01A26">
      <w:pPr>
        <w:pStyle w:val="ListParagraph"/>
        <w:numPr>
          <w:ilvl w:val="0"/>
          <w:numId w:val="29"/>
        </w:numPr>
        <w:spacing w:after="240" w:line="240" w:lineRule="auto"/>
        <w:rPr>
          <w:sz w:val="24"/>
          <w:szCs w:val="24"/>
        </w:rPr>
      </w:pPr>
      <w:r>
        <w:rPr>
          <w:sz w:val="24"/>
          <w:szCs w:val="24"/>
        </w:rPr>
        <w:t xml:space="preserve">If so, please provide the details regarding the </w:t>
      </w:r>
      <w:r w:rsidR="007C1832">
        <w:rPr>
          <w:sz w:val="24"/>
          <w:szCs w:val="24"/>
        </w:rPr>
        <w:t>periods impacted and how it was impacted.</w:t>
      </w:r>
      <w:r w:rsidR="00802548">
        <w:rPr>
          <w:sz w:val="24"/>
          <w:szCs w:val="24"/>
        </w:rPr>
        <w:t xml:space="preserve"> </w:t>
      </w:r>
    </w:p>
    <w:p w14:paraId="53332371" w14:textId="79B114B6" w:rsidR="009D673A" w:rsidRDefault="00B01A26" w:rsidP="00B01A26">
      <w:pPr>
        <w:pStyle w:val="ListParagraph"/>
        <w:numPr>
          <w:ilvl w:val="0"/>
          <w:numId w:val="29"/>
        </w:numPr>
        <w:spacing w:after="240" w:line="240" w:lineRule="auto"/>
        <w:rPr>
          <w:sz w:val="24"/>
          <w:szCs w:val="24"/>
        </w:rPr>
      </w:pPr>
      <w:r>
        <w:rPr>
          <w:sz w:val="24"/>
          <w:szCs w:val="24"/>
        </w:rPr>
        <w:t xml:space="preserve">If so, please provide </w:t>
      </w:r>
      <w:r w:rsidR="00802548">
        <w:rPr>
          <w:sz w:val="24"/>
          <w:szCs w:val="24"/>
        </w:rPr>
        <w:t xml:space="preserve">NT Power’s consideration regarding the </w:t>
      </w:r>
      <w:r w:rsidR="002A5B56">
        <w:rPr>
          <w:sz w:val="24"/>
          <w:szCs w:val="24"/>
        </w:rPr>
        <w:t>rates retroactivity issues raised in the OEB’s Oct 31, 2019 letter</w:t>
      </w:r>
      <w:r w:rsidR="0006476E">
        <w:rPr>
          <w:sz w:val="24"/>
          <w:szCs w:val="24"/>
        </w:rPr>
        <w:t xml:space="preserve"> in Reference 5</w:t>
      </w:r>
      <w:r w:rsidR="002A5B56">
        <w:rPr>
          <w:sz w:val="24"/>
          <w:szCs w:val="24"/>
        </w:rPr>
        <w:t xml:space="preserve">. </w:t>
      </w:r>
    </w:p>
    <w:p w14:paraId="1974920A" w14:textId="6C3D2ECF" w:rsidR="0006476E" w:rsidRDefault="0006476E" w:rsidP="00153F94">
      <w:pPr>
        <w:pStyle w:val="ListParagraph"/>
        <w:numPr>
          <w:ilvl w:val="1"/>
          <w:numId w:val="29"/>
        </w:numPr>
        <w:spacing w:after="240" w:line="240" w:lineRule="auto"/>
        <w:rPr>
          <w:sz w:val="24"/>
          <w:szCs w:val="24"/>
        </w:rPr>
      </w:pPr>
      <w:r>
        <w:rPr>
          <w:sz w:val="24"/>
          <w:szCs w:val="24"/>
        </w:rPr>
        <w:t>Please also comment on the four factors outlined in Reference 5</w:t>
      </w:r>
      <w:r w:rsidR="00802108">
        <w:rPr>
          <w:sz w:val="24"/>
          <w:szCs w:val="24"/>
        </w:rPr>
        <w:t>.</w:t>
      </w:r>
    </w:p>
    <w:p w14:paraId="6569CA0F" w14:textId="0204D45C" w:rsidR="00F20321" w:rsidRDefault="00F20321" w:rsidP="00153F94">
      <w:pPr>
        <w:pStyle w:val="ListParagraph"/>
        <w:numPr>
          <w:ilvl w:val="0"/>
          <w:numId w:val="29"/>
        </w:numPr>
        <w:spacing w:after="240" w:line="240" w:lineRule="auto"/>
        <w:rPr>
          <w:sz w:val="24"/>
          <w:szCs w:val="24"/>
        </w:rPr>
      </w:pPr>
      <w:r>
        <w:rPr>
          <w:sz w:val="24"/>
          <w:szCs w:val="24"/>
        </w:rPr>
        <w:t xml:space="preserve">If not, please explain why not, especially </w:t>
      </w:r>
      <w:r w:rsidR="00756A14">
        <w:rPr>
          <w:sz w:val="24"/>
          <w:szCs w:val="24"/>
        </w:rPr>
        <w:t xml:space="preserve">related to the </w:t>
      </w:r>
      <w:r w:rsidR="0063758E">
        <w:rPr>
          <w:sz w:val="24"/>
          <w:szCs w:val="24"/>
        </w:rPr>
        <w:t xml:space="preserve">adjustment for </w:t>
      </w:r>
      <w:r w:rsidR="00756A14">
        <w:rPr>
          <w:sz w:val="24"/>
          <w:szCs w:val="24"/>
        </w:rPr>
        <w:t>2020</w:t>
      </w:r>
      <w:r w:rsidR="0063758E">
        <w:rPr>
          <w:sz w:val="24"/>
          <w:szCs w:val="24"/>
        </w:rPr>
        <w:t xml:space="preserve"> settlement credit recorded twice, </w:t>
      </w:r>
    </w:p>
    <w:p w14:paraId="0CBB461B" w14:textId="77777777" w:rsidR="007C1832" w:rsidRDefault="007C1832" w:rsidP="00153F94">
      <w:pPr>
        <w:pStyle w:val="ListParagraph"/>
        <w:spacing w:after="240" w:line="240" w:lineRule="auto"/>
        <w:rPr>
          <w:sz w:val="24"/>
          <w:szCs w:val="24"/>
        </w:rPr>
      </w:pPr>
    </w:p>
    <w:p w14:paraId="4104E816" w14:textId="74D2B9E9" w:rsidR="00E72053" w:rsidRDefault="00E72053" w:rsidP="00B01A26">
      <w:pPr>
        <w:pStyle w:val="ListParagraph"/>
        <w:numPr>
          <w:ilvl w:val="0"/>
          <w:numId w:val="22"/>
        </w:numPr>
        <w:spacing w:after="240" w:line="240" w:lineRule="auto"/>
        <w:rPr>
          <w:sz w:val="24"/>
          <w:szCs w:val="24"/>
        </w:rPr>
      </w:pPr>
      <w:r>
        <w:rPr>
          <w:sz w:val="24"/>
          <w:szCs w:val="24"/>
        </w:rPr>
        <w:t xml:space="preserve">Please explain </w:t>
      </w:r>
      <w:r w:rsidR="00F101F9">
        <w:rPr>
          <w:sz w:val="24"/>
          <w:szCs w:val="24"/>
        </w:rPr>
        <w:t xml:space="preserve">in detail </w:t>
      </w:r>
      <w:r>
        <w:rPr>
          <w:sz w:val="24"/>
          <w:szCs w:val="24"/>
        </w:rPr>
        <w:t xml:space="preserve">what “a post settlement class A adjustment” in Reference 2 means. </w:t>
      </w:r>
    </w:p>
    <w:p w14:paraId="744873BF" w14:textId="4A3FB0B9" w:rsidR="00E72053" w:rsidRDefault="00E72053" w:rsidP="00B01A26">
      <w:pPr>
        <w:pStyle w:val="ListParagraph"/>
        <w:numPr>
          <w:ilvl w:val="0"/>
          <w:numId w:val="22"/>
        </w:numPr>
        <w:spacing w:after="240" w:line="240" w:lineRule="auto"/>
        <w:rPr>
          <w:sz w:val="24"/>
          <w:szCs w:val="24"/>
        </w:rPr>
      </w:pPr>
      <w:r>
        <w:rPr>
          <w:sz w:val="24"/>
          <w:szCs w:val="24"/>
        </w:rPr>
        <w:t xml:space="preserve">Please </w:t>
      </w:r>
      <w:r w:rsidR="0034446A">
        <w:rPr>
          <w:sz w:val="24"/>
          <w:szCs w:val="24"/>
        </w:rPr>
        <w:t xml:space="preserve">confirm that </w:t>
      </w:r>
      <w:r>
        <w:rPr>
          <w:sz w:val="24"/>
          <w:szCs w:val="24"/>
        </w:rPr>
        <w:t xml:space="preserve">the </w:t>
      </w:r>
      <w:r w:rsidR="00C27B26">
        <w:rPr>
          <w:sz w:val="24"/>
          <w:szCs w:val="24"/>
        </w:rPr>
        <w:t xml:space="preserve">adjustment of </w:t>
      </w:r>
      <w:r>
        <w:rPr>
          <w:sz w:val="24"/>
          <w:szCs w:val="24"/>
        </w:rPr>
        <w:t xml:space="preserve">$(768,874) in Reference 2 </w:t>
      </w:r>
      <w:r w:rsidR="00C27B26">
        <w:rPr>
          <w:sz w:val="24"/>
          <w:szCs w:val="24"/>
        </w:rPr>
        <w:t xml:space="preserve">was not included in the final disposed </w:t>
      </w:r>
      <w:r w:rsidR="00922BFC">
        <w:rPr>
          <w:sz w:val="24"/>
          <w:szCs w:val="24"/>
        </w:rPr>
        <w:t>2020 balance in 2022 IRM application. If so, please</w:t>
      </w:r>
      <w:r w:rsidR="0034446A" w:rsidRPr="0034446A">
        <w:rPr>
          <w:sz w:val="24"/>
          <w:szCs w:val="24"/>
        </w:rPr>
        <w:t xml:space="preserve"> </w:t>
      </w:r>
      <w:r w:rsidR="0034446A">
        <w:rPr>
          <w:sz w:val="24"/>
          <w:szCs w:val="24"/>
        </w:rPr>
        <w:t>explain why</w:t>
      </w:r>
      <w:r w:rsidR="00922BFC">
        <w:rPr>
          <w:sz w:val="24"/>
          <w:szCs w:val="24"/>
        </w:rPr>
        <w:t>.</w:t>
      </w:r>
    </w:p>
    <w:p w14:paraId="6E228175" w14:textId="698E3291" w:rsidR="00531BF1" w:rsidRDefault="00531BF1" w:rsidP="00B01A26">
      <w:pPr>
        <w:pStyle w:val="ListParagraph"/>
        <w:numPr>
          <w:ilvl w:val="0"/>
          <w:numId w:val="22"/>
        </w:numPr>
        <w:spacing w:after="240" w:line="240" w:lineRule="auto"/>
        <w:rPr>
          <w:sz w:val="24"/>
          <w:szCs w:val="24"/>
        </w:rPr>
      </w:pPr>
      <w:r>
        <w:rPr>
          <w:sz w:val="24"/>
          <w:szCs w:val="24"/>
        </w:rPr>
        <w:t>Please explain whether there is a corresponding adjustment to Account 1588 relating to the $(768,874) adjustment. Please why or why not.</w:t>
      </w:r>
    </w:p>
    <w:p w14:paraId="3B164901" w14:textId="5186775B" w:rsidR="00B9721C" w:rsidRPr="00956A67" w:rsidRDefault="00B9721C">
      <w:pPr>
        <w:pStyle w:val="ListParagraph"/>
        <w:numPr>
          <w:ilvl w:val="0"/>
          <w:numId w:val="22"/>
        </w:numPr>
        <w:spacing w:after="240" w:line="240" w:lineRule="auto"/>
        <w:rPr>
          <w:sz w:val="24"/>
          <w:szCs w:val="24"/>
        </w:rPr>
      </w:pPr>
      <w:r w:rsidRPr="00956A67">
        <w:rPr>
          <w:sz w:val="24"/>
          <w:szCs w:val="24"/>
        </w:rPr>
        <w:t xml:space="preserve">Please confirm the reconciling item #8 of $(768,874) in Reference 1 </w:t>
      </w:r>
      <w:r w:rsidR="00E72053" w:rsidRPr="00956A67">
        <w:rPr>
          <w:sz w:val="24"/>
          <w:szCs w:val="24"/>
        </w:rPr>
        <w:t xml:space="preserve">Tab GA2021 </w:t>
      </w:r>
      <w:r w:rsidRPr="00956A67">
        <w:rPr>
          <w:sz w:val="24"/>
          <w:szCs w:val="24"/>
        </w:rPr>
        <w:t>was recorded in the</w:t>
      </w:r>
      <w:r w:rsidR="00B45EAD" w:rsidRPr="00956A67">
        <w:rPr>
          <w:sz w:val="24"/>
          <w:szCs w:val="24"/>
        </w:rPr>
        <w:t xml:space="preserve"> 2021</w:t>
      </w:r>
      <w:r w:rsidRPr="00956A67">
        <w:rPr>
          <w:sz w:val="24"/>
          <w:szCs w:val="24"/>
        </w:rPr>
        <w:t xml:space="preserve"> GL.</w:t>
      </w:r>
    </w:p>
    <w:p w14:paraId="292620D4" w14:textId="4A27CEEF" w:rsidR="005F3CC0" w:rsidRDefault="00B9721C">
      <w:pPr>
        <w:pStyle w:val="ListParagraph"/>
        <w:numPr>
          <w:ilvl w:val="1"/>
          <w:numId w:val="22"/>
        </w:numPr>
        <w:spacing w:after="240" w:line="240" w:lineRule="auto"/>
        <w:rPr>
          <w:color w:val="000000" w:themeColor="text1"/>
          <w:sz w:val="24"/>
          <w:szCs w:val="24"/>
        </w:rPr>
      </w:pPr>
      <w:r w:rsidRPr="00153F94">
        <w:rPr>
          <w:color w:val="000000" w:themeColor="text1"/>
          <w:sz w:val="24"/>
          <w:szCs w:val="24"/>
        </w:rPr>
        <w:t xml:space="preserve">If confirmed, </w:t>
      </w:r>
      <w:r w:rsidR="00A84C0D" w:rsidRPr="00153F94">
        <w:rPr>
          <w:color w:val="000000" w:themeColor="text1"/>
          <w:sz w:val="24"/>
          <w:szCs w:val="24"/>
        </w:rPr>
        <w:t>please also confirm the $</w:t>
      </w:r>
      <w:r w:rsidR="00C340A8">
        <w:rPr>
          <w:color w:val="000000" w:themeColor="text1"/>
          <w:sz w:val="24"/>
          <w:szCs w:val="24"/>
        </w:rPr>
        <w:t>(</w:t>
      </w:r>
      <w:r w:rsidR="00A84C0D" w:rsidRPr="00153F94">
        <w:rPr>
          <w:color w:val="000000" w:themeColor="text1"/>
          <w:sz w:val="24"/>
          <w:szCs w:val="24"/>
        </w:rPr>
        <w:t>768,874</w:t>
      </w:r>
      <w:r w:rsidR="00C340A8">
        <w:rPr>
          <w:color w:val="000000" w:themeColor="text1"/>
          <w:sz w:val="24"/>
          <w:szCs w:val="24"/>
        </w:rPr>
        <w:t>)</w:t>
      </w:r>
      <w:r w:rsidR="00A84C0D" w:rsidRPr="00153F94">
        <w:rPr>
          <w:color w:val="000000" w:themeColor="text1"/>
          <w:sz w:val="24"/>
          <w:szCs w:val="24"/>
        </w:rPr>
        <w:t xml:space="preserve"> </w:t>
      </w:r>
      <w:r w:rsidR="005F3CC0">
        <w:rPr>
          <w:color w:val="000000" w:themeColor="text1"/>
          <w:sz w:val="24"/>
          <w:szCs w:val="24"/>
        </w:rPr>
        <w:t>wa</w:t>
      </w:r>
      <w:r w:rsidR="00F22B74">
        <w:rPr>
          <w:color w:val="000000" w:themeColor="text1"/>
          <w:sz w:val="24"/>
          <w:szCs w:val="24"/>
        </w:rPr>
        <w:t xml:space="preserve">s not included in </w:t>
      </w:r>
      <w:proofErr w:type="gramStart"/>
      <w:r w:rsidR="00F22B74">
        <w:rPr>
          <w:color w:val="000000" w:themeColor="text1"/>
          <w:sz w:val="24"/>
          <w:szCs w:val="24"/>
        </w:rPr>
        <w:t xml:space="preserve">the  </w:t>
      </w:r>
      <w:r w:rsidR="005F3CC0">
        <w:rPr>
          <w:color w:val="000000" w:themeColor="text1"/>
          <w:sz w:val="24"/>
          <w:szCs w:val="24"/>
        </w:rPr>
        <w:t>“</w:t>
      </w:r>
      <w:proofErr w:type="gramEnd"/>
      <w:r w:rsidR="00F22B74">
        <w:rPr>
          <w:color w:val="000000" w:themeColor="text1"/>
          <w:sz w:val="24"/>
          <w:szCs w:val="24"/>
        </w:rPr>
        <w:t>Net Change in Principal Balance in the GL</w:t>
      </w:r>
      <w:r w:rsidR="005F3CC0">
        <w:rPr>
          <w:color w:val="000000" w:themeColor="text1"/>
          <w:sz w:val="24"/>
          <w:szCs w:val="24"/>
        </w:rPr>
        <w:t>” of $(488,210)</w:t>
      </w:r>
      <w:r w:rsidR="00BA7E7A">
        <w:rPr>
          <w:color w:val="000000" w:themeColor="text1"/>
          <w:sz w:val="24"/>
          <w:szCs w:val="24"/>
        </w:rPr>
        <w:t xml:space="preserve"> on the Reference 1 Tab GA2021 Cell C75</w:t>
      </w:r>
      <w:r w:rsidR="005F3CC0">
        <w:rPr>
          <w:color w:val="000000" w:themeColor="text1"/>
          <w:sz w:val="24"/>
          <w:szCs w:val="24"/>
        </w:rPr>
        <w:t xml:space="preserve">.  </w:t>
      </w:r>
    </w:p>
    <w:p w14:paraId="60FB6D00" w14:textId="4BA40276" w:rsidR="00B9721C" w:rsidRPr="00153F94" w:rsidRDefault="00C340A8" w:rsidP="00153F94">
      <w:pPr>
        <w:pStyle w:val="ListParagraph"/>
        <w:numPr>
          <w:ilvl w:val="2"/>
          <w:numId w:val="22"/>
        </w:numPr>
        <w:spacing w:after="240" w:line="240" w:lineRule="auto"/>
        <w:rPr>
          <w:color w:val="000000" w:themeColor="text1"/>
          <w:sz w:val="24"/>
          <w:szCs w:val="24"/>
        </w:rPr>
      </w:pPr>
      <w:r>
        <w:rPr>
          <w:color w:val="000000" w:themeColor="text1"/>
          <w:sz w:val="24"/>
          <w:szCs w:val="24"/>
        </w:rPr>
        <w:t>P</w:t>
      </w:r>
      <w:r w:rsidR="00B9721C" w:rsidRPr="00153F94">
        <w:rPr>
          <w:color w:val="000000" w:themeColor="text1"/>
          <w:sz w:val="24"/>
          <w:szCs w:val="24"/>
        </w:rPr>
        <w:t xml:space="preserve">lease </w:t>
      </w:r>
      <w:r w:rsidR="00BA7E7A">
        <w:rPr>
          <w:color w:val="000000" w:themeColor="text1"/>
          <w:sz w:val="24"/>
          <w:szCs w:val="24"/>
        </w:rPr>
        <w:t xml:space="preserve">explain </w:t>
      </w:r>
      <w:r>
        <w:rPr>
          <w:color w:val="000000" w:themeColor="text1"/>
          <w:sz w:val="24"/>
          <w:szCs w:val="24"/>
        </w:rPr>
        <w:t xml:space="preserve">why </w:t>
      </w:r>
      <w:r w:rsidR="00BA7E7A">
        <w:rPr>
          <w:color w:val="000000" w:themeColor="text1"/>
          <w:sz w:val="24"/>
          <w:szCs w:val="24"/>
        </w:rPr>
        <w:t>the $(768,874) was a reconciling item. Please revise the evidence as needed.</w:t>
      </w:r>
      <w:r w:rsidR="00B9721C" w:rsidRPr="00153F94">
        <w:rPr>
          <w:color w:val="000000" w:themeColor="text1"/>
          <w:sz w:val="24"/>
          <w:szCs w:val="24"/>
        </w:rPr>
        <w:t xml:space="preserve"> </w:t>
      </w:r>
    </w:p>
    <w:p w14:paraId="28917756" w14:textId="77777777" w:rsidR="00B9721C" w:rsidRPr="009B60BC" w:rsidRDefault="00B9721C" w:rsidP="00153F94">
      <w:pPr>
        <w:pStyle w:val="ListParagraph"/>
        <w:numPr>
          <w:ilvl w:val="1"/>
          <w:numId w:val="22"/>
        </w:numPr>
        <w:spacing w:after="240" w:line="240" w:lineRule="auto"/>
        <w:rPr>
          <w:sz w:val="24"/>
          <w:szCs w:val="24"/>
        </w:rPr>
      </w:pPr>
      <w:r w:rsidRPr="009B60BC">
        <w:rPr>
          <w:sz w:val="24"/>
          <w:szCs w:val="24"/>
        </w:rPr>
        <w:t>If not confirmed, please explain why</w:t>
      </w:r>
      <w:r>
        <w:rPr>
          <w:sz w:val="24"/>
          <w:szCs w:val="24"/>
        </w:rPr>
        <w:t xml:space="preserve"> the $(768,874) is not shown as principal adjustment</w:t>
      </w:r>
      <w:r w:rsidRPr="009B60BC">
        <w:rPr>
          <w:sz w:val="24"/>
          <w:szCs w:val="24"/>
        </w:rPr>
        <w:t>.</w:t>
      </w:r>
    </w:p>
    <w:p w14:paraId="258CAC1E" w14:textId="30512BBA" w:rsidR="00964C83" w:rsidRDefault="00964C83" w:rsidP="00150969">
      <w:pPr>
        <w:pStyle w:val="ListParagraph"/>
        <w:numPr>
          <w:ilvl w:val="0"/>
          <w:numId w:val="22"/>
        </w:numPr>
        <w:spacing w:after="0" w:line="276" w:lineRule="auto"/>
        <w:rPr>
          <w:sz w:val="24"/>
          <w:szCs w:val="24"/>
        </w:rPr>
      </w:pPr>
      <w:r>
        <w:rPr>
          <w:sz w:val="24"/>
          <w:szCs w:val="24"/>
        </w:rPr>
        <w:t xml:space="preserve">The $878,424 in reference 3 does not match with the adjustment of $879,425 on NTRZ GA Analysis Workform in reference 1 Tab GA 2021 Cell. Please explain why.  </w:t>
      </w:r>
    </w:p>
    <w:p w14:paraId="31AE0684" w14:textId="3B90EBE9" w:rsidR="00150969" w:rsidRDefault="00150969" w:rsidP="00150969">
      <w:pPr>
        <w:pStyle w:val="ListParagraph"/>
        <w:numPr>
          <w:ilvl w:val="0"/>
          <w:numId w:val="22"/>
        </w:numPr>
        <w:spacing w:after="0" w:line="276" w:lineRule="auto"/>
        <w:rPr>
          <w:sz w:val="24"/>
          <w:szCs w:val="24"/>
        </w:rPr>
      </w:pPr>
      <w:r w:rsidRPr="00814F78">
        <w:rPr>
          <w:sz w:val="24"/>
          <w:szCs w:val="24"/>
        </w:rPr>
        <w:t xml:space="preserve">Please explain how NT </w:t>
      </w:r>
      <w:r>
        <w:rPr>
          <w:sz w:val="24"/>
          <w:szCs w:val="24"/>
        </w:rPr>
        <w:t>P</w:t>
      </w:r>
      <w:r w:rsidRPr="00814F78">
        <w:rPr>
          <w:sz w:val="24"/>
          <w:szCs w:val="24"/>
        </w:rPr>
        <w:t xml:space="preserve">ower identified the errors </w:t>
      </w:r>
      <w:r>
        <w:rPr>
          <w:sz w:val="24"/>
          <w:szCs w:val="24"/>
        </w:rPr>
        <w:t xml:space="preserve">in Reference 3 &amp; 4 </w:t>
      </w:r>
      <w:r w:rsidRPr="00814F78">
        <w:rPr>
          <w:sz w:val="24"/>
          <w:szCs w:val="24"/>
        </w:rPr>
        <w:t xml:space="preserve">and </w:t>
      </w:r>
      <w:r>
        <w:rPr>
          <w:sz w:val="24"/>
          <w:szCs w:val="24"/>
        </w:rPr>
        <w:t xml:space="preserve">explain the nature of the adjustments in details. </w:t>
      </w:r>
    </w:p>
    <w:p w14:paraId="7C3CC107" w14:textId="77777777" w:rsidR="00150969" w:rsidRPr="00814F78" w:rsidRDefault="00150969" w:rsidP="00150969">
      <w:pPr>
        <w:pStyle w:val="ListParagraph"/>
        <w:numPr>
          <w:ilvl w:val="0"/>
          <w:numId w:val="22"/>
        </w:numPr>
        <w:spacing w:after="0" w:line="276" w:lineRule="auto"/>
        <w:rPr>
          <w:sz w:val="24"/>
          <w:szCs w:val="24"/>
        </w:rPr>
      </w:pPr>
      <w:r>
        <w:rPr>
          <w:sz w:val="24"/>
          <w:szCs w:val="24"/>
        </w:rPr>
        <w:t xml:space="preserve">Please confirm that the two adjustments pertain to the year of 2021 but not impact any other prior years. If not, please provide the details regarding the periods that are impacts and the associated adjustments in the periods.  </w:t>
      </w:r>
    </w:p>
    <w:p w14:paraId="41C629E5" w14:textId="77777777" w:rsidR="00150969" w:rsidRPr="00394E9F" w:rsidRDefault="00150969" w:rsidP="00150969">
      <w:pPr>
        <w:pStyle w:val="ListParagraph"/>
        <w:numPr>
          <w:ilvl w:val="0"/>
          <w:numId w:val="22"/>
        </w:numPr>
        <w:spacing w:after="0" w:line="276" w:lineRule="auto"/>
        <w:rPr>
          <w:color w:val="000000" w:themeColor="text1"/>
          <w:sz w:val="24"/>
          <w:szCs w:val="24"/>
        </w:rPr>
      </w:pPr>
      <w:r w:rsidRPr="00814F78">
        <w:rPr>
          <w:sz w:val="24"/>
          <w:szCs w:val="24"/>
        </w:rPr>
        <w:t xml:space="preserve">Please elaborate </w:t>
      </w:r>
      <w:r>
        <w:rPr>
          <w:sz w:val="24"/>
          <w:szCs w:val="24"/>
        </w:rPr>
        <w:t xml:space="preserve">on </w:t>
      </w:r>
      <w:r w:rsidRPr="00814F78">
        <w:rPr>
          <w:sz w:val="24"/>
          <w:szCs w:val="24"/>
        </w:rPr>
        <w:t xml:space="preserve">NT Power’s plan to address </w:t>
      </w:r>
      <w:r w:rsidRPr="00394E9F">
        <w:rPr>
          <w:color w:val="000000" w:themeColor="text1"/>
          <w:sz w:val="24"/>
          <w:szCs w:val="24"/>
        </w:rPr>
        <w:t xml:space="preserve">its </w:t>
      </w:r>
      <w:r>
        <w:rPr>
          <w:color w:val="000000" w:themeColor="text1"/>
          <w:sz w:val="24"/>
          <w:szCs w:val="24"/>
        </w:rPr>
        <w:t xml:space="preserve">global adjustment allocation </w:t>
      </w:r>
      <w:r w:rsidRPr="00394E9F">
        <w:rPr>
          <w:color w:val="000000" w:themeColor="text1"/>
          <w:sz w:val="24"/>
          <w:szCs w:val="24"/>
        </w:rPr>
        <w:t>practices</w:t>
      </w:r>
      <w:r>
        <w:rPr>
          <w:color w:val="000000" w:themeColor="text1"/>
          <w:sz w:val="24"/>
          <w:szCs w:val="24"/>
        </w:rPr>
        <w:t xml:space="preserve"> moving forward.</w:t>
      </w:r>
    </w:p>
    <w:p w14:paraId="6F9BEC04" w14:textId="77777777" w:rsidR="00B9721C" w:rsidRDefault="00B9721C" w:rsidP="00B9721C">
      <w:pPr>
        <w:spacing w:after="0"/>
        <w:rPr>
          <w:rFonts w:ascii="Arial" w:hAnsi="Arial" w:cs="Arial"/>
          <w:sz w:val="24"/>
          <w:szCs w:val="24"/>
        </w:rPr>
      </w:pPr>
    </w:p>
    <w:p w14:paraId="61862912" w14:textId="77777777" w:rsidR="00CE0BAE" w:rsidRPr="00394E9F" w:rsidRDefault="00CE0BAE" w:rsidP="00CE0BAE">
      <w:pPr>
        <w:spacing w:after="0"/>
        <w:rPr>
          <w:rFonts w:ascii="Arial" w:hAnsi="Arial" w:cs="Arial"/>
          <w:color w:val="000000" w:themeColor="text1"/>
          <w:sz w:val="24"/>
          <w:szCs w:val="24"/>
        </w:rPr>
      </w:pPr>
    </w:p>
    <w:p w14:paraId="0E0B55DC" w14:textId="09D8067C" w:rsidR="00B9721C" w:rsidRPr="00CE0BAE" w:rsidRDefault="00CE0BAE" w:rsidP="00B9721C">
      <w:pPr>
        <w:rPr>
          <w:rFonts w:ascii="Arial" w:hAnsi="Arial" w:cs="Arial"/>
          <w:b/>
          <w:bCs/>
          <w:color w:val="000000" w:themeColor="text1"/>
          <w:sz w:val="24"/>
          <w:szCs w:val="24"/>
        </w:rPr>
      </w:pPr>
      <w:r>
        <w:rPr>
          <w:rFonts w:ascii="Arial" w:hAnsi="Arial" w:cs="Arial"/>
          <w:b/>
          <w:bCs/>
          <w:color w:val="000000" w:themeColor="text1"/>
          <w:sz w:val="24"/>
          <w:szCs w:val="24"/>
        </w:rPr>
        <w:t xml:space="preserve">OEB </w:t>
      </w:r>
      <w:r w:rsidR="00B9721C" w:rsidRPr="00CE0BAE">
        <w:rPr>
          <w:rFonts w:ascii="Arial" w:hAnsi="Arial" w:cs="Arial"/>
          <w:b/>
          <w:bCs/>
          <w:color w:val="000000" w:themeColor="text1"/>
          <w:sz w:val="24"/>
          <w:szCs w:val="24"/>
        </w:rPr>
        <w:t>Staff -</w:t>
      </w:r>
      <w:r>
        <w:rPr>
          <w:rFonts w:ascii="Arial" w:hAnsi="Arial" w:cs="Arial"/>
          <w:b/>
          <w:bCs/>
          <w:color w:val="000000" w:themeColor="text1"/>
          <w:sz w:val="24"/>
          <w:szCs w:val="24"/>
        </w:rPr>
        <w:t xml:space="preserve"> </w:t>
      </w:r>
      <w:r w:rsidR="00531BF1">
        <w:rPr>
          <w:rFonts w:ascii="Arial" w:hAnsi="Arial" w:cs="Arial"/>
          <w:b/>
          <w:bCs/>
          <w:color w:val="000000" w:themeColor="text1"/>
          <w:sz w:val="24"/>
          <w:szCs w:val="24"/>
        </w:rPr>
        <w:t>8</w:t>
      </w:r>
    </w:p>
    <w:p w14:paraId="63E99157" w14:textId="35A242FE" w:rsidR="00B9721C" w:rsidRPr="00CE0BAE" w:rsidRDefault="00B9721C" w:rsidP="00B9721C">
      <w:pPr>
        <w:spacing w:after="0"/>
        <w:rPr>
          <w:rFonts w:ascii="Arial" w:hAnsi="Arial" w:cs="Arial"/>
          <w:b/>
          <w:bCs/>
          <w:color w:val="000000" w:themeColor="text1"/>
          <w:sz w:val="24"/>
          <w:szCs w:val="24"/>
        </w:rPr>
      </w:pPr>
      <w:r w:rsidRPr="00CE0BAE">
        <w:rPr>
          <w:rFonts w:ascii="Arial" w:hAnsi="Arial" w:cs="Arial"/>
          <w:b/>
          <w:bCs/>
          <w:color w:val="000000" w:themeColor="text1"/>
          <w:sz w:val="24"/>
          <w:szCs w:val="24"/>
        </w:rPr>
        <w:t>Ref: M</w:t>
      </w:r>
      <w:r w:rsidR="00EE661A">
        <w:rPr>
          <w:rFonts w:ascii="Arial" w:hAnsi="Arial" w:cs="Arial"/>
          <w:b/>
          <w:bCs/>
          <w:color w:val="000000" w:themeColor="text1"/>
          <w:sz w:val="24"/>
          <w:szCs w:val="24"/>
        </w:rPr>
        <w:t>RZ 2023 Rate Generator model, Tab 3</w:t>
      </w:r>
      <w:r w:rsidRPr="00CE0BAE">
        <w:rPr>
          <w:rFonts w:ascii="Arial" w:hAnsi="Arial" w:cs="Arial"/>
          <w:b/>
          <w:bCs/>
          <w:color w:val="000000" w:themeColor="text1"/>
          <w:sz w:val="24"/>
          <w:szCs w:val="24"/>
        </w:rPr>
        <w:t xml:space="preserve"> </w:t>
      </w:r>
    </w:p>
    <w:p w14:paraId="1279AE32" w14:textId="2CF0E10B" w:rsidR="00B9721C" w:rsidRDefault="00B9721C" w:rsidP="00B9721C">
      <w:pPr>
        <w:spacing w:after="0"/>
        <w:rPr>
          <w:rFonts w:ascii="Arial" w:hAnsi="Arial" w:cs="Arial"/>
          <w:b/>
          <w:bCs/>
          <w:color w:val="000000" w:themeColor="text1"/>
          <w:sz w:val="24"/>
          <w:szCs w:val="24"/>
        </w:rPr>
      </w:pPr>
    </w:p>
    <w:p w14:paraId="1A567818" w14:textId="2435FCBF" w:rsidR="005D1DAC" w:rsidRPr="00E039C8" w:rsidRDefault="005D1DAC" w:rsidP="005D1DAC">
      <w:pPr>
        <w:spacing w:after="0"/>
        <w:rPr>
          <w:rFonts w:ascii="Arial" w:hAnsi="Arial" w:cs="Arial"/>
          <w:b/>
          <w:bCs/>
          <w:color w:val="000000" w:themeColor="text1"/>
          <w:sz w:val="24"/>
          <w:szCs w:val="24"/>
        </w:rPr>
      </w:pPr>
      <w:r w:rsidRPr="00E039C8">
        <w:rPr>
          <w:rFonts w:ascii="Arial" w:hAnsi="Arial" w:cs="Arial"/>
          <w:b/>
          <w:bCs/>
          <w:color w:val="000000" w:themeColor="text1"/>
          <w:sz w:val="24"/>
          <w:szCs w:val="24"/>
        </w:rPr>
        <w:t>Question</w:t>
      </w:r>
      <w:r w:rsidR="007177E3">
        <w:rPr>
          <w:rFonts w:ascii="Arial" w:hAnsi="Arial" w:cs="Arial"/>
          <w:b/>
          <w:bCs/>
          <w:color w:val="000000" w:themeColor="text1"/>
          <w:sz w:val="24"/>
          <w:szCs w:val="24"/>
        </w:rPr>
        <w:t>:</w:t>
      </w:r>
    </w:p>
    <w:p w14:paraId="5395C2DB" w14:textId="77777777" w:rsidR="005D1DAC" w:rsidRDefault="005D1DAC" w:rsidP="005D1DAC">
      <w:pPr>
        <w:spacing w:after="0"/>
        <w:rPr>
          <w:rFonts w:ascii="Arial" w:hAnsi="Arial" w:cs="Arial"/>
          <w:b/>
          <w:bCs/>
          <w:color w:val="000000" w:themeColor="text1"/>
          <w:sz w:val="24"/>
          <w:szCs w:val="24"/>
        </w:rPr>
      </w:pPr>
    </w:p>
    <w:p w14:paraId="611C63BE" w14:textId="598D4EB3" w:rsidR="00B9721C" w:rsidRPr="005D1DAC" w:rsidRDefault="00EE661A" w:rsidP="005D1DAC">
      <w:pPr>
        <w:pStyle w:val="ListParagraph"/>
        <w:numPr>
          <w:ilvl w:val="0"/>
          <w:numId w:val="24"/>
        </w:numPr>
        <w:spacing w:after="0"/>
        <w:rPr>
          <w:color w:val="000000" w:themeColor="text1"/>
          <w:sz w:val="24"/>
          <w:szCs w:val="24"/>
        </w:rPr>
      </w:pPr>
      <w:r w:rsidRPr="005D1DAC">
        <w:rPr>
          <w:color w:val="000000" w:themeColor="text1"/>
          <w:sz w:val="24"/>
          <w:szCs w:val="24"/>
        </w:rPr>
        <w:lastRenderedPageBreak/>
        <w:t>OEB staff noted that the Projected Interest on Dec 31, 2021 Balances for Ac</w:t>
      </w:r>
      <w:r w:rsidR="005D1DAC" w:rsidRPr="005D1DAC">
        <w:rPr>
          <w:color w:val="000000" w:themeColor="text1"/>
          <w:sz w:val="24"/>
          <w:szCs w:val="24"/>
        </w:rPr>
        <w:t>c</w:t>
      </w:r>
      <w:r w:rsidRPr="005D1DAC">
        <w:rPr>
          <w:color w:val="000000" w:themeColor="text1"/>
          <w:sz w:val="24"/>
          <w:szCs w:val="24"/>
        </w:rPr>
        <w:t xml:space="preserve">ount 1595 </w:t>
      </w:r>
      <w:r w:rsidR="005D1DAC" w:rsidRPr="005D1DAC">
        <w:rPr>
          <w:color w:val="000000" w:themeColor="text1"/>
          <w:sz w:val="24"/>
          <w:szCs w:val="24"/>
        </w:rPr>
        <w:t xml:space="preserve">(2018) balances (Cell BQ33 &amp; BR33) </w:t>
      </w:r>
      <w:r w:rsidR="007177E3">
        <w:rPr>
          <w:color w:val="000000" w:themeColor="text1"/>
          <w:sz w:val="24"/>
          <w:szCs w:val="24"/>
        </w:rPr>
        <w:t xml:space="preserve">have </w:t>
      </w:r>
      <w:r w:rsidR="005D1DAC" w:rsidRPr="005D1DAC">
        <w:rPr>
          <w:color w:val="000000" w:themeColor="text1"/>
          <w:sz w:val="24"/>
          <w:szCs w:val="24"/>
        </w:rPr>
        <w:t xml:space="preserve">not yet been completed.  Please update the schedule and revise the </w:t>
      </w:r>
      <w:r w:rsidR="00A47F25">
        <w:rPr>
          <w:color w:val="000000" w:themeColor="text1"/>
          <w:sz w:val="24"/>
          <w:szCs w:val="24"/>
        </w:rPr>
        <w:t>evidence</w:t>
      </w:r>
      <w:r w:rsidR="00A47F25" w:rsidRPr="005D1DAC">
        <w:rPr>
          <w:color w:val="000000" w:themeColor="text1"/>
          <w:sz w:val="24"/>
          <w:szCs w:val="24"/>
        </w:rPr>
        <w:t xml:space="preserve"> </w:t>
      </w:r>
      <w:r w:rsidR="005D1DAC" w:rsidRPr="005D1DAC">
        <w:rPr>
          <w:color w:val="000000" w:themeColor="text1"/>
          <w:sz w:val="24"/>
          <w:szCs w:val="24"/>
        </w:rPr>
        <w:t>as needed.</w:t>
      </w:r>
    </w:p>
    <w:p w14:paraId="06BE60A0" w14:textId="77777777" w:rsidR="000D7747" w:rsidRPr="000D7747" w:rsidRDefault="000D7747" w:rsidP="000D7747">
      <w:pPr>
        <w:spacing w:after="240" w:line="240" w:lineRule="auto"/>
        <w:rPr>
          <w:sz w:val="24"/>
          <w:szCs w:val="24"/>
        </w:rPr>
      </w:pPr>
    </w:p>
    <w:p w14:paraId="2C5BBE05" w14:textId="3217BFC5" w:rsidR="009A0B17" w:rsidRPr="00BF5E67" w:rsidRDefault="009A0B17" w:rsidP="009A0B17">
      <w:pPr>
        <w:rPr>
          <w:rFonts w:ascii="Arial" w:hAnsi="Arial" w:cs="Arial"/>
          <w:b/>
          <w:bCs/>
          <w:sz w:val="24"/>
          <w:szCs w:val="24"/>
        </w:rPr>
      </w:pPr>
      <w:r w:rsidRPr="00BF5E67">
        <w:rPr>
          <w:rFonts w:ascii="Arial" w:hAnsi="Arial" w:cs="Arial"/>
          <w:b/>
          <w:bCs/>
          <w:sz w:val="24"/>
          <w:szCs w:val="24"/>
        </w:rPr>
        <w:t xml:space="preserve">Staff Question – </w:t>
      </w:r>
      <w:r w:rsidR="00531BF1">
        <w:rPr>
          <w:rFonts w:ascii="Arial" w:hAnsi="Arial" w:cs="Arial"/>
          <w:b/>
          <w:bCs/>
          <w:sz w:val="24"/>
          <w:szCs w:val="24"/>
        </w:rPr>
        <w:t>9</w:t>
      </w:r>
    </w:p>
    <w:p w14:paraId="56957F78" w14:textId="08F26966" w:rsidR="009A0B17" w:rsidRDefault="009A0B17" w:rsidP="009A0B17">
      <w:pPr>
        <w:rPr>
          <w:rFonts w:ascii="Arial" w:hAnsi="Arial" w:cs="Arial"/>
          <w:b/>
          <w:bCs/>
          <w:sz w:val="24"/>
          <w:szCs w:val="24"/>
        </w:rPr>
      </w:pPr>
      <w:r w:rsidRPr="00BF5E67">
        <w:rPr>
          <w:rFonts w:ascii="Arial" w:hAnsi="Arial" w:cs="Arial"/>
          <w:b/>
          <w:bCs/>
          <w:sz w:val="24"/>
          <w:szCs w:val="24"/>
        </w:rPr>
        <w:t>Ref:</w:t>
      </w:r>
      <w:r w:rsidRPr="00BF5E67">
        <w:rPr>
          <w:rFonts w:ascii="Arial" w:hAnsi="Arial" w:cs="Arial"/>
          <w:b/>
          <w:bCs/>
          <w:sz w:val="24"/>
          <w:szCs w:val="24"/>
        </w:rPr>
        <w:tab/>
        <w:t>LRAMVA Workform, Tab 1 – LRAMVA Summary</w:t>
      </w:r>
    </w:p>
    <w:p w14:paraId="56C22FC4" w14:textId="030501AB" w:rsidR="0065654D" w:rsidRPr="00BF5E67" w:rsidRDefault="0065654D" w:rsidP="009A0B17">
      <w:pPr>
        <w:rPr>
          <w:rFonts w:ascii="Arial" w:hAnsi="Arial" w:cs="Arial"/>
          <w:b/>
          <w:bCs/>
          <w:sz w:val="24"/>
          <w:szCs w:val="24"/>
        </w:rPr>
      </w:pPr>
      <w:r>
        <w:rPr>
          <w:rFonts w:ascii="Arial" w:hAnsi="Arial" w:cs="Arial"/>
          <w:b/>
          <w:bCs/>
          <w:sz w:val="24"/>
          <w:szCs w:val="24"/>
        </w:rPr>
        <w:t>Question:</w:t>
      </w:r>
    </w:p>
    <w:p w14:paraId="4047FB3E" w14:textId="5424A52F" w:rsidR="009A0B17" w:rsidRPr="00BF5E67" w:rsidRDefault="009A0B17" w:rsidP="009A0B17">
      <w:pPr>
        <w:pStyle w:val="ListParagraph"/>
        <w:numPr>
          <w:ilvl w:val="0"/>
          <w:numId w:val="26"/>
        </w:numPr>
        <w:spacing w:line="256" w:lineRule="auto"/>
        <w:rPr>
          <w:sz w:val="24"/>
          <w:szCs w:val="24"/>
        </w:rPr>
      </w:pPr>
      <w:r w:rsidRPr="00BF5E67">
        <w:rPr>
          <w:sz w:val="24"/>
          <w:szCs w:val="24"/>
        </w:rPr>
        <w:t xml:space="preserve">Please update Tab 1 – LRMVA Summary for both the MRZ and NTRZ LRAMVA workforms as it appears there was an error in </w:t>
      </w:r>
      <w:r>
        <w:rPr>
          <w:sz w:val="24"/>
          <w:szCs w:val="24"/>
        </w:rPr>
        <w:t>the</w:t>
      </w:r>
      <w:r w:rsidRPr="00BF5E67">
        <w:rPr>
          <w:sz w:val="24"/>
          <w:szCs w:val="24"/>
        </w:rPr>
        <w:t xml:space="preserve"> form</w:t>
      </w:r>
      <w:r>
        <w:rPr>
          <w:sz w:val="24"/>
          <w:szCs w:val="24"/>
        </w:rPr>
        <w:t>s</w:t>
      </w:r>
      <w:r w:rsidRPr="00BF5E67">
        <w:rPr>
          <w:sz w:val="24"/>
          <w:szCs w:val="24"/>
        </w:rPr>
        <w:t xml:space="preserve"> that </w:t>
      </w:r>
      <w:r w:rsidR="00A47F25">
        <w:rPr>
          <w:sz w:val="24"/>
          <w:szCs w:val="24"/>
        </w:rPr>
        <w:t>were</w:t>
      </w:r>
      <w:r w:rsidR="00A47F25" w:rsidRPr="00BF5E67">
        <w:rPr>
          <w:sz w:val="24"/>
          <w:szCs w:val="24"/>
        </w:rPr>
        <w:t xml:space="preserve"> </w:t>
      </w:r>
      <w:r w:rsidRPr="00BF5E67">
        <w:rPr>
          <w:sz w:val="24"/>
          <w:szCs w:val="24"/>
        </w:rPr>
        <w:t xml:space="preserve">filed with </w:t>
      </w:r>
      <w:r>
        <w:rPr>
          <w:sz w:val="24"/>
          <w:szCs w:val="24"/>
        </w:rPr>
        <w:t xml:space="preserve">NT Power’s </w:t>
      </w:r>
      <w:r w:rsidRPr="00BF5E67">
        <w:rPr>
          <w:sz w:val="24"/>
          <w:szCs w:val="24"/>
        </w:rPr>
        <w:t>application.</w:t>
      </w:r>
    </w:p>
    <w:p w14:paraId="247E5730" w14:textId="77777777" w:rsidR="009A0B17" w:rsidRDefault="009A0B17" w:rsidP="009A0B17">
      <w:pPr>
        <w:spacing w:after="0"/>
        <w:rPr>
          <w:rFonts w:ascii="Arial" w:hAnsi="Arial" w:cs="Arial"/>
          <w:b/>
          <w:sz w:val="24"/>
          <w:szCs w:val="24"/>
        </w:rPr>
      </w:pPr>
    </w:p>
    <w:p w14:paraId="3BF9C251" w14:textId="1CE1D3E5" w:rsidR="009A0B17" w:rsidRDefault="009A0B17" w:rsidP="009A0B17">
      <w:pPr>
        <w:spacing w:after="0"/>
        <w:rPr>
          <w:rFonts w:ascii="Arial" w:hAnsi="Arial" w:cs="Arial"/>
          <w:b/>
          <w:sz w:val="24"/>
          <w:szCs w:val="24"/>
        </w:rPr>
      </w:pPr>
      <w:r>
        <w:rPr>
          <w:rFonts w:ascii="Arial" w:hAnsi="Arial" w:cs="Arial"/>
          <w:b/>
          <w:sz w:val="24"/>
          <w:szCs w:val="24"/>
        </w:rPr>
        <w:t>Staff Question -1</w:t>
      </w:r>
      <w:r w:rsidR="00531BF1">
        <w:rPr>
          <w:rFonts w:ascii="Arial" w:hAnsi="Arial" w:cs="Arial"/>
          <w:b/>
          <w:sz w:val="24"/>
          <w:szCs w:val="24"/>
        </w:rPr>
        <w:t>0</w:t>
      </w:r>
    </w:p>
    <w:p w14:paraId="77A07EC1" w14:textId="77777777" w:rsidR="009A0B17" w:rsidRDefault="009A0B17" w:rsidP="009A0B17">
      <w:pPr>
        <w:spacing w:after="0"/>
        <w:rPr>
          <w:rFonts w:ascii="Arial" w:hAnsi="Arial" w:cs="Arial"/>
          <w:b/>
          <w:sz w:val="24"/>
          <w:szCs w:val="24"/>
        </w:rPr>
      </w:pPr>
    </w:p>
    <w:p w14:paraId="632BB071" w14:textId="77777777" w:rsidR="009A0B17" w:rsidRDefault="009A0B17" w:rsidP="009A0B17">
      <w:pPr>
        <w:spacing w:after="0"/>
        <w:rPr>
          <w:rFonts w:ascii="Arial" w:hAnsi="Arial" w:cs="Arial"/>
          <w:b/>
          <w:sz w:val="24"/>
          <w:szCs w:val="24"/>
        </w:rPr>
      </w:pPr>
      <w:r>
        <w:rPr>
          <w:rFonts w:ascii="Arial" w:hAnsi="Arial" w:cs="Arial"/>
          <w:b/>
          <w:sz w:val="24"/>
          <w:szCs w:val="24"/>
        </w:rPr>
        <w:t xml:space="preserve">Ref 1: </w:t>
      </w:r>
      <w:r>
        <w:rPr>
          <w:rFonts w:ascii="Arial" w:hAnsi="Arial" w:cs="Arial"/>
          <w:b/>
          <w:sz w:val="24"/>
          <w:szCs w:val="24"/>
        </w:rPr>
        <w:tab/>
        <w:t>LRAMVA work form, Tab 5 – 2015-2027 LRAM</w:t>
      </w:r>
    </w:p>
    <w:p w14:paraId="1E1CC27C" w14:textId="77777777" w:rsidR="009A0B17" w:rsidRDefault="009A0B17" w:rsidP="009A0B17">
      <w:pPr>
        <w:spacing w:after="0"/>
        <w:rPr>
          <w:rFonts w:ascii="Arial" w:hAnsi="Arial" w:cs="Arial"/>
          <w:b/>
          <w:sz w:val="24"/>
          <w:szCs w:val="24"/>
        </w:rPr>
      </w:pPr>
      <w:r>
        <w:rPr>
          <w:rFonts w:ascii="Arial" w:hAnsi="Arial" w:cs="Arial"/>
          <w:b/>
          <w:sz w:val="24"/>
          <w:szCs w:val="24"/>
        </w:rPr>
        <w:t>Ref 2:</w:t>
      </w:r>
      <w:r>
        <w:rPr>
          <w:rFonts w:ascii="Arial" w:hAnsi="Arial" w:cs="Arial"/>
          <w:b/>
          <w:sz w:val="24"/>
          <w:szCs w:val="24"/>
        </w:rPr>
        <w:tab/>
      </w:r>
      <w:r>
        <w:rPr>
          <w:rFonts w:ascii="Arial" w:hAnsi="Arial" w:cs="Arial"/>
          <w:b/>
          <w:sz w:val="24"/>
          <w:szCs w:val="24"/>
        </w:rPr>
        <w:tab/>
      </w:r>
      <w:hyperlink r:id="rId13" w:history="1">
        <w:r>
          <w:rPr>
            <w:rStyle w:val="Hyperlink"/>
            <w:rFonts w:ascii="Arial" w:hAnsi="Arial" w:cs="Arial"/>
            <w:b/>
            <w:sz w:val="24"/>
            <w:szCs w:val="24"/>
          </w:rPr>
          <w:t>OEB 2021 CDM Guidelines (EB-2021-0106)</w:t>
        </w:r>
      </w:hyperlink>
      <w:r>
        <w:rPr>
          <w:rFonts w:ascii="Arial" w:hAnsi="Arial" w:cs="Arial"/>
          <w:b/>
          <w:sz w:val="24"/>
          <w:szCs w:val="24"/>
        </w:rPr>
        <w:t>, December 20, 2021, p. 26</w:t>
      </w:r>
    </w:p>
    <w:p w14:paraId="505DC3F2" w14:textId="77777777" w:rsidR="009A0B17" w:rsidRDefault="00B929B1" w:rsidP="009A0B17">
      <w:pPr>
        <w:spacing w:after="0"/>
        <w:ind w:left="1440"/>
        <w:rPr>
          <w:rFonts w:ascii="Arial" w:hAnsi="Arial" w:cs="Arial"/>
          <w:b/>
          <w:sz w:val="24"/>
          <w:szCs w:val="24"/>
        </w:rPr>
      </w:pPr>
      <w:hyperlink r:id="rId14" w:history="1">
        <w:r w:rsidR="009A0B17">
          <w:rPr>
            <w:rStyle w:val="Hyperlink"/>
            <w:rFonts w:ascii="Arial" w:eastAsia="Calibri" w:hAnsi="Arial" w:cs="Arial"/>
            <w:b/>
            <w:bCs/>
            <w:color w:val="0563C1"/>
            <w:sz w:val="24"/>
            <w:szCs w:val="24"/>
            <w:lang w:val="en-US"/>
          </w:rPr>
          <w:t>Guidance on Prospective Lost Revenue Adjustment Mechanism (LRAM) Amounts – 2023 Rates</w:t>
        </w:r>
      </w:hyperlink>
      <w:r w:rsidR="009A0B17">
        <w:rPr>
          <w:rFonts w:ascii="Arial" w:eastAsia="Calibri" w:hAnsi="Arial" w:cs="Arial"/>
          <w:b/>
          <w:bCs/>
          <w:sz w:val="24"/>
          <w:szCs w:val="24"/>
          <w:lang w:val="en-US"/>
        </w:rPr>
        <w:t>,</w:t>
      </w:r>
      <w:r w:rsidR="009A0B17">
        <w:rPr>
          <w:rFonts w:ascii="Arial" w:eastAsia="Calibri" w:hAnsi="Arial" w:cs="Arial"/>
          <w:sz w:val="24"/>
          <w:szCs w:val="24"/>
          <w:lang w:val="en-US"/>
        </w:rPr>
        <w:t xml:space="preserve"> June 3, 2022</w:t>
      </w:r>
    </w:p>
    <w:p w14:paraId="3832FDE5" w14:textId="77777777" w:rsidR="009A0B17" w:rsidRDefault="009A0B17" w:rsidP="009A0B17">
      <w:pPr>
        <w:spacing w:after="0"/>
        <w:rPr>
          <w:rFonts w:ascii="Arial" w:hAnsi="Arial" w:cs="Arial"/>
          <w:sz w:val="24"/>
          <w:szCs w:val="24"/>
        </w:rPr>
      </w:pPr>
    </w:p>
    <w:p w14:paraId="17431203" w14:textId="77777777" w:rsidR="009A0B17" w:rsidRDefault="009A0B17" w:rsidP="009A0B17">
      <w:pPr>
        <w:spacing w:after="0"/>
        <w:rPr>
          <w:rFonts w:ascii="Arial" w:hAnsi="Arial" w:cs="Arial"/>
          <w:sz w:val="24"/>
          <w:szCs w:val="24"/>
        </w:rPr>
      </w:pPr>
      <w:r>
        <w:rPr>
          <w:rFonts w:ascii="Arial" w:hAnsi="Arial" w:cs="Arial"/>
          <w:sz w:val="24"/>
          <w:szCs w:val="24"/>
        </w:rPr>
        <w:t xml:space="preserve">The 2021 CDM Guidelines (section 8) require distributors filing an application for 2023 rates to seek disposition of all outstanding LRAMVA balances related to previously established thresholds, including approval of LRAM-eligible amounts in future years (arising from persisting savings) until a distributor’s next rebasing application, unless a distributor does not have complete information on eligible savings. </w:t>
      </w:r>
    </w:p>
    <w:p w14:paraId="0316AC13" w14:textId="77777777" w:rsidR="009A0B17" w:rsidRDefault="009A0B17" w:rsidP="009A0B17">
      <w:pPr>
        <w:spacing w:after="0"/>
        <w:rPr>
          <w:rFonts w:ascii="Arial" w:eastAsia="Calibri" w:hAnsi="Arial" w:cs="Arial"/>
          <w:sz w:val="24"/>
          <w:szCs w:val="24"/>
          <w:lang w:val="en-US"/>
        </w:rPr>
      </w:pPr>
    </w:p>
    <w:p w14:paraId="17D4041C" w14:textId="77777777" w:rsidR="009A0B17" w:rsidRDefault="009A0B17" w:rsidP="009A0B17">
      <w:pPr>
        <w:spacing w:after="0"/>
        <w:rPr>
          <w:rFonts w:ascii="Arial" w:eastAsia="Calibri" w:hAnsi="Arial" w:cs="Arial"/>
          <w:sz w:val="24"/>
          <w:szCs w:val="24"/>
          <w:lang w:val="en-US"/>
        </w:rPr>
      </w:pPr>
      <w:r>
        <w:rPr>
          <w:rFonts w:ascii="Arial" w:eastAsia="Calibri" w:hAnsi="Arial" w:cs="Arial"/>
          <w:sz w:val="24"/>
          <w:szCs w:val="24"/>
          <w:lang w:val="en-US"/>
        </w:rPr>
        <w:t xml:space="preserve">The additional guidance provided in June 2022 noted that the expectation is that distributors with prospective LRAMVA balances, beginning with 2023 amounts, will seek disposition at the time of the corresponding rate year. That means that for distributors with 2023 prospective LRAMVA balances, the expectation is that these amounts will be included in the 2023 rate generator model and addressed as part of this year’s rate applications. </w:t>
      </w:r>
    </w:p>
    <w:p w14:paraId="3BAE6A49" w14:textId="77777777" w:rsidR="009A0B17" w:rsidRDefault="009A0B17" w:rsidP="009A0B17">
      <w:pPr>
        <w:spacing w:after="0"/>
        <w:rPr>
          <w:rFonts w:ascii="Arial" w:hAnsi="Arial" w:cs="Arial"/>
          <w:b/>
          <w:bCs/>
          <w:sz w:val="24"/>
          <w:szCs w:val="24"/>
        </w:rPr>
      </w:pPr>
    </w:p>
    <w:p w14:paraId="2D304145" w14:textId="77AD96E2" w:rsidR="009A0B17" w:rsidRDefault="009A0B17" w:rsidP="009A0B17">
      <w:pPr>
        <w:spacing w:after="0"/>
        <w:rPr>
          <w:rFonts w:ascii="Arial" w:hAnsi="Arial" w:cs="Arial"/>
          <w:b/>
          <w:bCs/>
          <w:sz w:val="24"/>
          <w:szCs w:val="24"/>
        </w:rPr>
      </w:pPr>
      <w:r>
        <w:rPr>
          <w:rFonts w:ascii="Arial" w:hAnsi="Arial" w:cs="Arial"/>
          <w:b/>
          <w:bCs/>
          <w:sz w:val="24"/>
          <w:szCs w:val="24"/>
        </w:rPr>
        <w:t>Questions</w:t>
      </w:r>
      <w:r w:rsidR="0065654D">
        <w:rPr>
          <w:rFonts w:ascii="Arial" w:hAnsi="Arial" w:cs="Arial"/>
          <w:b/>
          <w:bCs/>
          <w:sz w:val="24"/>
          <w:szCs w:val="24"/>
        </w:rPr>
        <w:t>:</w:t>
      </w:r>
    </w:p>
    <w:p w14:paraId="2F44CA3C" w14:textId="77777777" w:rsidR="009A0B17" w:rsidRDefault="009A0B17" w:rsidP="009A0B17">
      <w:pPr>
        <w:spacing w:after="0"/>
        <w:rPr>
          <w:rFonts w:ascii="Arial" w:hAnsi="Arial" w:cs="Arial"/>
          <w:sz w:val="24"/>
          <w:szCs w:val="24"/>
        </w:rPr>
      </w:pPr>
    </w:p>
    <w:p w14:paraId="7D0F3549" w14:textId="77777777" w:rsidR="009A0B17" w:rsidRPr="00BF5E67" w:rsidRDefault="009A0B17" w:rsidP="009A0B17">
      <w:pPr>
        <w:pStyle w:val="ListParagraph"/>
        <w:numPr>
          <w:ilvl w:val="0"/>
          <w:numId w:val="27"/>
        </w:numPr>
        <w:spacing w:after="0" w:line="256" w:lineRule="auto"/>
        <w:rPr>
          <w:sz w:val="24"/>
          <w:szCs w:val="24"/>
        </w:rPr>
      </w:pPr>
      <w:r w:rsidRPr="00BF5E67">
        <w:rPr>
          <w:sz w:val="24"/>
          <w:szCs w:val="24"/>
        </w:rPr>
        <w:t xml:space="preserve">Please confirm that </w:t>
      </w:r>
      <w:r>
        <w:rPr>
          <w:sz w:val="24"/>
          <w:szCs w:val="24"/>
        </w:rPr>
        <w:t>NT Power</w:t>
      </w:r>
      <w:r w:rsidRPr="00BF5E67">
        <w:rPr>
          <w:sz w:val="24"/>
          <w:szCs w:val="24"/>
        </w:rPr>
        <w:t xml:space="preserve"> will not be seeking to dispose of any balance in the LRAMVA due to LRAM-eligible CDM activities funded by the IESO through the Conservation First Framework or Interim Framework in a future year’s rate application</w:t>
      </w:r>
      <w:r>
        <w:rPr>
          <w:sz w:val="24"/>
          <w:szCs w:val="24"/>
        </w:rPr>
        <w:t>, this includes LRAMVA amounts in 2022 and beyond</w:t>
      </w:r>
      <w:r w:rsidRPr="00BF5E67">
        <w:rPr>
          <w:sz w:val="24"/>
          <w:szCs w:val="24"/>
        </w:rPr>
        <w:t>.</w:t>
      </w:r>
    </w:p>
    <w:p w14:paraId="4B7C3B63" w14:textId="77777777" w:rsidR="009A0B17" w:rsidRDefault="009A0B17" w:rsidP="009A0B17">
      <w:pPr>
        <w:pStyle w:val="ListParagraph"/>
        <w:numPr>
          <w:ilvl w:val="0"/>
          <w:numId w:val="27"/>
        </w:numPr>
        <w:spacing w:after="0" w:line="254" w:lineRule="auto"/>
        <w:rPr>
          <w:sz w:val="24"/>
          <w:szCs w:val="24"/>
        </w:rPr>
      </w:pPr>
      <w:r>
        <w:rPr>
          <w:sz w:val="24"/>
          <w:szCs w:val="24"/>
        </w:rPr>
        <w:lastRenderedPageBreak/>
        <w:t>If not confirmed, please explain why a request for disposition was not submitted as part of this application.</w:t>
      </w:r>
    </w:p>
    <w:p w14:paraId="77FF2731" w14:textId="77777777" w:rsidR="009A0B17" w:rsidRDefault="009A0B17" w:rsidP="009A0B17">
      <w:pPr>
        <w:pStyle w:val="ListParagraph"/>
        <w:numPr>
          <w:ilvl w:val="0"/>
          <w:numId w:val="27"/>
        </w:numPr>
        <w:spacing w:after="0" w:line="254" w:lineRule="auto"/>
        <w:rPr>
          <w:sz w:val="24"/>
          <w:szCs w:val="24"/>
        </w:rPr>
      </w:pPr>
      <w:r>
        <w:rPr>
          <w:sz w:val="24"/>
          <w:szCs w:val="24"/>
        </w:rPr>
        <w:t>If not confirmed, please update the LRAMVA workform to include any persisting LRAMVA amounts into all years beyond 2021 until NT Power’s next rebasing application.</w:t>
      </w:r>
    </w:p>
    <w:p w14:paraId="128F8807" w14:textId="77777777" w:rsidR="009A0B17" w:rsidRDefault="009A0B17" w:rsidP="009A0B17">
      <w:pPr>
        <w:pStyle w:val="ListParagraph"/>
        <w:numPr>
          <w:ilvl w:val="0"/>
          <w:numId w:val="27"/>
        </w:numPr>
        <w:spacing w:after="0" w:line="254" w:lineRule="auto"/>
        <w:rPr>
          <w:sz w:val="24"/>
          <w:szCs w:val="24"/>
        </w:rPr>
      </w:pPr>
      <w:r>
        <w:rPr>
          <w:sz w:val="24"/>
          <w:szCs w:val="24"/>
        </w:rPr>
        <w:t xml:space="preserve">If confirmed, please also confirm that NT Power has verified that, relative to the LRAMVA threshold established in Midland Hydro’s last rebasing application (EB-2013-0147), the balance in the LRAMVA, and any prospective LRAM-eligible amounts until the next rebasing, are either zero or a debit (i.e., not a credit that would need to be refunded to customers). </w:t>
      </w:r>
    </w:p>
    <w:p w14:paraId="27622686" w14:textId="77777777" w:rsidR="009A0B17" w:rsidRDefault="009A0B17" w:rsidP="009A0B17"/>
    <w:p w14:paraId="7B6C9C12" w14:textId="1E8AA72C" w:rsidR="009A0B17" w:rsidRDefault="009A0B17" w:rsidP="009A0B17">
      <w:pPr>
        <w:spacing w:after="0"/>
        <w:rPr>
          <w:rFonts w:ascii="Arial" w:hAnsi="Arial" w:cs="Arial"/>
          <w:b/>
          <w:sz w:val="24"/>
          <w:szCs w:val="24"/>
        </w:rPr>
      </w:pPr>
      <w:r>
        <w:rPr>
          <w:rFonts w:ascii="Arial" w:hAnsi="Arial" w:cs="Arial"/>
          <w:b/>
          <w:sz w:val="24"/>
          <w:szCs w:val="24"/>
        </w:rPr>
        <w:t>Staff Question -1</w:t>
      </w:r>
      <w:r w:rsidR="00531BF1">
        <w:rPr>
          <w:rFonts w:ascii="Arial" w:hAnsi="Arial" w:cs="Arial"/>
          <w:b/>
          <w:sz w:val="24"/>
          <w:szCs w:val="24"/>
        </w:rPr>
        <w:t>1</w:t>
      </w:r>
    </w:p>
    <w:p w14:paraId="10AC63FD" w14:textId="77777777" w:rsidR="009A0B17" w:rsidRPr="007A586F" w:rsidRDefault="009A0B17" w:rsidP="009A0B17">
      <w:pPr>
        <w:spacing w:after="0"/>
        <w:rPr>
          <w:rFonts w:ascii="Arial" w:hAnsi="Arial" w:cs="Arial"/>
          <w:b/>
          <w:sz w:val="24"/>
          <w:szCs w:val="24"/>
        </w:rPr>
      </w:pPr>
    </w:p>
    <w:p w14:paraId="4084A7B8" w14:textId="77777777" w:rsidR="009A0B17" w:rsidRPr="00153F94" w:rsidRDefault="009A0B17" w:rsidP="009A0B17">
      <w:pPr>
        <w:autoSpaceDE w:val="0"/>
        <w:autoSpaceDN w:val="0"/>
        <w:adjustRightInd w:val="0"/>
        <w:contextualSpacing/>
        <w:rPr>
          <w:rFonts w:ascii="Arial" w:hAnsi="Arial" w:cs="Arial"/>
          <w:b/>
          <w:sz w:val="24"/>
          <w:szCs w:val="24"/>
        </w:rPr>
      </w:pPr>
      <w:r>
        <w:rPr>
          <w:rFonts w:ascii="Arial" w:hAnsi="Arial" w:cs="Arial"/>
          <w:b/>
        </w:rPr>
        <w:t xml:space="preserve">Ref: </w:t>
      </w:r>
      <w:r>
        <w:rPr>
          <w:rFonts w:ascii="Arial" w:hAnsi="Arial" w:cs="Arial"/>
          <w:b/>
        </w:rPr>
        <w:tab/>
      </w:r>
      <w:r w:rsidRPr="00153F94">
        <w:rPr>
          <w:rFonts w:ascii="Arial" w:hAnsi="Arial" w:cs="Arial"/>
          <w:b/>
          <w:sz w:val="24"/>
          <w:szCs w:val="24"/>
        </w:rPr>
        <w:t>Manager’s Summary, p. 18</w:t>
      </w:r>
    </w:p>
    <w:p w14:paraId="3C230A45" w14:textId="77777777" w:rsidR="009A0B17" w:rsidRPr="00153F94" w:rsidRDefault="009A0B17" w:rsidP="009A0B17">
      <w:pPr>
        <w:autoSpaceDE w:val="0"/>
        <w:autoSpaceDN w:val="0"/>
        <w:adjustRightInd w:val="0"/>
        <w:ind w:firstLine="720"/>
        <w:contextualSpacing/>
        <w:rPr>
          <w:rFonts w:ascii="Arial" w:hAnsi="Arial" w:cs="Arial"/>
          <w:b/>
          <w:sz w:val="24"/>
          <w:szCs w:val="24"/>
        </w:rPr>
      </w:pPr>
      <w:r w:rsidRPr="00153F94">
        <w:rPr>
          <w:rFonts w:ascii="Arial" w:hAnsi="Arial" w:cs="Arial"/>
          <w:b/>
          <w:sz w:val="24"/>
          <w:szCs w:val="24"/>
        </w:rPr>
        <w:t>LRAMVA Workform, Tab 6</w:t>
      </w:r>
    </w:p>
    <w:p w14:paraId="274DDD66" w14:textId="77777777" w:rsidR="009A0B17" w:rsidRDefault="009A0B17" w:rsidP="009A0B17">
      <w:pPr>
        <w:contextualSpacing/>
        <w:rPr>
          <w:rFonts w:ascii="Arial" w:hAnsi="Arial" w:cs="Arial"/>
        </w:rPr>
      </w:pPr>
    </w:p>
    <w:p w14:paraId="71334DD8" w14:textId="77777777" w:rsidR="009A0B17" w:rsidRDefault="009A0B17" w:rsidP="009A0B17">
      <w:pPr>
        <w:contextualSpacing/>
        <w:rPr>
          <w:rFonts w:ascii="Arial" w:hAnsi="Arial" w:cs="Arial"/>
          <w:bCs/>
        </w:rPr>
      </w:pPr>
      <w:r>
        <w:rPr>
          <w:rFonts w:ascii="Arial" w:hAnsi="Arial" w:cs="Arial"/>
        </w:rPr>
        <w:t xml:space="preserve">NT Power is seeking recovery of amounts to April 2023. NT Power indicated it has used the Q4 prescribed interest rate for the January-April 2023 carrying charges. The OEB has recently published its prescribed interest rate for deferral and variance account balances for Q1 2023. </w:t>
      </w:r>
    </w:p>
    <w:p w14:paraId="583E55B9" w14:textId="77777777" w:rsidR="009A0B17" w:rsidRDefault="009A0B17" w:rsidP="009A0B17">
      <w:pPr>
        <w:contextualSpacing/>
        <w:rPr>
          <w:rFonts w:ascii="Arial" w:hAnsi="Arial" w:cs="Arial"/>
          <w:bCs/>
        </w:rPr>
      </w:pPr>
    </w:p>
    <w:p w14:paraId="6A6B7697" w14:textId="5958641C" w:rsidR="009A0B17" w:rsidRPr="007A586F" w:rsidRDefault="009A0B17" w:rsidP="009A0B17">
      <w:pPr>
        <w:contextualSpacing/>
        <w:rPr>
          <w:rFonts w:ascii="Arial" w:hAnsi="Arial" w:cs="Arial"/>
          <w:b/>
        </w:rPr>
      </w:pPr>
      <w:r w:rsidRPr="007A586F">
        <w:rPr>
          <w:rFonts w:ascii="Arial" w:hAnsi="Arial" w:cs="Arial"/>
          <w:b/>
        </w:rPr>
        <w:t>Questions</w:t>
      </w:r>
      <w:r w:rsidR="0065654D">
        <w:rPr>
          <w:rFonts w:ascii="Arial" w:hAnsi="Arial" w:cs="Arial"/>
          <w:b/>
        </w:rPr>
        <w:t>:</w:t>
      </w:r>
    </w:p>
    <w:p w14:paraId="37B17DA3" w14:textId="77777777" w:rsidR="009A0B17" w:rsidRDefault="009A0B17" w:rsidP="009A0B17">
      <w:pPr>
        <w:pStyle w:val="ListParagraph"/>
        <w:numPr>
          <w:ilvl w:val="0"/>
          <w:numId w:val="25"/>
        </w:numPr>
        <w:spacing w:after="0" w:line="276" w:lineRule="auto"/>
        <w:rPr>
          <w:rFonts w:eastAsia="Times New Roman"/>
          <w:bCs/>
        </w:rPr>
      </w:pPr>
      <w:r>
        <w:rPr>
          <w:rFonts w:eastAsia="Times New Roman"/>
          <w:bCs/>
        </w:rPr>
        <w:t xml:space="preserve">Please update the carrying charges for Q1 2023 in Tab 6 of the LRAMVA Workform. </w:t>
      </w:r>
    </w:p>
    <w:p w14:paraId="2F2D9694" w14:textId="77777777" w:rsidR="009A0B17" w:rsidRDefault="009A0B17" w:rsidP="009A0B17">
      <w:pPr>
        <w:pStyle w:val="ListParagraph"/>
        <w:numPr>
          <w:ilvl w:val="0"/>
          <w:numId w:val="25"/>
        </w:numPr>
        <w:spacing w:after="0" w:line="276" w:lineRule="auto"/>
        <w:rPr>
          <w:rFonts w:eastAsia="Times New Roman"/>
          <w:bCs/>
        </w:rPr>
      </w:pPr>
      <w:r>
        <w:rPr>
          <w:rFonts w:eastAsia="Times New Roman"/>
          <w:bCs/>
        </w:rPr>
        <w:t>Please update the IRM Model to reflect the updated total balance and carrying charges for the LRAMVA.</w:t>
      </w:r>
    </w:p>
    <w:p w14:paraId="02FD7BFE" w14:textId="77777777" w:rsidR="00793E55" w:rsidRPr="00793E55" w:rsidRDefault="00793E55" w:rsidP="00793E55">
      <w:pPr>
        <w:spacing w:after="240" w:line="240" w:lineRule="auto"/>
        <w:rPr>
          <w:sz w:val="24"/>
          <w:szCs w:val="24"/>
        </w:rPr>
      </w:pPr>
    </w:p>
    <w:sectPr w:rsidR="00793E55" w:rsidRPr="00793E55" w:rsidSect="0092685E">
      <w:headerReference w:type="default" r:id="rId15"/>
      <w:footerReference w:type="first" r:id="rId16"/>
      <w:pgSz w:w="12240" w:h="15840" w:code="1"/>
      <w:pgMar w:top="1440" w:right="1440" w:bottom="1440" w:left="1440" w:header="709" w:footer="703"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4FA74" w14:textId="77777777" w:rsidR="00B929B1" w:rsidRDefault="00B929B1" w:rsidP="003E6FB1">
      <w:pPr>
        <w:spacing w:after="0" w:line="240" w:lineRule="auto"/>
      </w:pPr>
      <w:r>
        <w:separator/>
      </w:r>
    </w:p>
  </w:endnote>
  <w:endnote w:type="continuationSeparator" w:id="0">
    <w:p w14:paraId="5F5A5DC4" w14:textId="77777777" w:rsidR="00B929B1" w:rsidRDefault="00B929B1" w:rsidP="003E6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713439"/>
      <w:docPartObj>
        <w:docPartGallery w:val="Page Numbers (Bottom of Page)"/>
        <w:docPartUnique/>
      </w:docPartObj>
    </w:sdtPr>
    <w:sdtEndPr>
      <w:rPr>
        <w:noProof/>
      </w:rPr>
    </w:sdtEndPr>
    <w:sdtContent>
      <w:p w14:paraId="67933DD8" w14:textId="7C016A91" w:rsidR="00325FE0" w:rsidRDefault="00B929B1">
        <w:pPr>
          <w:pStyle w:val="Footer"/>
          <w:jc w:val="right"/>
        </w:pPr>
      </w:p>
    </w:sdtContent>
  </w:sdt>
  <w:p w14:paraId="4B8E1C85" w14:textId="77777777" w:rsidR="00C675C0" w:rsidRDefault="00C675C0" w:rsidP="00C675C0">
    <w:pPr>
      <w:pStyle w:val="Footer"/>
      <w:ind w:hanging="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A0A39" w14:textId="77777777" w:rsidR="00B929B1" w:rsidRDefault="00B929B1" w:rsidP="003E6FB1">
      <w:pPr>
        <w:spacing w:after="0" w:line="240" w:lineRule="auto"/>
      </w:pPr>
      <w:r>
        <w:separator/>
      </w:r>
    </w:p>
  </w:footnote>
  <w:footnote w:type="continuationSeparator" w:id="0">
    <w:p w14:paraId="5E9BFB90" w14:textId="77777777" w:rsidR="00B929B1" w:rsidRDefault="00B929B1" w:rsidP="003E6FB1">
      <w:pPr>
        <w:spacing w:after="0" w:line="240" w:lineRule="auto"/>
      </w:pPr>
      <w:r>
        <w:continuationSeparator/>
      </w:r>
    </w:p>
  </w:footnote>
  <w:footnote w:id="1">
    <w:p w14:paraId="03A72DF3" w14:textId="77777777" w:rsidR="00E03B6B" w:rsidRPr="0007721A" w:rsidRDefault="00E03B6B" w:rsidP="00E03B6B">
      <w:pPr>
        <w:pStyle w:val="FootnoteText"/>
        <w:rPr>
          <w:rFonts w:ascii="Arial" w:hAnsi="Arial" w:cs="Arial"/>
          <w:lang w:val="en-US"/>
        </w:rPr>
      </w:pPr>
      <w:r w:rsidRPr="0007721A">
        <w:rPr>
          <w:rStyle w:val="FootnoteReference"/>
          <w:rFonts w:ascii="Arial" w:hAnsi="Arial" w:cs="Arial"/>
        </w:rPr>
        <w:footnoteRef/>
      </w:r>
      <w:r w:rsidRPr="0007721A">
        <w:rPr>
          <w:rFonts w:ascii="Arial" w:hAnsi="Arial" w:cs="Arial"/>
        </w:rPr>
        <w:t xml:space="preserve"> </w:t>
      </w:r>
      <w:r>
        <w:rPr>
          <w:rFonts w:ascii="Arial" w:hAnsi="Arial" w:cs="Arial"/>
        </w:rPr>
        <w:t xml:space="preserve">OEB Letter, </w:t>
      </w:r>
      <w:r w:rsidRPr="0007721A">
        <w:rPr>
          <w:rFonts w:ascii="Arial" w:hAnsi="Arial" w:cs="Arial"/>
          <w:lang w:val="en-US"/>
        </w:rPr>
        <w:t>202</w:t>
      </w:r>
      <w:r>
        <w:rPr>
          <w:rFonts w:ascii="Arial" w:hAnsi="Arial" w:cs="Arial"/>
          <w:lang w:val="en-US"/>
        </w:rPr>
        <w:t>3</w:t>
      </w:r>
      <w:r w:rsidRPr="0007721A">
        <w:rPr>
          <w:rFonts w:ascii="Arial" w:hAnsi="Arial" w:cs="Arial"/>
          <w:lang w:val="en-US"/>
        </w:rPr>
        <w:t xml:space="preserve"> </w:t>
      </w:r>
      <w:r>
        <w:rPr>
          <w:rFonts w:ascii="Arial" w:hAnsi="Arial" w:cs="Arial"/>
          <w:lang w:val="en-US"/>
        </w:rPr>
        <w:t>I</w:t>
      </w:r>
      <w:r w:rsidRPr="0007721A">
        <w:rPr>
          <w:rFonts w:ascii="Arial" w:hAnsi="Arial" w:cs="Arial"/>
          <w:lang w:val="en-US"/>
        </w:rPr>
        <w:t xml:space="preserve">nflation </w:t>
      </w:r>
      <w:r>
        <w:rPr>
          <w:rFonts w:ascii="Arial" w:hAnsi="Arial" w:cs="Arial"/>
          <w:lang w:val="en-US"/>
        </w:rPr>
        <w:t>parameters, issued October 20, 2022</w:t>
      </w:r>
    </w:p>
  </w:footnote>
  <w:footnote w:id="2">
    <w:p w14:paraId="3F9A672B" w14:textId="77777777" w:rsidR="00E03B6B" w:rsidRPr="0006764F" w:rsidRDefault="00E03B6B" w:rsidP="00E03B6B">
      <w:pPr>
        <w:pStyle w:val="FootnoteText"/>
        <w:rPr>
          <w:rFonts w:ascii="Arial" w:hAnsi="Arial" w:cs="Arial"/>
          <w:lang w:val="en-US"/>
        </w:rPr>
      </w:pPr>
      <w:r w:rsidRPr="0006764F">
        <w:rPr>
          <w:rStyle w:val="FootnoteReference"/>
          <w:rFonts w:ascii="Arial" w:hAnsi="Arial" w:cs="Arial"/>
        </w:rPr>
        <w:footnoteRef/>
      </w:r>
      <w:r w:rsidRPr="0006764F">
        <w:rPr>
          <w:rFonts w:ascii="Arial" w:hAnsi="Arial" w:cs="Arial"/>
        </w:rPr>
        <w:t xml:space="preserve"> </w:t>
      </w:r>
      <w:r w:rsidRPr="0006764F">
        <w:rPr>
          <w:rFonts w:ascii="Arial" w:hAnsi="Arial" w:cs="Arial"/>
          <w:lang w:val="en-US"/>
        </w:rPr>
        <w:t>EB-202</w:t>
      </w:r>
      <w:r>
        <w:rPr>
          <w:rFonts w:ascii="Arial" w:hAnsi="Arial" w:cs="Arial"/>
          <w:lang w:val="en-US"/>
        </w:rPr>
        <w:t>2-0221</w:t>
      </w:r>
      <w:r w:rsidRPr="0006764F">
        <w:rPr>
          <w:rFonts w:ascii="Arial" w:hAnsi="Arial" w:cs="Arial"/>
          <w:lang w:val="en-US"/>
        </w:rPr>
        <w:t xml:space="preserve">, Decision and Order, issued </w:t>
      </w:r>
      <w:r>
        <w:rPr>
          <w:rFonts w:ascii="Arial" w:hAnsi="Arial" w:cs="Arial"/>
          <w:lang w:val="en-US"/>
        </w:rPr>
        <w:t>November 3,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2797" w14:textId="15DBBDDA" w:rsidR="00E972EF" w:rsidRPr="00E972EF" w:rsidRDefault="00AB12A6" w:rsidP="00E972EF">
    <w:pPr>
      <w:pStyle w:val="Default"/>
      <w:jc w:val="right"/>
      <w:rPr>
        <w:rFonts w:ascii="Arial" w:hAnsi="Arial" w:cs="Arial"/>
        <w:sz w:val="20"/>
        <w:szCs w:val="20"/>
      </w:rPr>
    </w:pPr>
    <w:r>
      <w:rPr>
        <w:rFonts w:ascii="Arial" w:hAnsi="Arial" w:cs="Arial"/>
        <w:bCs/>
        <w:sz w:val="20"/>
        <w:szCs w:val="20"/>
      </w:rPr>
      <w:t>Newmarket-Tay Power</w:t>
    </w:r>
    <w:r w:rsidR="00BE5625">
      <w:rPr>
        <w:rFonts w:ascii="Arial" w:hAnsi="Arial" w:cs="Arial"/>
        <w:bCs/>
        <w:sz w:val="20"/>
        <w:szCs w:val="20"/>
      </w:rPr>
      <w:t xml:space="preserve"> </w:t>
    </w:r>
    <w:r w:rsidR="00325FE0">
      <w:rPr>
        <w:rFonts w:ascii="Arial" w:hAnsi="Arial" w:cs="Arial"/>
        <w:bCs/>
        <w:sz w:val="20"/>
        <w:szCs w:val="20"/>
      </w:rPr>
      <w:t xml:space="preserve">Distribution </w:t>
    </w:r>
    <w:r w:rsidR="00BE5625">
      <w:rPr>
        <w:rFonts w:ascii="Arial" w:hAnsi="Arial" w:cs="Arial"/>
        <w:bCs/>
        <w:sz w:val="20"/>
        <w:szCs w:val="20"/>
      </w:rPr>
      <w:t>Ltd</w:t>
    </w:r>
    <w:r w:rsidR="00325FE0">
      <w:rPr>
        <w:rFonts w:ascii="Arial" w:hAnsi="Arial" w:cs="Arial"/>
        <w:bCs/>
        <w:sz w:val="20"/>
        <w:szCs w:val="20"/>
      </w:rPr>
      <w:t>.</w:t>
    </w:r>
  </w:p>
  <w:p w14:paraId="44028EC4" w14:textId="44F6A5DD" w:rsidR="00E972EF" w:rsidRPr="00E972EF" w:rsidRDefault="00E972EF" w:rsidP="00E972EF">
    <w:pPr>
      <w:pStyle w:val="Default"/>
      <w:jc w:val="right"/>
      <w:rPr>
        <w:rFonts w:ascii="Arial" w:hAnsi="Arial" w:cs="Arial"/>
        <w:sz w:val="20"/>
        <w:szCs w:val="20"/>
      </w:rPr>
    </w:pPr>
    <w:r w:rsidRPr="00E972EF">
      <w:rPr>
        <w:rFonts w:ascii="Arial" w:hAnsi="Arial" w:cs="Arial"/>
        <w:sz w:val="20"/>
        <w:szCs w:val="20"/>
      </w:rPr>
      <w:t xml:space="preserve">OEB Staff </w:t>
    </w:r>
    <w:r w:rsidR="00B173B5" w:rsidRPr="00B173B5">
      <w:rPr>
        <w:rFonts w:ascii="Arial" w:hAnsi="Arial" w:cs="Arial"/>
        <w:sz w:val="20"/>
        <w:szCs w:val="20"/>
      </w:rPr>
      <w:t>Interrogatories</w:t>
    </w:r>
  </w:p>
  <w:p w14:paraId="312BD6E9" w14:textId="764A3D26" w:rsidR="00E972EF" w:rsidRPr="00E972EF" w:rsidRDefault="00E972EF" w:rsidP="00E972EF">
    <w:pPr>
      <w:pStyle w:val="Default"/>
      <w:jc w:val="right"/>
      <w:rPr>
        <w:rFonts w:ascii="Arial" w:hAnsi="Arial" w:cs="Arial"/>
        <w:sz w:val="20"/>
        <w:szCs w:val="20"/>
      </w:rPr>
    </w:pPr>
    <w:r w:rsidRPr="00E972EF">
      <w:rPr>
        <w:rFonts w:ascii="Arial" w:hAnsi="Arial" w:cs="Arial"/>
        <w:sz w:val="20"/>
        <w:szCs w:val="20"/>
      </w:rPr>
      <w:t>EB-202</w:t>
    </w:r>
    <w:r w:rsidR="003D2595">
      <w:rPr>
        <w:rFonts w:ascii="Arial" w:hAnsi="Arial" w:cs="Arial"/>
        <w:sz w:val="20"/>
        <w:szCs w:val="20"/>
      </w:rPr>
      <w:t>2</w:t>
    </w:r>
    <w:r w:rsidRPr="00E972EF">
      <w:rPr>
        <w:rFonts w:ascii="Arial" w:hAnsi="Arial" w:cs="Arial"/>
        <w:sz w:val="20"/>
        <w:szCs w:val="20"/>
      </w:rPr>
      <w:t>-</w:t>
    </w:r>
    <w:r w:rsidR="007D0C2D">
      <w:rPr>
        <w:rFonts w:ascii="Arial" w:hAnsi="Arial" w:cs="Arial"/>
        <w:sz w:val="20"/>
        <w:szCs w:val="20"/>
      </w:rPr>
      <w:t>005</w:t>
    </w:r>
    <w:r w:rsidR="00BE5625">
      <w:rPr>
        <w:rFonts w:ascii="Arial" w:hAnsi="Arial" w:cs="Arial"/>
        <w:sz w:val="20"/>
        <w:szCs w:val="20"/>
      </w:rPr>
      <w:t>6</w:t>
    </w:r>
  </w:p>
  <w:p w14:paraId="5A870A6C" w14:textId="75D97385" w:rsidR="007F7A36" w:rsidRPr="00E972EF" w:rsidRDefault="007F7A36" w:rsidP="00E972EF">
    <w:pPr>
      <w:pStyle w:val="Header"/>
      <w:jc w:val="right"/>
      <w:rPr>
        <w:rFonts w:ascii="Arial" w:hAnsi="Arial" w:cs="Arial"/>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7B87"/>
    <w:multiLevelType w:val="hybridMultilevel"/>
    <w:tmpl w:val="715A0C20"/>
    <w:lvl w:ilvl="0" w:tplc="FFFFFFFF">
      <w:start w:val="1"/>
      <w:numFmt w:val="lowerLetter"/>
      <w:lvlText w:val="%1)"/>
      <w:lvlJc w:val="left"/>
      <w:pPr>
        <w:ind w:left="720" w:hanging="360"/>
      </w:pPr>
      <w:rPr>
        <w:rFonts w:hint="default"/>
        <w:b w:val="0"/>
        <w:bCs w:val="0"/>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B75EE"/>
    <w:multiLevelType w:val="hybridMultilevel"/>
    <w:tmpl w:val="12745E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408A1"/>
    <w:multiLevelType w:val="hybridMultilevel"/>
    <w:tmpl w:val="8E4470BE"/>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167B78"/>
    <w:multiLevelType w:val="hybridMultilevel"/>
    <w:tmpl w:val="F6F838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E5AFD"/>
    <w:multiLevelType w:val="hybridMultilevel"/>
    <w:tmpl w:val="E60026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21267"/>
    <w:multiLevelType w:val="hybridMultilevel"/>
    <w:tmpl w:val="9EFE13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98352D"/>
    <w:multiLevelType w:val="hybridMultilevel"/>
    <w:tmpl w:val="8E4470BE"/>
    <w:lvl w:ilvl="0" w:tplc="B94AF9F6">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9E704E"/>
    <w:multiLevelType w:val="hybridMultilevel"/>
    <w:tmpl w:val="5D1091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F5E3A"/>
    <w:multiLevelType w:val="hybridMultilevel"/>
    <w:tmpl w:val="B554DA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426F3"/>
    <w:multiLevelType w:val="hybridMultilevel"/>
    <w:tmpl w:val="D72C44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D81373"/>
    <w:multiLevelType w:val="hybridMultilevel"/>
    <w:tmpl w:val="3AFE92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8560E4"/>
    <w:multiLevelType w:val="hybridMultilevel"/>
    <w:tmpl w:val="20BAF418"/>
    <w:lvl w:ilvl="0" w:tplc="EAAECECA">
      <w:start w:val="1"/>
      <w:numFmt w:val="low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7D630A"/>
    <w:multiLevelType w:val="hybridMultilevel"/>
    <w:tmpl w:val="7174FA4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DF0DAB"/>
    <w:multiLevelType w:val="hybridMultilevel"/>
    <w:tmpl w:val="7174FA4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3F6666"/>
    <w:multiLevelType w:val="hybridMultilevel"/>
    <w:tmpl w:val="E60026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A424D1"/>
    <w:multiLevelType w:val="hybridMultilevel"/>
    <w:tmpl w:val="02F0EBB6"/>
    <w:lvl w:ilvl="0" w:tplc="40382B2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2B1B09"/>
    <w:multiLevelType w:val="hybridMultilevel"/>
    <w:tmpl w:val="9B56D6AA"/>
    <w:lvl w:ilvl="0" w:tplc="D4F0B81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DC3DA0"/>
    <w:multiLevelType w:val="hybridMultilevel"/>
    <w:tmpl w:val="A2DA22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1D5C5B"/>
    <w:multiLevelType w:val="hybridMultilevel"/>
    <w:tmpl w:val="EEBC5F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656154"/>
    <w:multiLevelType w:val="hybridMultilevel"/>
    <w:tmpl w:val="1700A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C882B28">
      <w:numFmt w:val="bullet"/>
      <w:lvlText w:val="•"/>
      <w:lvlJc w:val="left"/>
      <w:pPr>
        <w:ind w:left="2160" w:hanging="36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43000F"/>
    <w:multiLevelType w:val="hybridMultilevel"/>
    <w:tmpl w:val="17348C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1094764"/>
    <w:multiLevelType w:val="hybridMultilevel"/>
    <w:tmpl w:val="9A726FD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1800E9B"/>
    <w:multiLevelType w:val="hybridMultilevel"/>
    <w:tmpl w:val="17348C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083F01"/>
    <w:multiLevelType w:val="hybridMultilevel"/>
    <w:tmpl w:val="3F424A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C025FC"/>
    <w:multiLevelType w:val="hybridMultilevel"/>
    <w:tmpl w:val="FE86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046949"/>
    <w:multiLevelType w:val="hybridMultilevel"/>
    <w:tmpl w:val="FE3E3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4B797E"/>
    <w:multiLevelType w:val="hybridMultilevel"/>
    <w:tmpl w:val="82D47C02"/>
    <w:lvl w:ilvl="0" w:tplc="E5C69B0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EC92A85"/>
    <w:multiLevelType w:val="hybridMultilevel"/>
    <w:tmpl w:val="869C7D0E"/>
    <w:lvl w:ilvl="0" w:tplc="FFFFFFFF">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8" w15:restartNumberingAfterBreak="0">
    <w:nsid w:val="7FF82838"/>
    <w:multiLevelType w:val="hybridMultilevel"/>
    <w:tmpl w:val="6DFCC8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9"/>
  </w:num>
  <w:num w:numId="3">
    <w:abstractNumId w:val="13"/>
  </w:num>
  <w:num w:numId="4">
    <w:abstractNumId w:val="5"/>
  </w:num>
  <w:num w:numId="5">
    <w:abstractNumId w:val="12"/>
  </w:num>
  <w:num w:numId="6">
    <w:abstractNumId w:val="6"/>
  </w:num>
  <w:num w:numId="7">
    <w:abstractNumId w:val="2"/>
  </w:num>
  <w:num w:numId="8">
    <w:abstractNumId w:val="28"/>
  </w:num>
  <w:num w:numId="9">
    <w:abstractNumId w:val="11"/>
  </w:num>
  <w:num w:numId="10">
    <w:abstractNumId w:val="15"/>
  </w:num>
  <w:num w:numId="11">
    <w:abstractNumId w:val="0"/>
  </w:num>
  <w:num w:numId="12">
    <w:abstractNumId w:val="16"/>
  </w:num>
  <w:num w:numId="13">
    <w:abstractNumId w:val="17"/>
  </w:num>
  <w:num w:numId="14">
    <w:abstractNumId w:val="4"/>
  </w:num>
  <w:num w:numId="15">
    <w:abstractNumId w:val="14"/>
  </w:num>
  <w:num w:numId="16">
    <w:abstractNumId w:val="10"/>
  </w:num>
  <w:num w:numId="17">
    <w:abstractNumId w:val="21"/>
  </w:num>
  <w:num w:numId="18">
    <w:abstractNumId w:val="3"/>
  </w:num>
  <w:num w:numId="19">
    <w:abstractNumId w:val="22"/>
  </w:num>
  <w:num w:numId="20">
    <w:abstractNumId w:val="20"/>
  </w:num>
  <w:num w:numId="21">
    <w:abstractNumId w:val="18"/>
  </w:num>
  <w:num w:numId="22">
    <w:abstractNumId w:val="9"/>
  </w:num>
  <w:num w:numId="23">
    <w:abstractNumId w:val="7"/>
  </w:num>
  <w:num w:numId="24">
    <w:abstractNumId w:val="1"/>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3"/>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EEA"/>
    <w:rsid w:val="000044F8"/>
    <w:rsid w:val="00011C43"/>
    <w:rsid w:val="000357DD"/>
    <w:rsid w:val="0004013E"/>
    <w:rsid w:val="00056137"/>
    <w:rsid w:val="00060371"/>
    <w:rsid w:val="0006476E"/>
    <w:rsid w:val="00076E14"/>
    <w:rsid w:val="00083E26"/>
    <w:rsid w:val="00087EE9"/>
    <w:rsid w:val="000A587B"/>
    <w:rsid w:val="000A741A"/>
    <w:rsid w:val="000A741D"/>
    <w:rsid w:val="000C789E"/>
    <w:rsid w:val="000D7747"/>
    <w:rsid w:val="000F0BD6"/>
    <w:rsid w:val="001132B0"/>
    <w:rsid w:val="00113FAE"/>
    <w:rsid w:val="00134247"/>
    <w:rsid w:val="00150969"/>
    <w:rsid w:val="00153F94"/>
    <w:rsid w:val="00155E59"/>
    <w:rsid w:val="0016029C"/>
    <w:rsid w:val="00171205"/>
    <w:rsid w:val="00174FDD"/>
    <w:rsid w:val="00186A27"/>
    <w:rsid w:val="00191351"/>
    <w:rsid w:val="001A299F"/>
    <w:rsid w:val="001F27AE"/>
    <w:rsid w:val="001F68BB"/>
    <w:rsid w:val="00201C86"/>
    <w:rsid w:val="002113DC"/>
    <w:rsid w:val="00220F52"/>
    <w:rsid w:val="00252892"/>
    <w:rsid w:val="0026029B"/>
    <w:rsid w:val="0026068D"/>
    <w:rsid w:val="002776DC"/>
    <w:rsid w:val="00296661"/>
    <w:rsid w:val="002A018E"/>
    <w:rsid w:val="002A5B56"/>
    <w:rsid w:val="002D1296"/>
    <w:rsid w:val="002D7BD6"/>
    <w:rsid w:val="002F5A20"/>
    <w:rsid w:val="00305C62"/>
    <w:rsid w:val="00306824"/>
    <w:rsid w:val="00310403"/>
    <w:rsid w:val="00325FE0"/>
    <w:rsid w:val="00334980"/>
    <w:rsid w:val="0034446A"/>
    <w:rsid w:val="00346066"/>
    <w:rsid w:val="00386888"/>
    <w:rsid w:val="00386C9B"/>
    <w:rsid w:val="00390461"/>
    <w:rsid w:val="00391DE2"/>
    <w:rsid w:val="003C1978"/>
    <w:rsid w:val="003D2595"/>
    <w:rsid w:val="003E6FB1"/>
    <w:rsid w:val="003F518A"/>
    <w:rsid w:val="003F7024"/>
    <w:rsid w:val="00400E91"/>
    <w:rsid w:val="00412DC6"/>
    <w:rsid w:val="0042762F"/>
    <w:rsid w:val="0044359C"/>
    <w:rsid w:val="00451157"/>
    <w:rsid w:val="00484B39"/>
    <w:rsid w:val="004A7D27"/>
    <w:rsid w:val="004C1176"/>
    <w:rsid w:val="004C393A"/>
    <w:rsid w:val="004D4376"/>
    <w:rsid w:val="004E0113"/>
    <w:rsid w:val="00526AB4"/>
    <w:rsid w:val="00530529"/>
    <w:rsid w:val="00531BF1"/>
    <w:rsid w:val="00585234"/>
    <w:rsid w:val="005A0210"/>
    <w:rsid w:val="005A71E1"/>
    <w:rsid w:val="005C69BB"/>
    <w:rsid w:val="005D1DAC"/>
    <w:rsid w:val="005E03D9"/>
    <w:rsid w:val="005E5C59"/>
    <w:rsid w:val="005F3CC0"/>
    <w:rsid w:val="00607BEA"/>
    <w:rsid w:val="00622F74"/>
    <w:rsid w:val="006354E8"/>
    <w:rsid w:val="006362D2"/>
    <w:rsid w:val="0063758E"/>
    <w:rsid w:val="00651C78"/>
    <w:rsid w:val="0065654D"/>
    <w:rsid w:val="0067197D"/>
    <w:rsid w:val="00680B8B"/>
    <w:rsid w:val="0068699B"/>
    <w:rsid w:val="00686A8A"/>
    <w:rsid w:val="006B29FB"/>
    <w:rsid w:val="006C455E"/>
    <w:rsid w:val="006F4612"/>
    <w:rsid w:val="006F51C2"/>
    <w:rsid w:val="007174CF"/>
    <w:rsid w:val="007177E3"/>
    <w:rsid w:val="0072210D"/>
    <w:rsid w:val="00723862"/>
    <w:rsid w:val="007238FB"/>
    <w:rsid w:val="00746080"/>
    <w:rsid w:val="0074636D"/>
    <w:rsid w:val="00756A14"/>
    <w:rsid w:val="00764F5C"/>
    <w:rsid w:val="00785041"/>
    <w:rsid w:val="00793E55"/>
    <w:rsid w:val="0079737D"/>
    <w:rsid w:val="007C1832"/>
    <w:rsid w:val="007D0C2D"/>
    <w:rsid w:val="007D11C4"/>
    <w:rsid w:val="007D4EEA"/>
    <w:rsid w:val="007D570A"/>
    <w:rsid w:val="007D7202"/>
    <w:rsid w:val="007E6007"/>
    <w:rsid w:val="007F76F4"/>
    <w:rsid w:val="007F7A36"/>
    <w:rsid w:val="00802108"/>
    <w:rsid w:val="00802548"/>
    <w:rsid w:val="00804CA2"/>
    <w:rsid w:val="00824400"/>
    <w:rsid w:val="008339F4"/>
    <w:rsid w:val="008372A4"/>
    <w:rsid w:val="00844910"/>
    <w:rsid w:val="00851164"/>
    <w:rsid w:val="00857D12"/>
    <w:rsid w:val="00871298"/>
    <w:rsid w:val="0088453A"/>
    <w:rsid w:val="008E617F"/>
    <w:rsid w:val="008F1463"/>
    <w:rsid w:val="008F2470"/>
    <w:rsid w:val="008F3209"/>
    <w:rsid w:val="008F638F"/>
    <w:rsid w:val="00911BB7"/>
    <w:rsid w:val="00913609"/>
    <w:rsid w:val="00917F24"/>
    <w:rsid w:val="00922BFC"/>
    <w:rsid w:val="00926537"/>
    <w:rsid w:val="0092685E"/>
    <w:rsid w:val="0093085F"/>
    <w:rsid w:val="009309EA"/>
    <w:rsid w:val="009323F4"/>
    <w:rsid w:val="00956A67"/>
    <w:rsid w:val="00962BBA"/>
    <w:rsid w:val="00964C83"/>
    <w:rsid w:val="009665CB"/>
    <w:rsid w:val="009936CD"/>
    <w:rsid w:val="00993BFA"/>
    <w:rsid w:val="009A0B17"/>
    <w:rsid w:val="009C69E3"/>
    <w:rsid w:val="009D673A"/>
    <w:rsid w:val="009E362D"/>
    <w:rsid w:val="009F1547"/>
    <w:rsid w:val="00A0106A"/>
    <w:rsid w:val="00A33924"/>
    <w:rsid w:val="00A35B21"/>
    <w:rsid w:val="00A47F25"/>
    <w:rsid w:val="00A77CAF"/>
    <w:rsid w:val="00A84C0D"/>
    <w:rsid w:val="00A92598"/>
    <w:rsid w:val="00AA06D9"/>
    <w:rsid w:val="00AA1385"/>
    <w:rsid w:val="00AA7FA8"/>
    <w:rsid w:val="00AB12A6"/>
    <w:rsid w:val="00AB58E3"/>
    <w:rsid w:val="00AC00C4"/>
    <w:rsid w:val="00AC28CE"/>
    <w:rsid w:val="00AD5F30"/>
    <w:rsid w:val="00AF6D74"/>
    <w:rsid w:val="00B01A26"/>
    <w:rsid w:val="00B13A14"/>
    <w:rsid w:val="00B173B5"/>
    <w:rsid w:val="00B25576"/>
    <w:rsid w:val="00B45EAD"/>
    <w:rsid w:val="00B530CD"/>
    <w:rsid w:val="00B76A5B"/>
    <w:rsid w:val="00B87D63"/>
    <w:rsid w:val="00B929B1"/>
    <w:rsid w:val="00B9721C"/>
    <w:rsid w:val="00BA7E7A"/>
    <w:rsid w:val="00BB3714"/>
    <w:rsid w:val="00BC479E"/>
    <w:rsid w:val="00BE4F16"/>
    <w:rsid w:val="00BE5405"/>
    <w:rsid w:val="00BE5625"/>
    <w:rsid w:val="00BE749A"/>
    <w:rsid w:val="00C07312"/>
    <w:rsid w:val="00C227B0"/>
    <w:rsid w:val="00C27B26"/>
    <w:rsid w:val="00C340A8"/>
    <w:rsid w:val="00C34B4B"/>
    <w:rsid w:val="00C35242"/>
    <w:rsid w:val="00C636B8"/>
    <w:rsid w:val="00C675C0"/>
    <w:rsid w:val="00C71519"/>
    <w:rsid w:val="00C771EC"/>
    <w:rsid w:val="00C95AEF"/>
    <w:rsid w:val="00CA5370"/>
    <w:rsid w:val="00CB7DE2"/>
    <w:rsid w:val="00CE0BAE"/>
    <w:rsid w:val="00CF1F73"/>
    <w:rsid w:val="00D34E9B"/>
    <w:rsid w:val="00D477E8"/>
    <w:rsid w:val="00D56BA0"/>
    <w:rsid w:val="00D861AF"/>
    <w:rsid w:val="00D9557C"/>
    <w:rsid w:val="00D95C52"/>
    <w:rsid w:val="00DA112B"/>
    <w:rsid w:val="00DA260C"/>
    <w:rsid w:val="00DC3FF9"/>
    <w:rsid w:val="00DC5533"/>
    <w:rsid w:val="00DD483C"/>
    <w:rsid w:val="00E039C8"/>
    <w:rsid w:val="00E03B6B"/>
    <w:rsid w:val="00E317EA"/>
    <w:rsid w:val="00E328DF"/>
    <w:rsid w:val="00E4397D"/>
    <w:rsid w:val="00E542B6"/>
    <w:rsid w:val="00E55074"/>
    <w:rsid w:val="00E72053"/>
    <w:rsid w:val="00E76ECC"/>
    <w:rsid w:val="00E972EF"/>
    <w:rsid w:val="00EA0919"/>
    <w:rsid w:val="00EA2100"/>
    <w:rsid w:val="00EA2C4A"/>
    <w:rsid w:val="00EB280B"/>
    <w:rsid w:val="00EC1AAA"/>
    <w:rsid w:val="00EC1BB2"/>
    <w:rsid w:val="00EC7A07"/>
    <w:rsid w:val="00EE661A"/>
    <w:rsid w:val="00F05863"/>
    <w:rsid w:val="00F06C21"/>
    <w:rsid w:val="00F101F9"/>
    <w:rsid w:val="00F13313"/>
    <w:rsid w:val="00F20321"/>
    <w:rsid w:val="00F20DED"/>
    <w:rsid w:val="00F22B74"/>
    <w:rsid w:val="00F2577B"/>
    <w:rsid w:val="00F26542"/>
    <w:rsid w:val="00F36EB6"/>
    <w:rsid w:val="00F40168"/>
    <w:rsid w:val="00F43A03"/>
    <w:rsid w:val="00F54927"/>
    <w:rsid w:val="00F6046C"/>
    <w:rsid w:val="00F70547"/>
    <w:rsid w:val="00F70A1E"/>
    <w:rsid w:val="00F755DC"/>
    <w:rsid w:val="00F859F3"/>
    <w:rsid w:val="00F91C9A"/>
    <w:rsid w:val="00F969D7"/>
    <w:rsid w:val="00FB00D5"/>
    <w:rsid w:val="00FC68DB"/>
    <w:rsid w:val="00FD1C3A"/>
    <w:rsid w:val="00FD6175"/>
    <w:rsid w:val="00FE3D50"/>
    <w:rsid w:val="00FF0C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E22B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8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4E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EEA"/>
    <w:rPr>
      <w:rFonts w:ascii="Tahoma" w:hAnsi="Tahoma" w:cs="Tahoma"/>
      <w:sz w:val="16"/>
      <w:szCs w:val="16"/>
    </w:rPr>
  </w:style>
  <w:style w:type="paragraph" w:styleId="Header">
    <w:name w:val="header"/>
    <w:basedOn w:val="Normal"/>
    <w:link w:val="HeaderChar"/>
    <w:uiPriority w:val="99"/>
    <w:unhideWhenUsed/>
    <w:rsid w:val="003E6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FB1"/>
  </w:style>
  <w:style w:type="paragraph" w:styleId="Footer">
    <w:name w:val="footer"/>
    <w:basedOn w:val="Normal"/>
    <w:link w:val="FooterChar"/>
    <w:uiPriority w:val="99"/>
    <w:unhideWhenUsed/>
    <w:rsid w:val="003E6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FB1"/>
  </w:style>
  <w:style w:type="character" w:styleId="Emphasis">
    <w:name w:val="Emphasis"/>
    <w:basedOn w:val="DefaultParagraphFont"/>
    <w:uiPriority w:val="20"/>
    <w:qFormat/>
    <w:rsid w:val="00CF1F73"/>
    <w:rPr>
      <w:b/>
      <w:bCs/>
      <w:i w:val="0"/>
      <w:iCs w:val="0"/>
    </w:rPr>
  </w:style>
  <w:style w:type="table" w:styleId="TableGrid">
    <w:name w:val="Table Grid"/>
    <w:basedOn w:val="TableNormal"/>
    <w:uiPriority w:val="39"/>
    <w:rsid w:val="001F68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72E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A2100"/>
    <w:rPr>
      <w:color w:val="0000FF" w:themeColor="hyperlink"/>
      <w:u w:val="single"/>
    </w:rPr>
  </w:style>
  <w:style w:type="character" w:styleId="UnresolvedMention">
    <w:name w:val="Unresolved Mention"/>
    <w:basedOn w:val="DefaultParagraphFont"/>
    <w:uiPriority w:val="99"/>
    <w:semiHidden/>
    <w:unhideWhenUsed/>
    <w:rsid w:val="00EA2100"/>
    <w:rPr>
      <w:color w:val="605E5C"/>
      <w:shd w:val="clear" w:color="auto" w:fill="E1DFDD"/>
    </w:rPr>
  </w:style>
  <w:style w:type="paragraph" w:styleId="ListParagraph">
    <w:name w:val="List Paragraph"/>
    <w:basedOn w:val="Normal"/>
    <w:uiPriority w:val="34"/>
    <w:qFormat/>
    <w:rsid w:val="00E03B6B"/>
    <w:pPr>
      <w:spacing w:after="160" w:line="259" w:lineRule="auto"/>
      <w:ind w:left="720"/>
      <w:contextualSpacing/>
    </w:pPr>
    <w:rPr>
      <w:rFonts w:ascii="Arial" w:hAnsi="Arial" w:cs="Arial"/>
    </w:rPr>
  </w:style>
  <w:style w:type="paragraph" w:styleId="FootnoteText">
    <w:name w:val="footnote text"/>
    <w:basedOn w:val="Normal"/>
    <w:link w:val="FootnoteTextChar"/>
    <w:uiPriority w:val="99"/>
    <w:semiHidden/>
    <w:unhideWhenUsed/>
    <w:rsid w:val="00E03B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3B6B"/>
    <w:rPr>
      <w:sz w:val="20"/>
      <w:szCs w:val="20"/>
    </w:rPr>
  </w:style>
  <w:style w:type="character" w:styleId="FootnoteReference">
    <w:name w:val="footnote reference"/>
    <w:basedOn w:val="DefaultParagraphFont"/>
    <w:uiPriority w:val="99"/>
    <w:unhideWhenUsed/>
    <w:rsid w:val="00E03B6B"/>
    <w:rPr>
      <w:vertAlign w:val="superscript"/>
    </w:rPr>
  </w:style>
  <w:style w:type="paragraph" w:styleId="Revision">
    <w:name w:val="Revision"/>
    <w:hidden/>
    <w:uiPriority w:val="99"/>
    <w:semiHidden/>
    <w:rsid w:val="00D95C52"/>
    <w:pPr>
      <w:spacing w:after="0" w:line="240" w:lineRule="auto"/>
    </w:pPr>
  </w:style>
  <w:style w:type="character" w:styleId="CommentReference">
    <w:name w:val="annotation reference"/>
    <w:basedOn w:val="DefaultParagraphFont"/>
    <w:uiPriority w:val="99"/>
    <w:semiHidden/>
    <w:unhideWhenUsed/>
    <w:rsid w:val="00346066"/>
    <w:rPr>
      <w:sz w:val="16"/>
      <w:szCs w:val="16"/>
    </w:rPr>
  </w:style>
  <w:style w:type="paragraph" w:styleId="CommentText">
    <w:name w:val="annotation text"/>
    <w:basedOn w:val="Normal"/>
    <w:link w:val="CommentTextChar"/>
    <w:uiPriority w:val="99"/>
    <w:unhideWhenUsed/>
    <w:rsid w:val="00346066"/>
    <w:pPr>
      <w:spacing w:line="240" w:lineRule="auto"/>
    </w:pPr>
    <w:rPr>
      <w:sz w:val="20"/>
      <w:szCs w:val="20"/>
    </w:rPr>
  </w:style>
  <w:style w:type="character" w:customStyle="1" w:styleId="CommentTextChar">
    <w:name w:val="Comment Text Char"/>
    <w:basedOn w:val="DefaultParagraphFont"/>
    <w:link w:val="CommentText"/>
    <w:uiPriority w:val="99"/>
    <w:rsid w:val="00346066"/>
    <w:rPr>
      <w:sz w:val="20"/>
      <w:szCs w:val="20"/>
    </w:rPr>
  </w:style>
  <w:style w:type="paragraph" w:styleId="CommentSubject">
    <w:name w:val="annotation subject"/>
    <w:basedOn w:val="CommentText"/>
    <w:next w:val="CommentText"/>
    <w:link w:val="CommentSubjectChar"/>
    <w:uiPriority w:val="99"/>
    <w:semiHidden/>
    <w:unhideWhenUsed/>
    <w:rsid w:val="00346066"/>
    <w:rPr>
      <w:b/>
      <w:bCs/>
    </w:rPr>
  </w:style>
  <w:style w:type="character" w:customStyle="1" w:styleId="CommentSubjectChar">
    <w:name w:val="Comment Subject Char"/>
    <w:basedOn w:val="CommentTextChar"/>
    <w:link w:val="CommentSubject"/>
    <w:uiPriority w:val="99"/>
    <w:semiHidden/>
    <w:rsid w:val="003460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11431">
      <w:bodyDiv w:val="1"/>
      <w:marLeft w:val="0"/>
      <w:marRight w:val="0"/>
      <w:marTop w:val="0"/>
      <w:marBottom w:val="0"/>
      <w:divBdr>
        <w:top w:val="none" w:sz="0" w:space="0" w:color="auto"/>
        <w:left w:val="none" w:sz="0" w:space="0" w:color="auto"/>
        <w:bottom w:val="none" w:sz="0" w:space="0" w:color="auto"/>
        <w:right w:val="none" w:sz="0" w:space="0" w:color="auto"/>
      </w:divBdr>
    </w:div>
    <w:div w:id="478963413">
      <w:bodyDiv w:val="1"/>
      <w:marLeft w:val="0"/>
      <w:marRight w:val="0"/>
      <w:marTop w:val="0"/>
      <w:marBottom w:val="0"/>
      <w:divBdr>
        <w:top w:val="none" w:sz="0" w:space="0" w:color="auto"/>
        <w:left w:val="none" w:sz="0" w:space="0" w:color="auto"/>
        <w:bottom w:val="none" w:sz="0" w:space="0" w:color="auto"/>
        <w:right w:val="none" w:sz="0" w:space="0" w:color="auto"/>
      </w:divBdr>
    </w:div>
    <w:div w:id="486090057">
      <w:bodyDiv w:val="1"/>
      <w:marLeft w:val="0"/>
      <w:marRight w:val="0"/>
      <w:marTop w:val="0"/>
      <w:marBottom w:val="0"/>
      <w:divBdr>
        <w:top w:val="none" w:sz="0" w:space="0" w:color="auto"/>
        <w:left w:val="none" w:sz="0" w:space="0" w:color="auto"/>
        <w:bottom w:val="none" w:sz="0" w:space="0" w:color="auto"/>
        <w:right w:val="none" w:sz="0" w:space="0" w:color="auto"/>
      </w:divBdr>
    </w:div>
    <w:div w:id="1768382061">
      <w:bodyDiv w:val="1"/>
      <w:marLeft w:val="0"/>
      <w:marRight w:val="0"/>
      <w:marTop w:val="0"/>
      <w:marBottom w:val="0"/>
      <w:divBdr>
        <w:top w:val="none" w:sz="0" w:space="0" w:color="auto"/>
        <w:left w:val="none" w:sz="0" w:space="0" w:color="auto"/>
        <w:bottom w:val="none" w:sz="0" w:space="0" w:color="auto"/>
        <w:right w:val="none" w:sz="0" w:space="0" w:color="auto"/>
      </w:divBdr>
    </w:div>
    <w:div w:id="204316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eb.ca/sites/default/files/uploads/documents/regulatorycodes/2021-12/CDM-Guidelines-Elec-Distributors-20211220.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oeb.ca/sites/default/files/LRAMVA-Workform-Instructions%20-%20Prospective%20Lost%20Revenu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2ACF4-0060-4723-9BB3-2E9D7FE11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1682</Words>
  <Characters>9589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OEB Staff Interrogatories with Cover Letter - Panel</vt:lpstr>
    </vt:vector>
  </TitlesOfParts>
  <Company>OEB</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OEB Staff Interrogatories with Cover Letter - Panel</dc:title>
  <dc:creator>OEB</dc:creator>
  <cp:lastModifiedBy>Birgit Armstrong</cp:lastModifiedBy>
  <cp:revision>4</cp:revision>
  <cp:lastPrinted>2018-01-26T00:21:00Z</cp:lastPrinted>
  <dcterms:created xsi:type="dcterms:W3CDTF">2023-01-13T15:58:00Z</dcterms:created>
  <dcterms:modified xsi:type="dcterms:W3CDTF">2023-01-13T18:16:00Z</dcterms:modified>
</cp:coreProperties>
</file>