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616E" w14:textId="4FE6BC39" w:rsidR="00E03B6B" w:rsidRDefault="00F54927" w:rsidP="00E03B6B">
      <w:pPr>
        <w:spacing w:after="0" w:line="240" w:lineRule="auto"/>
        <w:jc w:val="center"/>
        <w:rPr>
          <w:rFonts w:ascii="Arial" w:hAnsi="Arial" w:cs="Arial"/>
          <w:b/>
          <w:bCs/>
          <w:sz w:val="28"/>
          <w:szCs w:val="28"/>
        </w:rPr>
      </w:pPr>
      <w:r>
        <w:rPr>
          <w:rFonts w:ascii="Arial" w:hAnsi="Arial" w:cs="Arial"/>
          <w:b/>
          <w:bCs/>
          <w:sz w:val="28"/>
          <w:szCs w:val="28"/>
        </w:rPr>
        <w:t>Halton Hills Hydro Inc.</w:t>
      </w:r>
    </w:p>
    <w:p w14:paraId="40068517" w14:textId="14D5EEFF" w:rsidR="00E03B6B" w:rsidRDefault="00E03B6B" w:rsidP="00E03B6B">
      <w:pPr>
        <w:spacing w:after="0" w:line="240" w:lineRule="auto"/>
        <w:jc w:val="center"/>
        <w:rPr>
          <w:rFonts w:ascii="Arial" w:hAnsi="Arial" w:cs="Arial"/>
          <w:b/>
          <w:bCs/>
          <w:sz w:val="28"/>
          <w:szCs w:val="28"/>
        </w:rPr>
      </w:pPr>
      <w:r>
        <w:rPr>
          <w:rFonts w:ascii="Arial" w:hAnsi="Arial" w:cs="Arial"/>
          <w:b/>
          <w:bCs/>
          <w:sz w:val="28"/>
          <w:szCs w:val="28"/>
        </w:rPr>
        <w:t xml:space="preserve">OEB Staff </w:t>
      </w:r>
      <w:r w:rsidR="00F54927">
        <w:rPr>
          <w:rFonts w:ascii="Arial" w:hAnsi="Arial" w:cs="Arial"/>
          <w:b/>
          <w:bCs/>
          <w:sz w:val="28"/>
          <w:szCs w:val="28"/>
        </w:rPr>
        <w:t>Questions</w:t>
      </w:r>
      <w:r>
        <w:rPr>
          <w:rFonts w:ascii="Arial" w:hAnsi="Arial" w:cs="Arial"/>
          <w:b/>
          <w:bCs/>
          <w:sz w:val="28"/>
          <w:szCs w:val="28"/>
        </w:rPr>
        <w:t xml:space="preserve"> </w:t>
      </w:r>
    </w:p>
    <w:p w14:paraId="552C8BCF" w14:textId="0CC22728" w:rsidR="00E03B6B" w:rsidRPr="00182494" w:rsidRDefault="00E03B6B" w:rsidP="00E03B6B">
      <w:pPr>
        <w:spacing w:after="0" w:line="240" w:lineRule="auto"/>
        <w:jc w:val="center"/>
        <w:rPr>
          <w:rFonts w:ascii="Arial" w:hAnsi="Arial" w:cs="Arial"/>
          <w:b/>
          <w:bCs/>
          <w:sz w:val="28"/>
          <w:szCs w:val="28"/>
        </w:rPr>
      </w:pPr>
      <w:r>
        <w:rPr>
          <w:rFonts w:ascii="Arial" w:hAnsi="Arial" w:cs="Arial"/>
          <w:b/>
          <w:bCs/>
          <w:sz w:val="28"/>
          <w:szCs w:val="28"/>
        </w:rPr>
        <w:t>EB-2022-00</w:t>
      </w:r>
      <w:r w:rsidR="00F54927">
        <w:rPr>
          <w:rFonts w:ascii="Arial" w:hAnsi="Arial" w:cs="Arial"/>
          <w:b/>
          <w:bCs/>
          <w:sz w:val="28"/>
          <w:szCs w:val="28"/>
        </w:rPr>
        <w:t>36</w:t>
      </w:r>
    </w:p>
    <w:p w14:paraId="28FC76D7" w14:textId="77777777" w:rsidR="00E03B6B" w:rsidRDefault="00E03B6B" w:rsidP="00E03B6B">
      <w:pPr>
        <w:pStyle w:val="ListParagraph"/>
        <w:spacing w:after="240" w:line="240" w:lineRule="auto"/>
        <w:rPr>
          <w:sz w:val="24"/>
          <w:szCs w:val="24"/>
        </w:rPr>
      </w:pPr>
    </w:p>
    <w:p w14:paraId="7867EC7F" w14:textId="396ADA96" w:rsidR="00E03B6B" w:rsidRPr="0099567A" w:rsidRDefault="00E03B6B" w:rsidP="00E03B6B">
      <w:pPr>
        <w:autoSpaceDE w:val="0"/>
        <w:autoSpaceDN w:val="0"/>
        <w:adjustRightInd w:val="0"/>
        <w:spacing w:after="240" w:line="240" w:lineRule="auto"/>
        <w:rPr>
          <w:rFonts w:ascii="Arial" w:eastAsia="Calibri" w:hAnsi="Arial" w:cs="Arial"/>
          <w:sz w:val="24"/>
          <w:szCs w:val="24"/>
        </w:rPr>
      </w:pPr>
      <w:bookmarkStart w:id="0" w:name="_Hlk55806661"/>
      <w:r w:rsidRPr="0099567A">
        <w:rPr>
          <w:rFonts w:ascii="Arial" w:eastAsia="Calibri" w:hAnsi="Arial" w:cs="Arial"/>
          <w:sz w:val="24"/>
          <w:szCs w:val="24"/>
        </w:rPr>
        <w:t xml:space="preserve">Please note, </w:t>
      </w:r>
      <w:r w:rsidR="00F54927">
        <w:rPr>
          <w:rFonts w:ascii="Arial" w:eastAsia="Calibri" w:hAnsi="Arial" w:cs="Arial"/>
          <w:sz w:val="24"/>
          <w:szCs w:val="24"/>
        </w:rPr>
        <w:t>Halton Hills Hydro</w:t>
      </w:r>
      <w:r w:rsidRPr="0099567A">
        <w:rPr>
          <w:rFonts w:ascii="Arial" w:eastAsia="Calibri" w:hAnsi="Arial" w:cs="Arial"/>
          <w:sz w:val="24"/>
          <w:szCs w:val="24"/>
        </w:rPr>
        <w:t xml:space="preserve"> (</w:t>
      </w:r>
      <w:r w:rsidR="00F54927">
        <w:rPr>
          <w:rFonts w:ascii="Arial" w:eastAsia="Calibri" w:hAnsi="Arial" w:cs="Arial"/>
          <w:sz w:val="24"/>
          <w:szCs w:val="24"/>
        </w:rPr>
        <w:t>Halton Hills</w:t>
      </w:r>
      <w:r>
        <w:rPr>
          <w:rFonts w:ascii="Arial" w:eastAsia="Calibri" w:hAnsi="Arial" w:cs="Arial"/>
          <w:sz w:val="24"/>
          <w:szCs w:val="24"/>
        </w:rPr>
        <w:t xml:space="preserve"> Hydro</w:t>
      </w:r>
      <w:r w:rsidRPr="0099567A">
        <w:rPr>
          <w:rFonts w:ascii="Arial" w:eastAsia="Calibri"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sidRPr="0099567A">
        <w:rPr>
          <w:rFonts w:ascii="Arial" w:eastAsia="Calibri" w:hAnsi="Arial" w:cs="Arial"/>
          <w:i/>
          <w:iCs/>
          <w:sz w:val="24"/>
          <w:szCs w:val="24"/>
        </w:rPr>
        <w:t>Freedom of Information and Protection of Privacy Act</w:t>
      </w:r>
      <w:r w:rsidRPr="0099567A">
        <w:rPr>
          <w:rFonts w:ascii="Arial" w:eastAsia="Calibri" w:hAnsi="Arial" w:cs="Arial"/>
          <w:sz w:val="24"/>
          <w:szCs w:val="24"/>
        </w:rPr>
        <w:t xml:space="preserve">) unless filed in accordance with rule 9A of the OEB’s </w:t>
      </w:r>
      <w:r w:rsidRPr="0099567A">
        <w:rPr>
          <w:rFonts w:ascii="Arial" w:eastAsia="Calibri" w:hAnsi="Arial" w:cs="Arial"/>
          <w:i/>
          <w:iCs/>
          <w:sz w:val="24"/>
          <w:szCs w:val="24"/>
        </w:rPr>
        <w:t>Rules of Practice and Procedure</w:t>
      </w:r>
      <w:r w:rsidRPr="0099567A">
        <w:rPr>
          <w:rFonts w:ascii="Arial" w:eastAsia="Calibri" w:hAnsi="Arial" w:cs="Arial"/>
          <w:sz w:val="24"/>
          <w:szCs w:val="24"/>
        </w:rPr>
        <w:t>.</w:t>
      </w:r>
    </w:p>
    <w:p w14:paraId="45E8AE89" w14:textId="77777777" w:rsidR="00E03B6B" w:rsidRDefault="00E03B6B" w:rsidP="00E03B6B">
      <w:pPr>
        <w:spacing w:after="240" w:line="240" w:lineRule="auto"/>
        <w:rPr>
          <w:rFonts w:ascii="Arial" w:hAnsi="Arial" w:cs="Arial"/>
          <w:b/>
          <w:bCs/>
          <w:sz w:val="24"/>
          <w:szCs w:val="24"/>
        </w:rPr>
      </w:pPr>
      <w:bookmarkStart w:id="1" w:name="_Hlk119921051"/>
      <w:bookmarkEnd w:id="0"/>
      <w:r>
        <w:rPr>
          <w:rFonts w:ascii="Arial" w:hAnsi="Arial" w:cs="Arial"/>
          <w:b/>
          <w:bCs/>
          <w:sz w:val="24"/>
          <w:szCs w:val="24"/>
        </w:rPr>
        <w:t>OEB Staff – 1</w:t>
      </w:r>
    </w:p>
    <w:p w14:paraId="0A7C94EA" w14:textId="77777777" w:rsidR="00E03B6B" w:rsidRDefault="00E03B6B" w:rsidP="00E03B6B">
      <w:pPr>
        <w:spacing w:after="0" w:line="240" w:lineRule="auto"/>
        <w:rPr>
          <w:rFonts w:ascii="Arial" w:hAnsi="Arial" w:cs="Arial"/>
          <w:b/>
          <w:bCs/>
          <w:sz w:val="24"/>
          <w:szCs w:val="24"/>
        </w:rPr>
      </w:pPr>
      <w:bookmarkStart w:id="2" w:name="_Hlk120089973"/>
      <w:r>
        <w:rPr>
          <w:rFonts w:ascii="Arial" w:hAnsi="Arial" w:cs="Arial"/>
          <w:b/>
          <w:bCs/>
          <w:sz w:val="24"/>
          <w:szCs w:val="24"/>
        </w:rPr>
        <w:t xml:space="preserve">Ref: IRM Rate Generator Tab 16, 17, 19 and 20 – Annual Adjustment Mechanism Ref: </w:t>
      </w:r>
      <w:r w:rsidRPr="00D1274C">
        <w:rPr>
          <w:rFonts w:ascii="Arial" w:hAnsi="Arial" w:cs="Arial"/>
          <w:b/>
          <w:bCs/>
          <w:sz w:val="24"/>
          <w:szCs w:val="24"/>
        </w:rPr>
        <w:t>OEB Letter, 2023 Inflation Parameters</w:t>
      </w:r>
      <w:r w:rsidRPr="007870E5">
        <w:rPr>
          <w:rFonts w:ascii="Arial" w:hAnsi="Arial" w:cs="Arial"/>
          <w:b/>
          <w:bCs/>
          <w:sz w:val="24"/>
          <w:szCs w:val="24"/>
        </w:rPr>
        <w:t xml:space="preserve"> </w:t>
      </w:r>
    </w:p>
    <w:p w14:paraId="686991FF" w14:textId="77777777" w:rsidR="00E03B6B" w:rsidRDefault="00E03B6B" w:rsidP="00E03B6B">
      <w:pPr>
        <w:spacing w:after="0" w:line="240" w:lineRule="auto"/>
        <w:rPr>
          <w:rFonts w:ascii="Arial" w:hAnsi="Arial" w:cs="Arial"/>
          <w:b/>
          <w:bCs/>
          <w:sz w:val="24"/>
          <w:szCs w:val="24"/>
        </w:rPr>
      </w:pPr>
      <w:r>
        <w:rPr>
          <w:rFonts w:ascii="Arial" w:hAnsi="Arial" w:cs="Arial"/>
          <w:b/>
          <w:bCs/>
          <w:sz w:val="24"/>
          <w:szCs w:val="24"/>
        </w:rPr>
        <w:t>Ref: EB-2022-0020, Decision and Order</w:t>
      </w:r>
    </w:p>
    <w:p w14:paraId="3512DE4C" w14:textId="77777777" w:rsidR="00E03B6B" w:rsidRDefault="00E03B6B" w:rsidP="00E03B6B">
      <w:pPr>
        <w:spacing w:after="0" w:line="240" w:lineRule="auto"/>
        <w:rPr>
          <w:rFonts w:ascii="Arial" w:hAnsi="Arial" w:cs="Arial"/>
          <w:b/>
          <w:bCs/>
          <w:sz w:val="24"/>
          <w:szCs w:val="24"/>
        </w:rPr>
      </w:pPr>
      <w:r>
        <w:rPr>
          <w:rFonts w:ascii="Arial" w:hAnsi="Arial" w:cs="Arial"/>
          <w:b/>
          <w:bCs/>
          <w:sz w:val="24"/>
          <w:szCs w:val="24"/>
        </w:rPr>
        <w:t>Ref: EB-2022-0021, Decision and Order</w:t>
      </w:r>
    </w:p>
    <w:p w14:paraId="2FE6CA59" w14:textId="77777777" w:rsidR="00E03B6B" w:rsidRDefault="00E03B6B" w:rsidP="00E03B6B">
      <w:pPr>
        <w:spacing w:after="240" w:line="240" w:lineRule="auto"/>
        <w:rPr>
          <w:rFonts w:ascii="Arial" w:hAnsi="Arial" w:cs="Arial"/>
          <w:b/>
          <w:bCs/>
          <w:sz w:val="24"/>
          <w:szCs w:val="24"/>
        </w:rPr>
      </w:pPr>
    </w:p>
    <w:bookmarkEnd w:id="1"/>
    <w:bookmarkEnd w:id="2"/>
    <w:p w14:paraId="43ED8FC6" w14:textId="09FC5BE9" w:rsidR="00E03B6B" w:rsidRDefault="00E03B6B" w:rsidP="00E03B6B">
      <w:pPr>
        <w:spacing w:after="240" w:line="240" w:lineRule="auto"/>
        <w:rPr>
          <w:rFonts w:ascii="Arial" w:hAnsi="Arial" w:cs="Arial"/>
          <w:sz w:val="24"/>
          <w:szCs w:val="24"/>
        </w:rPr>
      </w:pPr>
      <w:r w:rsidRPr="00DE2DD9">
        <w:rPr>
          <w:rFonts w:ascii="Arial" w:hAnsi="Arial" w:cs="Arial"/>
          <w:sz w:val="24"/>
          <w:szCs w:val="24"/>
        </w:rPr>
        <w:t xml:space="preserve">OEB staff has </w:t>
      </w:r>
      <w:r>
        <w:rPr>
          <w:rFonts w:ascii="Arial" w:hAnsi="Arial" w:cs="Arial"/>
          <w:sz w:val="24"/>
          <w:szCs w:val="24"/>
        </w:rPr>
        <w:t xml:space="preserve">made the following updates to </w:t>
      </w:r>
      <w:r w:rsidR="00F54927">
        <w:rPr>
          <w:rFonts w:ascii="Arial" w:hAnsi="Arial" w:cs="Arial"/>
          <w:sz w:val="24"/>
          <w:szCs w:val="24"/>
        </w:rPr>
        <w:t>Halton Hills</w:t>
      </w:r>
      <w:r>
        <w:rPr>
          <w:rFonts w:ascii="Arial" w:hAnsi="Arial" w:cs="Arial"/>
          <w:sz w:val="24"/>
          <w:szCs w:val="24"/>
        </w:rPr>
        <w:t xml:space="preserve"> Hydro’s Rate Generator:</w:t>
      </w:r>
    </w:p>
    <w:p w14:paraId="64BD6FF8" w14:textId="77777777" w:rsidR="00E03B6B" w:rsidRPr="007870E5"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IPI Inflation Factor to 3.</w:t>
      </w:r>
      <w:r>
        <w:rPr>
          <w:rFonts w:ascii="Arial" w:hAnsi="Arial" w:cs="Arial"/>
          <w:sz w:val="24"/>
          <w:szCs w:val="24"/>
        </w:rPr>
        <w:t>7</w:t>
      </w:r>
      <w:r w:rsidRPr="007870E5">
        <w:rPr>
          <w:rFonts w:ascii="Arial" w:hAnsi="Arial" w:cs="Arial"/>
          <w:sz w:val="24"/>
          <w:szCs w:val="24"/>
        </w:rPr>
        <w:t>0%</w:t>
      </w:r>
      <w:r w:rsidRPr="007870E5">
        <w:rPr>
          <w:rFonts w:ascii="Arial" w:hAnsi="Arial" w:cs="Arial"/>
          <w:sz w:val="24"/>
          <w:szCs w:val="24"/>
          <w:vertAlign w:val="superscript"/>
        </w:rPr>
        <w:footnoteReference w:id="1"/>
      </w:r>
      <w:r w:rsidRPr="007870E5">
        <w:rPr>
          <w:rFonts w:ascii="Arial" w:hAnsi="Arial" w:cs="Arial"/>
          <w:sz w:val="24"/>
          <w:szCs w:val="24"/>
        </w:rPr>
        <w:t xml:space="preserve"> in Tab 16 and Tab 17-Retail Service Charges</w:t>
      </w:r>
    </w:p>
    <w:p w14:paraId="527D6CD0" w14:textId="77777777" w:rsidR="00E03B6B" w:rsidRPr="007870E5"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Ontario Electricity Rebate in Tab 20 to 1</w:t>
      </w:r>
      <w:r>
        <w:rPr>
          <w:rFonts w:ascii="Arial" w:hAnsi="Arial" w:cs="Arial"/>
          <w:sz w:val="24"/>
          <w:szCs w:val="24"/>
        </w:rPr>
        <w:t>1.7</w:t>
      </w:r>
      <w:r w:rsidRPr="007870E5">
        <w:rPr>
          <w:rFonts w:ascii="Arial" w:hAnsi="Arial" w:cs="Arial"/>
          <w:sz w:val="24"/>
          <w:szCs w:val="24"/>
        </w:rPr>
        <w:t>% (as of November 1, 202</w:t>
      </w:r>
      <w:r>
        <w:rPr>
          <w:rFonts w:ascii="Arial" w:hAnsi="Arial" w:cs="Arial"/>
          <w:sz w:val="24"/>
          <w:szCs w:val="24"/>
        </w:rPr>
        <w:t>2</w:t>
      </w:r>
      <w:r w:rsidRPr="007870E5">
        <w:rPr>
          <w:rFonts w:ascii="Arial" w:hAnsi="Arial" w:cs="Arial"/>
          <w:sz w:val="24"/>
          <w:szCs w:val="24"/>
        </w:rPr>
        <w:t>)</w:t>
      </w:r>
    </w:p>
    <w:p w14:paraId="30C43ABC" w14:textId="77777777" w:rsidR="00E03B6B" w:rsidRDefault="00E03B6B" w:rsidP="00E03B6B">
      <w:pPr>
        <w:numPr>
          <w:ilvl w:val="0"/>
          <w:numId w:val="2"/>
        </w:numPr>
        <w:spacing w:after="0" w:line="240" w:lineRule="auto"/>
        <w:contextualSpacing/>
        <w:rPr>
          <w:rFonts w:ascii="Arial" w:hAnsi="Arial" w:cs="Arial"/>
          <w:sz w:val="24"/>
          <w:szCs w:val="24"/>
        </w:rPr>
      </w:pPr>
      <w:r w:rsidRPr="007870E5">
        <w:rPr>
          <w:rFonts w:ascii="Arial" w:hAnsi="Arial" w:cs="Arial"/>
          <w:sz w:val="24"/>
          <w:szCs w:val="24"/>
        </w:rPr>
        <w:t>Updated the Wireline Pole Attachment Charge to $</w:t>
      </w:r>
      <w:r>
        <w:rPr>
          <w:rFonts w:ascii="Arial" w:hAnsi="Arial" w:cs="Arial"/>
          <w:sz w:val="24"/>
          <w:szCs w:val="24"/>
        </w:rPr>
        <w:t>36.05</w:t>
      </w:r>
      <w:r w:rsidRPr="007870E5">
        <w:rPr>
          <w:rFonts w:ascii="Arial" w:hAnsi="Arial" w:cs="Arial"/>
          <w:sz w:val="24"/>
          <w:szCs w:val="24"/>
          <w:vertAlign w:val="superscript"/>
        </w:rPr>
        <w:footnoteReference w:id="2"/>
      </w:r>
      <w:r w:rsidRPr="007870E5">
        <w:rPr>
          <w:rFonts w:ascii="Arial" w:hAnsi="Arial" w:cs="Arial"/>
          <w:sz w:val="24"/>
          <w:szCs w:val="24"/>
        </w:rPr>
        <w:t xml:space="preserve"> in Tab 17</w:t>
      </w:r>
    </w:p>
    <w:p w14:paraId="730E0999" w14:textId="77777777" w:rsidR="00E03B6B" w:rsidRDefault="00E03B6B" w:rsidP="00E03B6B">
      <w:pPr>
        <w:numPr>
          <w:ilvl w:val="0"/>
          <w:numId w:val="2"/>
        </w:numPr>
        <w:spacing w:after="0" w:line="240" w:lineRule="auto"/>
        <w:contextualSpacing/>
        <w:rPr>
          <w:rFonts w:ascii="Arial" w:hAnsi="Arial" w:cs="Arial"/>
          <w:sz w:val="24"/>
          <w:szCs w:val="24"/>
        </w:rPr>
      </w:pPr>
      <w:r>
        <w:rPr>
          <w:rFonts w:ascii="Arial" w:hAnsi="Arial" w:cs="Arial"/>
          <w:sz w:val="24"/>
          <w:szCs w:val="24"/>
        </w:rPr>
        <w:t>Updated Retail Service Charges by the inflation factor of 3.7% in Tab 17</w:t>
      </w:r>
    </w:p>
    <w:p w14:paraId="7C932179" w14:textId="77777777" w:rsidR="00E03B6B" w:rsidRDefault="00E03B6B" w:rsidP="00E03B6B">
      <w:pPr>
        <w:spacing w:after="240" w:line="240" w:lineRule="auto"/>
        <w:rPr>
          <w:rFonts w:ascii="Arial" w:hAnsi="Arial" w:cs="Arial"/>
          <w:b/>
          <w:bCs/>
          <w:sz w:val="24"/>
          <w:szCs w:val="24"/>
        </w:rPr>
      </w:pPr>
    </w:p>
    <w:p w14:paraId="33781891" w14:textId="77777777" w:rsidR="00E03B6B" w:rsidRPr="00586B1F" w:rsidRDefault="00E03B6B" w:rsidP="00E03B6B">
      <w:pPr>
        <w:spacing w:after="240" w:line="240" w:lineRule="auto"/>
        <w:rPr>
          <w:rFonts w:ascii="Arial" w:hAnsi="Arial" w:cs="Arial"/>
          <w:b/>
          <w:bCs/>
          <w:sz w:val="24"/>
          <w:szCs w:val="24"/>
        </w:rPr>
      </w:pPr>
      <w:bookmarkStart w:id="3" w:name="_Hlk123722155"/>
      <w:r w:rsidRPr="00586B1F">
        <w:rPr>
          <w:rFonts w:ascii="Arial" w:hAnsi="Arial" w:cs="Arial"/>
          <w:b/>
          <w:bCs/>
          <w:sz w:val="24"/>
          <w:szCs w:val="24"/>
        </w:rPr>
        <w:t xml:space="preserve">Question: </w:t>
      </w:r>
    </w:p>
    <w:bookmarkEnd w:id="3"/>
    <w:p w14:paraId="21534506" w14:textId="77777777" w:rsidR="00E03B6B" w:rsidRPr="000656E8" w:rsidRDefault="00E03B6B" w:rsidP="00E03B6B">
      <w:pPr>
        <w:pStyle w:val="ListParagraph"/>
        <w:numPr>
          <w:ilvl w:val="0"/>
          <w:numId w:val="1"/>
        </w:numPr>
        <w:spacing w:after="240" w:line="240" w:lineRule="auto"/>
        <w:rPr>
          <w:sz w:val="24"/>
          <w:szCs w:val="24"/>
        </w:rPr>
      </w:pPr>
      <w:r w:rsidRPr="000656E8">
        <w:rPr>
          <w:sz w:val="24"/>
          <w:szCs w:val="24"/>
        </w:rPr>
        <w:t xml:space="preserve">Please confirm </w:t>
      </w:r>
      <w:r>
        <w:rPr>
          <w:sz w:val="24"/>
          <w:szCs w:val="24"/>
        </w:rPr>
        <w:t>the accuracy of these updates in the attached rate generator</w:t>
      </w:r>
      <w:r w:rsidRPr="000656E8">
        <w:rPr>
          <w:sz w:val="24"/>
          <w:szCs w:val="24"/>
        </w:rPr>
        <w:t xml:space="preserve">. </w:t>
      </w:r>
    </w:p>
    <w:p w14:paraId="128BC290" w14:textId="77777777" w:rsidR="00E03B6B" w:rsidRDefault="00E03B6B" w:rsidP="00E03B6B">
      <w:pPr>
        <w:spacing w:after="240" w:line="240" w:lineRule="auto"/>
        <w:rPr>
          <w:rFonts w:ascii="Arial" w:hAnsi="Arial" w:cs="Arial"/>
          <w:b/>
          <w:bCs/>
          <w:sz w:val="24"/>
          <w:szCs w:val="24"/>
        </w:rPr>
      </w:pPr>
      <w:bookmarkStart w:id="4" w:name="_Hlk119920010"/>
      <w:r>
        <w:rPr>
          <w:rFonts w:ascii="Arial" w:hAnsi="Arial" w:cs="Arial"/>
          <w:b/>
          <w:bCs/>
          <w:sz w:val="24"/>
          <w:szCs w:val="24"/>
        </w:rPr>
        <w:t>OEB Staff – 2</w:t>
      </w:r>
    </w:p>
    <w:p w14:paraId="16B3B773" w14:textId="77777777" w:rsidR="00E03B6B" w:rsidRDefault="00E03B6B" w:rsidP="00E03B6B">
      <w:pPr>
        <w:spacing w:after="240" w:line="240" w:lineRule="auto"/>
        <w:rPr>
          <w:rFonts w:ascii="Arial" w:hAnsi="Arial" w:cs="Arial"/>
          <w:b/>
          <w:bCs/>
          <w:sz w:val="24"/>
          <w:szCs w:val="24"/>
        </w:rPr>
      </w:pPr>
      <w:bookmarkStart w:id="5" w:name="_Hlk115074365"/>
      <w:r>
        <w:rPr>
          <w:rFonts w:ascii="Arial" w:hAnsi="Arial" w:cs="Arial"/>
          <w:b/>
          <w:bCs/>
          <w:sz w:val="24"/>
          <w:szCs w:val="24"/>
        </w:rPr>
        <w:t>Ref: IRM Rate Generator Tab 17, 19 and 20 Smart Meter Entity (SME) Charge</w:t>
      </w:r>
    </w:p>
    <w:bookmarkEnd w:id="5"/>
    <w:p w14:paraId="079185E8" w14:textId="77777777" w:rsidR="00E03B6B" w:rsidRPr="00DE2DD9" w:rsidRDefault="00E03B6B" w:rsidP="00E03B6B">
      <w:pPr>
        <w:spacing w:after="240" w:line="240" w:lineRule="auto"/>
        <w:rPr>
          <w:rFonts w:ascii="Arial" w:hAnsi="Arial" w:cs="Arial"/>
          <w:sz w:val="24"/>
          <w:szCs w:val="24"/>
        </w:rPr>
      </w:pPr>
      <w:r w:rsidRPr="00DE2DD9">
        <w:rPr>
          <w:rFonts w:ascii="Arial" w:hAnsi="Arial" w:cs="Arial"/>
          <w:sz w:val="24"/>
          <w:szCs w:val="24"/>
        </w:rPr>
        <w:t>OEB staff has updated the SME charge from $0.43 to $0.42.</w:t>
      </w:r>
    </w:p>
    <w:p w14:paraId="74CAC190" w14:textId="77777777" w:rsidR="00E03B6B" w:rsidRPr="00586B1F" w:rsidRDefault="00E03B6B" w:rsidP="00E03B6B">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21709891" w14:textId="77777777" w:rsidR="00E03B6B" w:rsidRPr="000656E8" w:rsidRDefault="00E03B6B" w:rsidP="00E03B6B">
      <w:pPr>
        <w:pStyle w:val="ListParagraph"/>
        <w:numPr>
          <w:ilvl w:val="0"/>
          <w:numId w:val="4"/>
        </w:numPr>
        <w:spacing w:after="240" w:line="240" w:lineRule="auto"/>
        <w:rPr>
          <w:sz w:val="24"/>
          <w:szCs w:val="24"/>
        </w:rPr>
      </w:pPr>
      <w:r w:rsidRPr="000656E8">
        <w:rPr>
          <w:sz w:val="24"/>
          <w:szCs w:val="24"/>
        </w:rPr>
        <w:t xml:space="preserve">Please confirm this is correct. </w:t>
      </w:r>
    </w:p>
    <w:bookmarkEnd w:id="4"/>
    <w:p w14:paraId="7799B1D6" w14:textId="77777777" w:rsidR="00E03B6B" w:rsidRDefault="00E03B6B" w:rsidP="00E03B6B">
      <w:pPr>
        <w:spacing w:after="240" w:line="240" w:lineRule="auto"/>
        <w:rPr>
          <w:rFonts w:ascii="Arial" w:hAnsi="Arial" w:cs="Arial"/>
          <w:b/>
          <w:bCs/>
          <w:sz w:val="24"/>
          <w:szCs w:val="24"/>
        </w:rPr>
      </w:pPr>
      <w:r>
        <w:rPr>
          <w:rFonts w:ascii="Arial" w:hAnsi="Arial" w:cs="Arial"/>
          <w:b/>
          <w:bCs/>
          <w:sz w:val="24"/>
          <w:szCs w:val="24"/>
        </w:rPr>
        <w:lastRenderedPageBreak/>
        <w:t>OEB Staff – 3</w:t>
      </w:r>
    </w:p>
    <w:p w14:paraId="5E4863AA" w14:textId="77777777" w:rsidR="00E03B6B" w:rsidRDefault="00E03B6B" w:rsidP="00E03B6B">
      <w:pPr>
        <w:spacing w:after="240" w:line="240" w:lineRule="auto"/>
        <w:rPr>
          <w:rFonts w:ascii="Arial" w:hAnsi="Arial" w:cs="Arial"/>
          <w:b/>
          <w:bCs/>
          <w:sz w:val="24"/>
          <w:szCs w:val="24"/>
        </w:rPr>
      </w:pPr>
      <w:r>
        <w:rPr>
          <w:rFonts w:ascii="Arial" w:hAnsi="Arial" w:cs="Arial"/>
          <w:b/>
          <w:bCs/>
          <w:sz w:val="24"/>
          <w:szCs w:val="24"/>
        </w:rPr>
        <w:t>Ref: IRM Rate Generator Tab 17 and Tab 20 – Regulatory Charges, Time of Use RPP Prices and Distribution Rate Protection Charge</w:t>
      </w:r>
    </w:p>
    <w:p w14:paraId="1A245397" w14:textId="77777777" w:rsidR="00E03B6B" w:rsidRDefault="00E03B6B" w:rsidP="00E03B6B">
      <w:pPr>
        <w:spacing w:after="240" w:line="240" w:lineRule="auto"/>
        <w:rPr>
          <w:rFonts w:ascii="Arial" w:hAnsi="Arial" w:cs="Arial"/>
          <w:sz w:val="24"/>
          <w:szCs w:val="24"/>
        </w:rPr>
      </w:pPr>
      <w:r w:rsidRPr="00DE2DD9">
        <w:rPr>
          <w:rFonts w:ascii="Arial" w:hAnsi="Arial" w:cs="Arial"/>
          <w:sz w:val="24"/>
          <w:szCs w:val="24"/>
        </w:rPr>
        <w:t xml:space="preserve">OEB staff has </w:t>
      </w:r>
      <w:r>
        <w:rPr>
          <w:rFonts w:ascii="Arial" w:hAnsi="Arial" w:cs="Arial"/>
          <w:sz w:val="24"/>
          <w:szCs w:val="24"/>
        </w:rPr>
        <w:t>made the following updates to Tab 17 of the rate generator:</w:t>
      </w:r>
    </w:p>
    <w:p w14:paraId="7EA791BB" w14:textId="77777777" w:rsidR="00E03B6B" w:rsidRDefault="00E03B6B" w:rsidP="00E03B6B">
      <w:pPr>
        <w:spacing w:after="240" w:line="240" w:lineRule="auto"/>
        <w:rPr>
          <w:rFonts w:ascii="Arial" w:hAnsi="Arial" w:cs="Arial"/>
          <w:sz w:val="24"/>
          <w:szCs w:val="24"/>
        </w:rPr>
      </w:pPr>
      <w:r w:rsidRPr="00BA234A">
        <w:rPr>
          <w:rFonts w:ascii="Arial" w:hAnsi="Arial" w:cs="Arial"/>
          <w:noProof/>
          <w:sz w:val="24"/>
          <w:szCs w:val="24"/>
        </w:rPr>
        <w:drawing>
          <wp:inline distT="0" distB="0" distL="0" distR="0" wp14:anchorId="2D4BA959" wp14:editId="4AAC78D9">
            <wp:extent cx="5943600" cy="1683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83385"/>
                    </a:xfrm>
                    <a:prstGeom prst="rect">
                      <a:avLst/>
                    </a:prstGeom>
                  </pic:spPr>
                </pic:pic>
              </a:graphicData>
            </a:graphic>
          </wp:inline>
        </w:drawing>
      </w:r>
    </w:p>
    <w:p w14:paraId="670AD0FE" w14:textId="0F86563A" w:rsidR="00E03B6B" w:rsidRPr="00586B1F" w:rsidRDefault="00E03B6B" w:rsidP="00E03B6B">
      <w:pPr>
        <w:spacing w:after="240" w:line="240" w:lineRule="auto"/>
        <w:rPr>
          <w:rFonts w:ascii="Arial" w:hAnsi="Arial" w:cs="Arial"/>
          <w:b/>
          <w:bCs/>
          <w:sz w:val="24"/>
          <w:szCs w:val="24"/>
        </w:rPr>
      </w:pPr>
      <w:r>
        <w:rPr>
          <w:noProof/>
        </w:rPr>
        <w:drawing>
          <wp:inline distT="0" distB="0" distL="0" distR="0" wp14:anchorId="55A4FB8A" wp14:editId="3552CDC0">
            <wp:extent cx="5867400" cy="622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67400" cy="622300"/>
                    </a:xfrm>
                    <a:prstGeom prst="rect">
                      <a:avLst/>
                    </a:prstGeom>
                    <a:noFill/>
                    <a:ln>
                      <a:noFill/>
                    </a:ln>
                  </pic:spPr>
                </pic:pic>
              </a:graphicData>
            </a:graphic>
          </wp:inline>
        </w:drawing>
      </w:r>
      <w:r>
        <w:rPr>
          <w:noProof/>
        </w:rPr>
        <w:drawing>
          <wp:inline distT="0" distB="0" distL="0" distR="0" wp14:anchorId="44AC18D0" wp14:editId="1940CA24">
            <wp:extent cx="5943600" cy="1327108"/>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1327108"/>
                    </a:xfrm>
                    <a:prstGeom prst="rect">
                      <a:avLst/>
                    </a:prstGeom>
                    <a:noFill/>
                    <a:ln>
                      <a:noFill/>
                    </a:ln>
                  </pic:spPr>
                </pic:pic>
              </a:graphicData>
            </a:graphic>
          </wp:inline>
        </w:drawing>
      </w:r>
      <w:bookmarkStart w:id="6" w:name="_Hlk120868394"/>
      <w:bookmarkStart w:id="7" w:name="_Hlk119923963"/>
      <w:r w:rsidRPr="00586B1F">
        <w:rPr>
          <w:rFonts w:ascii="Arial" w:hAnsi="Arial" w:cs="Arial"/>
          <w:b/>
          <w:bCs/>
          <w:sz w:val="24"/>
          <w:szCs w:val="24"/>
        </w:rPr>
        <w:t xml:space="preserve">Question: </w:t>
      </w:r>
    </w:p>
    <w:bookmarkEnd w:id="6"/>
    <w:p w14:paraId="250098D6" w14:textId="77777777" w:rsidR="00E03B6B" w:rsidRDefault="00E03B6B" w:rsidP="00E03B6B">
      <w:pPr>
        <w:pStyle w:val="ListParagraph"/>
        <w:numPr>
          <w:ilvl w:val="0"/>
          <w:numId w:val="3"/>
        </w:numPr>
        <w:spacing w:after="240" w:line="240" w:lineRule="auto"/>
        <w:rPr>
          <w:sz w:val="24"/>
          <w:szCs w:val="24"/>
        </w:rPr>
      </w:pPr>
      <w:r w:rsidRPr="000656E8">
        <w:rPr>
          <w:sz w:val="24"/>
          <w:szCs w:val="24"/>
        </w:rPr>
        <w:t xml:space="preserve">Please confirm </w:t>
      </w:r>
      <w:r>
        <w:rPr>
          <w:sz w:val="24"/>
          <w:szCs w:val="24"/>
        </w:rPr>
        <w:t>the accuracy of these updates in the rate generator.</w:t>
      </w:r>
    </w:p>
    <w:p w14:paraId="06C46DD2" w14:textId="77777777" w:rsidR="00E03B6B" w:rsidRPr="00D25FDF" w:rsidRDefault="00E03B6B" w:rsidP="00E03B6B">
      <w:pPr>
        <w:spacing w:after="240" w:line="240" w:lineRule="auto"/>
        <w:rPr>
          <w:rFonts w:ascii="Arial" w:hAnsi="Arial" w:cs="Arial"/>
          <w:b/>
          <w:bCs/>
          <w:sz w:val="24"/>
          <w:szCs w:val="24"/>
        </w:rPr>
      </w:pPr>
      <w:bookmarkStart w:id="8" w:name="_Hlk123652909"/>
      <w:bookmarkEnd w:id="7"/>
      <w:r w:rsidRPr="00D25FDF">
        <w:rPr>
          <w:rFonts w:ascii="Arial" w:hAnsi="Arial" w:cs="Arial"/>
          <w:b/>
          <w:bCs/>
          <w:sz w:val="24"/>
          <w:szCs w:val="24"/>
        </w:rPr>
        <w:t xml:space="preserve">OEB Staff – </w:t>
      </w:r>
      <w:r>
        <w:rPr>
          <w:rFonts w:ascii="Arial" w:hAnsi="Arial" w:cs="Arial"/>
          <w:b/>
          <w:bCs/>
          <w:sz w:val="24"/>
          <w:szCs w:val="24"/>
        </w:rPr>
        <w:t>4</w:t>
      </w:r>
    </w:p>
    <w:bookmarkEnd w:id="8"/>
    <w:p w14:paraId="38B5B94D" w14:textId="77777777" w:rsidR="00E03B6B" w:rsidRDefault="00E03B6B" w:rsidP="00E03B6B">
      <w:pPr>
        <w:spacing w:after="0" w:line="240" w:lineRule="auto"/>
        <w:rPr>
          <w:rFonts w:ascii="Arial" w:hAnsi="Arial" w:cs="Arial"/>
          <w:b/>
          <w:bCs/>
          <w:sz w:val="24"/>
          <w:szCs w:val="24"/>
        </w:rPr>
      </w:pPr>
      <w:r w:rsidRPr="00D25FDF">
        <w:rPr>
          <w:rFonts w:ascii="Arial" w:hAnsi="Arial" w:cs="Arial"/>
          <w:b/>
          <w:bCs/>
          <w:sz w:val="24"/>
          <w:szCs w:val="24"/>
        </w:rPr>
        <w:t xml:space="preserve">Ref: IRM Rate Generator Tab 19 and Tab 20 – </w:t>
      </w:r>
      <w:r>
        <w:rPr>
          <w:rFonts w:ascii="Arial" w:hAnsi="Arial" w:cs="Arial"/>
          <w:b/>
          <w:bCs/>
          <w:sz w:val="24"/>
          <w:szCs w:val="24"/>
        </w:rPr>
        <w:t>Retail Service Transmission Rates (RTSRs)</w:t>
      </w:r>
    </w:p>
    <w:p w14:paraId="2E9298AA" w14:textId="77777777" w:rsidR="00E03B6B" w:rsidRDefault="00E03B6B" w:rsidP="00E03B6B">
      <w:pPr>
        <w:spacing w:after="0" w:line="240" w:lineRule="auto"/>
        <w:rPr>
          <w:rFonts w:ascii="Arial" w:hAnsi="Arial" w:cs="Arial"/>
          <w:sz w:val="24"/>
          <w:szCs w:val="24"/>
        </w:rPr>
      </w:pPr>
      <w:r>
        <w:rPr>
          <w:rFonts w:ascii="Arial" w:hAnsi="Arial" w:cs="Arial"/>
          <w:b/>
          <w:bCs/>
          <w:sz w:val="24"/>
          <w:szCs w:val="24"/>
        </w:rPr>
        <w:t>Ref: Decision and Order, EB-2021-0110</w:t>
      </w:r>
    </w:p>
    <w:p w14:paraId="48F7757E" w14:textId="77777777" w:rsidR="00E03B6B" w:rsidRDefault="00E03B6B" w:rsidP="00E03B6B">
      <w:pPr>
        <w:spacing w:after="240" w:line="240" w:lineRule="auto"/>
        <w:rPr>
          <w:rFonts w:ascii="Arial" w:hAnsi="Arial" w:cs="Arial"/>
          <w:sz w:val="24"/>
          <w:szCs w:val="24"/>
        </w:rPr>
      </w:pPr>
    </w:p>
    <w:p w14:paraId="58634467" w14:textId="77777777" w:rsidR="00E03B6B" w:rsidRDefault="00E03B6B" w:rsidP="00E03B6B">
      <w:pPr>
        <w:spacing w:after="240" w:line="240" w:lineRule="auto"/>
        <w:rPr>
          <w:rFonts w:ascii="Arial" w:hAnsi="Arial" w:cs="Arial"/>
          <w:sz w:val="24"/>
          <w:szCs w:val="24"/>
        </w:rPr>
      </w:pPr>
      <w:r>
        <w:rPr>
          <w:rFonts w:ascii="Arial" w:hAnsi="Arial" w:cs="Arial"/>
          <w:sz w:val="24"/>
          <w:szCs w:val="24"/>
        </w:rPr>
        <w:t>OEB staff made the following updates to Tab 11 of the rate generator model:</w:t>
      </w:r>
    </w:p>
    <w:p w14:paraId="73441741" w14:textId="2E11A510" w:rsidR="00E03B6B" w:rsidRPr="00D25FDF" w:rsidRDefault="00E328DF" w:rsidP="00E03B6B">
      <w:pPr>
        <w:spacing w:after="240" w:line="240" w:lineRule="auto"/>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6597941A" wp14:editId="3DB86B47">
                <wp:simplePos x="0" y="0"/>
                <wp:positionH relativeFrom="column">
                  <wp:posOffset>5394740</wp:posOffset>
                </wp:positionH>
                <wp:positionV relativeFrom="paragraph">
                  <wp:posOffset>344673</wp:posOffset>
                </wp:positionV>
                <wp:extent cx="746760" cy="685800"/>
                <wp:effectExtent l="0" t="0" r="15240" b="19050"/>
                <wp:wrapNone/>
                <wp:docPr id="2" name="Oval 2"/>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D5F50C" id="Oval 2" o:spid="_x0000_s1026" style="position:absolute;margin-left:424.8pt;margin-top:27.15pt;width:58.8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" filled="f" strokecolor="red" strokeweight="2p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04D7673" wp14:editId="03018DB9">
                <wp:simplePos x="0" y="0"/>
                <wp:positionH relativeFrom="column">
                  <wp:posOffset>5227335</wp:posOffset>
                </wp:positionH>
                <wp:positionV relativeFrom="paragraph">
                  <wp:posOffset>1368065</wp:posOffset>
                </wp:positionV>
                <wp:extent cx="746760" cy="685800"/>
                <wp:effectExtent l="0" t="0" r="15240" b="19050"/>
                <wp:wrapNone/>
                <wp:docPr id="6" name="Oval 6"/>
                <wp:cNvGraphicFramePr/>
                <a:graphic xmlns:a="http://schemas.openxmlformats.org/drawingml/2006/main">
                  <a:graphicData uri="http://schemas.microsoft.com/office/word/2010/wordprocessingShape">
                    <wps:wsp>
                      <wps:cNvSpPr/>
                      <wps:spPr>
                        <a:xfrm>
                          <a:off x="0" y="0"/>
                          <a:ext cx="746760" cy="685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72A264" id="Oval 6" o:spid="_x0000_s1026" style="position:absolute;margin-left:411.6pt;margin-top:107.7pt;width:58.8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" filled="f" strokecolor="red" strokeweight="2pt"/>
            </w:pict>
          </mc:Fallback>
        </mc:AlternateContent>
      </w:r>
      <w:r w:rsidRPr="00706A8A">
        <w:rPr>
          <w:rFonts w:ascii="Arial" w:hAnsi="Arial" w:cs="Arial"/>
          <w:noProof/>
          <w:sz w:val="24"/>
          <w:szCs w:val="24"/>
        </w:rPr>
        <w:drawing>
          <wp:inline distT="0" distB="0" distL="0" distR="0" wp14:anchorId="4AF19643" wp14:editId="61A5AAE8">
            <wp:extent cx="5943600" cy="9315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1545"/>
                    </a:xfrm>
                    <a:prstGeom prst="rect">
                      <a:avLst/>
                    </a:prstGeom>
                  </pic:spPr>
                </pic:pic>
              </a:graphicData>
            </a:graphic>
          </wp:inline>
        </w:drawing>
      </w:r>
      <w:r w:rsidR="00E03B6B" w:rsidRPr="00D25FDF">
        <w:rPr>
          <w:rFonts w:ascii="Arial" w:hAnsi="Arial" w:cs="Arial"/>
          <w:noProof/>
          <w:sz w:val="24"/>
          <w:szCs w:val="24"/>
        </w:rPr>
        <w:drawing>
          <wp:inline distT="0" distB="0" distL="0" distR="0" wp14:anchorId="08FBA916" wp14:editId="39926585">
            <wp:extent cx="594360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110615"/>
                    </a:xfrm>
                    <a:prstGeom prst="rect">
                      <a:avLst/>
                    </a:prstGeom>
                  </pic:spPr>
                </pic:pic>
              </a:graphicData>
            </a:graphic>
          </wp:inline>
        </w:drawing>
      </w:r>
    </w:p>
    <w:p w14:paraId="3FDFA7D4" w14:textId="3A5D2169" w:rsidR="00E03B6B" w:rsidRPr="004D6191" w:rsidRDefault="00E03B6B" w:rsidP="00E03B6B">
      <w:pPr>
        <w:spacing w:after="240" w:line="240" w:lineRule="auto"/>
        <w:rPr>
          <w:rFonts w:ascii="Arial" w:hAnsi="Arial" w:cs="Arial"/>
          <w:b/>
          <w:bCs/>
          <w:sz w:val="24"/>
          <w:szCs w:val="24"/>
        </w:rPr>
      </w:pPr>
      <w:r w:rsidRPr="004D6191">
        <w:rPr>
          <w:rFonts w:ascii="Arial" w:hAnsi="Arial" w:cs="Arial"/>
          <w:b/>
          <w:bCs/>
          <w:sz w:val="24"/>
          <w:szCs w:val="24"/>
        </w:rPr>
        <w:t xml:space="preserve">Question: </w:t>
      </w:r>
    </w:p>
    <w:p w14:paraId="02365420" w14:textId="26A5EAC2" w:rsidR="00E03B6B" w:rsidRPr="00E328DF" w:rsidRDefault="00E03B6B" w:rsidP="00E328DF">
      <w:pPr>
        <w:pStyle w:val="ListParagraph"/>
        <w:numPr>
          <w:ilvl w:val="0"/>
          <w:numId w:val="12"/>
        </w:numPr>
        <w:spacing w:after="240" w:line="240" w:lineRule="auto"/>
        <w:rPr>
          <w:sz w:val="24"/>
          <w:szCs w:val="24"/>
        </w:rPr>
      </w:pPr>
      <w:r w:rsidRPr="00E328DF">
        <w:rPr>
          <w:sz w:val="24"/>
          <w:szCs w:val="24"/>
        </w:rPr>
        <w:t>Please confirm the accuracy of these updates in the rate generator.</w:t>
      </w:r>
    </w:p>
    <w:p w14:paraId="33A05501" w14:textId="27A743B0" w:rsidR="00220F52" w:rsidRDefault="00310403" w:rsidP="00E328DF">
      <w:pPr>
        <w:spacing w:after="240" w:line="240" w:lineRule="auto"/>
        <w:rPr>
          <w:rFonts w:ascii="Arial" w:hAnsi="Arial" w:cs="Arial"/>
          <w:b/>
          <w:bCs/>
          <w:sz w:val="24"/>
          <w:szCs w:val="24"/>
        </w:rPr>
      </w:pPr>
      <w:r w:rsidRPr="00310403">
        <w:rPr>
          <w:rFonts w:ascii="Arial" w:hAnsi="Arial" w:cs="Arial"/>
          <w:b/>
          <w:bCs/>
          <w:sz w:val="24"/>
          <w:szCs w:val="24"/>
        </w:rPr>
        <w:t xml:space="preserve">OEB Staff </w:t>
      </w:r>
      <w:r>
        <w:rPr>
          <w:rFonts w:ascii="Arial" w:hAnsi="Arial" w:cs="Arial"/>
          <w:b/>
          <w:bCs/>
          <w:sz w:val="24"/>
          <w:szCs w:val="24"/>
        </w:rPr>
        <w:t>–</w:t>
      </w:r>
      <w:r w:rsidRPr="00310403">
        <w:rPr>
          <w:rFonts w:ascii="Arial" w:hAnsi="Arial" w:cs="Arial"/>
          <w:b/>
          <w:bCs/>
          <w:sz w:val="24"/>
          <w:szCs w:val="24"/>
        </w:rPr>
        <w:t xml:space="preserve"> </w:t>
      </w:r>
      <w:r w:rsidR="00730B0F">
        <w:rPr>
          <w:rFonts w:ascii="Arial" w:hAnsi="Arial" w:cs="Arial"/>
          <w:b/>
          <w:bCs/>
          <w:sz w:val="24"/>
          <w:szCs w:val="24"/>
        </w:rPr>
        <w:t>5</w:t>
      </w:r>
    </w:p>
    <w:p w14:paraId="522C2FA9" w14:textId="0DDA4E13" w:rsidR="00310403" w:rsidRDefault="00310403" w:rsidP="00E328DF">
      <w:pPr>
        <w:spacing w:after="240" w:line="240" w:lineRule="auto"/>
        <w:rPr>
          <w:rFonts w:ascii="Arial" w:hAnsi="Arial" w:cs="Arial"/>
          <w:b/>
          <w:bCs/>
          <w:sz w:val="24"/>
          <w:szCs w:val="24"/>
        </w:rPr>
      </w:pPr>
      <w:r>
        <w:rPr>
          <w:rFonts w:ascii="Arial" w:hAnsi="Arial" w:cs="Arial"/>
          <w:b/>
          <w:bCs/>
          <w:sz w:val="24"/>
          <w:szCs w:val="24"/>
        </w:rPr>
        <w:t>Ref: 2023 Rate Generator Tab 3, Continuity Schedule -Account 1595</w:t>
      </w:r>
    </w:p>
    <w:p w14:paraId="0AF1D784" w14:textId="746616C0" w:rsidR="00310403" w:rsidRDefault="00310403" w:rsidP="00E328DF">
      <w:pPr>
        <w:spacing w:after="240" w:line="240" w:lineRule="auto"/>
        <w:rPr>
          <w:rFonts w:ascii="Arial" w:hAnsi="Arial" w:cs="Arial"/>
          <w:sz w:val="24"/>
          <w:szCs w:val="24"/>
        </w:rPr>
      </w:pPr>
      <w:r>
        <w:rPr>
          <w:rFonts w:ascii="Arial" w:hAnsi="Arial" w:cs="Arial"/>
          <w:sz w:val="24"/>
          <w:szCs w:val="24"/>
        </w:rPr>
        <w:t>Tab 3 of the rate generator shows an approved disposition principal amount of $971,346 and an interest amount of ($66,234) in Account 1595</w:t>
      </w:r>
      <w:r w:rsidR="00723862">
        <w:rPr>
          <w:rFonts w:ascii="Arial" w:hAnsi="Arial" w:cs="Arial"/>
          <w:sz w:val="24"/>
          <w:szCs w:val="24"/>
        </w:rPr>
        <w:t>(2021)</w:t>
      </w:r>
      <w:r>
        <w:rPr>
          <w:rFonts w:ascii="Arial" w:hAnsi="Arial" w:cs="Arial"/>
          <w:sz w:val="24"/>
          <w:szCs w:val="24"/>
        </w:rPr>
        <w:t xml:space="preserve">. </w:t>
      </w:r>
    </w:p>
    <w:p w14:paraId="2E784992" w14:textId="77777777" w:rsidR="00764F5C" w:rsidRPr="00586B1F" w:rsidRDefault="00764F5C" w:rsidP="00764F5C">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61889DB0" w14:textId="57E673C7" w:rsidR="00310403" w:rsidRDefault="00310403" w:rsidP="00310403">
      <w:pPr>
        <w:pStyle w:val="ListParagraph"/>
        <w:numPr>
          <w:ilvl w:val="0"/>
          <w:numId w:val="15"/>
        </w:numPr>
        <w:spacing w:after="240" w:line="240" w:lineRule="auto"/>
        <w:rPr>
          <w:sz w:val="24"/>
          <w:szCs w:val="24"/>
        </w:rPr>
      </w:pPr>
      <w:r>
        <w:rPr>
          <w:sz w:val="24"/>
          <w:szCs w:val="24"/>
        </w:rPr>
        <w:t>Please provide a breakdown of the balances approved for disposition in 2021</w:t>
      </w:r>
      <w:r w:rsidR="00D472EF">
        <w:rPr>
          <w:sz w:val="24"/>
          <w:szCs w:val="24"/>
        </w:rPr>
        <w:t xml:space="preserve"> and reconcile </w:t>
      </w:r>
      <w:r w:rsidR="00764F5C">
        <w:rPr>
          <w:sz w:val="24"/>
          <w:szCs w:val="24"/>
        </w:rPr>
        <w:t>these balances</w:t>
      </w:r>
      <w:r>
        <w:rPr>
          <w:sz w:val="24"/>
          <w:szCs w:val="24"/>
        </w:rPr>
        <w:t>.</w:t>
      </w:r>
    </w:p>
    <w:p w14:paraId="53A08392" w14:textId="5DDE6B36" w:rsidR="00730B0F" w:rsidRDefault="00730B0F" w:rsidP="00730B0F">
      <w:pPr>
        <w:spacing w:after="0"/>
        <w:rPr>
          <w:rFonts w:ascii="Arial" w:hAnsi="Arial" w:cs="Arial"/>
          <w:b/>
          <w:bCs/>
          <w:sz w:val="24"/>
          <w:szCs w:val="24"/>
        </w:rPr>
      </w:pPr>
      <w:bookmarkStart w:id="9" w:name="_Hlk124340770"/>
      <w:r w:rsidRPr="00AF740D">
        <w:rPr>
          <w:rFonts w:ascii="Arial" w:hAnsi="Arial" w:cs="Arial"/>
          <w:b/>
          <w:bCs/>
          <w:sz w:val="24"/>
          <w:szCs w:val="24"/>
        </w:rPr>
        <w:t xml:space="preserve">OEB Staff – </w:t>
      </w:r>
      <w:r>
        <w:rPr>
          <w:rFonts w:ascii="Arial" w:hAnsi="Arial" w:cs="Arial"/>
          <w:b/>
          <w:bCs/>
          <w:sz w:val="24"/>
          <w:szCs w:val="24"/>
        </w:rPr>
        <w:t>6</w:t>
      </w:r>
    </w:p>
    <w:p w14:paraId="4FE45FF7" w14:textId="77777777" w:rsidR="00730B0F" w:rsidRPr="00AF740D" w:rsidRDefault="00730B0F" w:rsidP="00730B0F">
      <w:pPr>
        <w:spacing w:after="0"/>
        <w:rPr>
          <w:rFonts w:ascii="Arial" w:hAnsi="Arial" w:cs="Arial"/>
          <w:b/>
          <w:bCs/>
          <w:sz w:val="24"/>
          <w:szCs w:val="24"/>
        </w:rPr>
      </w:pPr>
    </w:p>
    <w:p w14:paraId="07425E1A"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1820B6FB"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3A18831E" w14:textId="77777777" w:rsidR="00730B0F" w:rsidRPr="00AF740D" w:rsidRDefault="00730B0F" w:rsidP="00730B0F">
      <w:pPr>
        <w:spacing w:after="0"/>
        <w:rPr>
          <w:rFonts w:ascii="Arial" w:hAnsi="Arial" w:cs="Arial"/>
          <w:b/>
          <w:bCs/>
          <w:sz w:val="24"/>
          <w:szCs w:val="24"/>
        </w:rPr>
      </w:pPr>
    </w:p>
    <w:p w14:paraId="596AD7C2"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differences in Account 1588 2021 transactions</w:t>
      </w:r>
      <w:r>
        <w:rPr>
          <w:rFonts w:ascii="Arial" w:hAnsi="Arial" w:cs="Arial"/>
          <w:sz w:val="24"/>
          <w:szCs w:val="24"/>
        </w:rPr>
        <w:t xml:space="preserve"> between the 2023 IRM Rate Generator Model and the 2023 IRM GA Analysis Workform</w:t>
      </w:r>
      <w:r w:rsidRPr="00AF740D">
        <w:rPr>
          <w:rFonts w:ascii="Arial" w:hAnsi="Arial" w:cs="Arial"/>
          <w:sz w:val="24"/>
          <w:szCs w:val="24"/>
        </w:rPr>
        <w:t>.</w:t>
      </w:r>
    </w:p>
    <w:p w14:paraId="72E420B7" w14:textId="77777777" w:rsidR="00730B0F" w:rsidRPr="00AF740D" w:rsidRDefault="00730B0F" w:rsidP="00730B0F">
      <w:pPr>
        <w:spacing w:after="0"/>
        <w:rPr>
          <w:rFonts w:ascii="Arial" w:hAnsi="Arial" w:cs="Arial"/>
          <w:b/>
          <w:bCs/>
          <w:sz w:val="24"/>
          <w:szCs w:val="24"/>
        </w:rPr>
      </w:pPr>
    </w:p>
    <w:p w14:paraId="75F2517A" w14:textId="7F9D4B53"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1 </w:t>
      </w:r>
      <w:r w:rsidR="00ED7CF6">
        <w:rPr>
          <w:rFonts w:ascii="Arial" w:hAnsi="Arial" w:cs="Arial"/>
          <w:b/>
          <w:sz w:val="24"/>
          <w:szCs w:val="24"/>
        </w:rPr>
        <w:t xml:space="preserve">– </w:t>
      </w:r>
      <w:r w:rsidRPr="00AF740D">
        <w:rPr>
          <w:rFonts w:ascii="Arial" w:hAnsi="Arial" w:cs="Arial"/>
          <w:b/>
          <w:sz w:val="24"/>
          <w:szCs w:val="24"/>
        </w:rPr>
        <w:t>Differences in Account 1588 2021 Transactions</w:t>
      </w:r>
    </w:p>
    <w:p w14:paraId="6C2CBCCA" w14:textId="77777777" w:rsidR="00730B0F" w:rsidRPr="00AF740D" w:rsidRDefault="00730B0F" w:rsidP="00730B0F">
      <w:pPr>
        <w:spacing w:after="0"/>
        <w:jc w:val="center"/>
        <w:rPr>
          <w:rFonts w:ascii="Arial" w:hAnsi="Arial" w:cs="Arial"/>
          <w:b/>
          <w:sz w:val="24"/>
          <w:szCs w:val="24"/>
        </w:rPr>
      </w:pPr>
    </w:p>
    <w:tbl>
      <w:tblPr>
        <w:tblStyle w:val="TableGrid"/>
        <w:tblW w:w="0" w:type="auto"/>
        <w:tblLayout w:type="fixed"/>
        <w:tblLook w:val="04A0" w:firstRow="1" w:lastRow="0" w:firstColumn="1" w:lastColumn="0" w:noHBand="0" w:noVBand="1"/>
      </w:tblPr>
      <w:tblGrid>
        <w:gridCol w:w="1176"/>
        <w:gridCol w:w="2636"/>
        <w:gridCol w:w="2636"/>
        <w:gridCol w:w="2637"/>
      </w:tblGrid>
      <w:tr w:rsidR="00730B0F" w:rsidRPr="00AF740D" w14:paraId="312E1430" w14:textId="77777777" w:rsidTr="003B0A59">
        <w:trPr>
          <w:trHeight w:val="600"/>
        </w:trPr>
        <w:tc>
          <w:tcPr>
            <w:tcW w:w="1176" w:type="dxa"/>
            <w:vMerge w:val="restart"/>
            <w:noWrap/>
            <w:hideMark/>
          </w:tcPr>
          <w:p w14:paraId="0B537ACF"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Account</w:t>
            </w:r>
          </w:p>
        </w:tc>
        <w:tc>
          <w:tcPr>
            <w:tcW w:w="2636" w:type="dxa"/>
            <w:hideMark/>
          </w:tcPr>
          <w:p w14:paraId="1C9B208E"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2023 IRM Rate Generator Model</w:t>
            </w:r>
          </w:p>
        </w:tc>
        <w:tc>
          <w:tcPr>
            <w:tcW w:w="2636" w:type="dxa"/>
            <w:hideMark/>
          </w:tcPr>
          <w:p w14:paraId="063CBAC3"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2023 GA Analysis Workform – Tab Account 1588 Reasonability</w:t>
            </w:r>
          </w:p>
        </w:tc>
        <w:tc>
          <w:tcPr>
            <w:tcW w:w="2637" w:type="dxa"/>
            <w:vMerge w:val="restart"/>
            <w:noWrap/>
            <w:hideMark/>
          </w:tcPr>
          <w:p w14:paraId="62D56FC7"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Difference</w:t>
            </w:r>
          </w:p>
        </w:tc>
      </w:tr>
      <w:tr w:rsidR="00730B0F" w:rsidRPr="00AF740D" w14:paraId="2FAC7010" w14:textId="77777777" w:rsidTr="003B0A59">
        <w:trPr>
          <w:trHeight w:val="600"/>
        </w:trPr>
        <w:tc>
          <w:tcPr>
            <w:tcW w:w="1176" w:type="dxa"/>
            <w:vMerge/>
            <w:noWrap/>
            <w:hideMark/>
          </w:tcPr>
          <w:p w14:paraId="4FC948AF" w14:textId="77777777" w:rsidR="00730B0F" w:rsidRPr="00AF740D" w:rsidRDefault="00730B0F" w:rsidP="003B0A59">
            <w:pPr>
              <w:spacing w:line="276" w:lineRule="auto"/>
              <w:jc w:val="right"/>
              <w:rPr>
                <w:rFonts w:ascii="Arial" w:hAnsi="Arial" w:cs="Arial"/>
                <w:sz w:val="24"/>
                <w:szCs w:val="24"/>
              </w:rPr>
            </w:pPr>
          </w:p>
        </w:tc>
        <w:tc>
          <w:tcPr>
            <w:tcW w:w="2636" w:type="dxa"/>
            <w:hideMark/>
          </w:tcPr>
          <w:p w14:paraId="77F633D8"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Transactions Debit / (Credit) during 2021</w:t>
            </w:r>
          </w:p>
        </w:tc>
        <w:tc>
          <w:tcPr>
            <w:tcW w:w="2636" w:type="dxa"/>
            <w:hideMark/>
          </w:tcPr>
          <w:p w14:paraId="3B2FD03E" w14:textId="77777777" w:rsidR="00730B0F" w:rsidRPr="00AF740D" w:rsidRDefault="00730B0F" w:rsidP="003B0A59">
            <w:pPr>
              <w:spacing w:line="276" w:lineRule="auto"/>
              <w:jc w:val="right"/>
              <w:rPr>
                <w:rFonts w:ascii="Arial" w:hAnsi="Arial" w:cs="Arial"/>
                <w:b/>
                <w:bCs/>
                <w:sz w:val="24"/>
                <w:szCs w:val="24"/>
              </w:rPr>
            </w:pPr>
            <w:r w:rsidRPr="00AF740D">
              <w:rPr>
                <w:rFonts w:ascii="Arial" w:hAnsi="Arial" w:cs="Arial"/>
                <w:b/>
                <w:bCs/>
                <w:sz w:val="24"/>
                <w:szCs w:val="24"/>
              </w:rPr>
              <w:t>Transactions - 2021</w:t>
            </w:r>
          </w:p>
        </w:tc>
        <w:tc>
          <w:tcPr>
            <w:tcW w:w="2637" w:type="dxa"/>
            <w:vMerge/>
            <w:noWrap/>
            <w:hideMark/>
          </w:tcPr>
          <w:p w14:paraId="3454AE38" w14:textId="77777777" w:rsidR="00730B0F" w:rsidRPr="00AF740D" w:rsidRDefault="00730B0F" w:rsidP="003B0A59">
            <w:pPr>
              <w:spacing w:line="276" w:lineRule="auto"/>
              <w:jc w:val="right"/>
              <w:rPr>
                <w:rFonts w:ascii="Arial" w:hAnsi="Arial" w:cs="Arial"/>
                <w:sz w:val="24"/>
                <w:szCs w:val="24"/>
              </w:rPr>
            </w:pPr>
          </w:p>
        </w:tc>
      </w:tr>
      <w:tr w:rsidR="00730B0F" w:rsidRPr="00AF740D" w14:paraId="7E528888" w14:textId="77777777" w:rsidTr="003B0A59">
        <w:trPr>
          <w:trHeight w:val="300"/>
        </w:trPr>
        <w:tc>
          <w:tcPr>
            <w:tcW w:w="1176" w:type="dxa"/>
            <w:noWrap/>
            <w:hideMark/>
          </w:tcPr>
          <w:p w14:paraId="0553E7DD" w14:textId="77777777" w:rsidR="00730B0F" w:rsidRPr="00AF740D" w:rsidRDefault="00730B0F" w:rsidP="003B0A59">
            <w:pPr>
              <w:spacing w:line="276" w:lineRule="auto"/>
              <w:jc w:val="right"/>
              <w:rPr>
                <w:rFonts w:ascii="Arial" w:hAnsi="Arial" w:cs="Arial"/>
                <w:sz w:val="24"/>
                <w:szCs w:val="24"/>
              </w:rPr>
            </w:pPr>
            <w:r w:rsidRPr="00AF740D">
              <w:rPr>
                <w:rFonts w:ascii="Arial" w:hAnsi="Arial" w:cs="Arial"/>
                <w:sz w:val="24"/>
                <w:szCs w:val="24"/>
              </w:rPr>
              <w:t>1588</w:t>
            </w:r>
          </w:p>
        </w:tc>
        <w:tc>
          <w:tcPr>
            <w:tcW w:w="2636" w:type="dxa"/>
            <w:noWrap/>
            <w:hideMark/>
          </w:tcPr>
          <w:p w14:paraId="7EF2B8C9" w14:textId="77777777" w:rsidR="00730B0F" w:rsidRPr="00AF740D" w:rsidRDefault="00730B0F" w:rsidP="003B0A59">
            <w:pPr>
              <w:spacing w:line="276" w:lineRule="auto"/>
              <w:jc w:val="right"/>
              <w:rPr>
                <w:rFonts w:ascii="Arial" w:hAnsi="Arial" w:cs="Arial"/>
                <w:sz w:val="24"/>
                <w:szCs w:val="24"/>
              </w:rPr>
            </w:pPr>
            <w:r w:rsidRPr="00AF740D">
              <w:rPr>
                <w:rFonts w:ascii="Arial" w:hAnsi="Arial" w:cs="Arial"/>
                <w:sz w:val="24"/>
                <w:szCs w:val="24"/>
              </w:rPr>
              <w:t xml:space="preserve">                       126,535 </w:t>
            </w:r>
          </w:p>
        </w:tc>
        <w:tc>
          <w:tcPr>
            <w:tcW w:w="2636" w:type="dxa"/>
            <w:noWrap/>
            <w:hideMark/>
          </w:tcPr>
          <w:p w14:paraId="40A7FD5E" w14:textId="77777777" w:rsidR="00730B0F" w:rsidRPr="00AF740D" w:rsidRDefault="00730B0F" w:rsidP="003B0A59">
            <w:pPr>
              <w:spacing w:line="276" w:lineRule="auto"/>
              <w:jc w:val="right"/>
              <w:rPr>
                <w:rFonts w:ascii="Arial" w:hAnsi="Arial" w:cs="Arial"/>
                <w:sz w:val="24"/>
                <w:szCs w:val="24"/>
              </w:rPr>
            </w:pPr>
            <w:r w:rsidRPr="00AF740D">
              <w:rPr>
                <w:rFonts w:ascii="Arial" w:hAnsi="Arial" w:cs="Arial"/>
                <w:sz w:val="24"/>
                <w:szCs w:val="24"/>
              </w:rPr>
              <w:t xml:space="preserve">                      299,832 </w:t>
            </w:r>
          </w:p>
        </w:tc>
        <w:tc>
          <w:tcPr>
            <w:tcW w:w="2637" w:type="dxa"/>
            <w:noWrap/>
            <w:hideMark/>
          </w:tcPr>
          <w:p w14:paraId="07AFCCDA" w14:textId="77777777" w:rsidR="00730B0F" w:rsidRPr="00AF740D" w:rsidRDefault="00730B0F" w:rsidP="003B0A59">
            <w:pPr>
              <w:spacing w:line="276" w:lineRule="auto"/>
              <w:jc w:val="right"/>
              <w:rPr>
                <w:rFonts w:ascii="Arial" w:hAnsi="Arial" w:cs="Arial"/>
                <w:sz w:val="24"/>
                <w:szCs w:val="24"/>
              </w:rPr>
            </w:pPr>
            <w:r w:rsidRPr="00AF740D">
              <w:rPr>
                <w:rFonts w:ascii="Arial" w:hAnsi="Arial" w:cs="Arial"/>
                <w:sz w:val="24"/>
                <w:szCs w:val="24"/>
              </w:rPr>
              <w:t xml:space="preserve">                 (173,297)</w:t>
            </w:r>
          </w:p>
        </w:tc>
      </w:tr>
    </w:tbl>
    <w:p w14:paraId="3F4CB23B" w14:textId="77777777" w:rsidR="00730B0F" w:rsidRPr="00AF740D" w:rsidRDefault="00730B0F" w:rsidP="00730B0F">
      <w:pPr>
        <w:spacing w:after="0"/>
        <w:rPr>
          <w:rFonts w:ascii="Arial" w:hAnsi="Arial" w:cs="Arial"/>
          <w:b/>
          <w:sz w:val="24"/>
          <w:szCs w:val="24"/>
        </w:rPr>
      </w:pPr>
    </w:p>
    <w:p w14:paraId="7C5E5FC4" w14:textId="77777777" w:rsidR="00730B0F" w:rsidRPr="00AF740D" w:rsidRDefault="00730B0F" w:rsidP="00730B0F">
      <w:pPr>
        <w:spacing w:after="0"/>
        <w:rPr>
          <w:rFonts w:ascii="Arial" w:hAnsi="Arial" w:cs="Arial"/>
          <w:b/>
          <w:sz w:val="24"/>
          <w:szCs w:val="24"/>
        </w:rPr>
      </w:pPr>
      <w:r w:rsidRPr="00AF740D">
        <w:rPr>
          <w:rFonts w:ascii="Arial" w:hAnsi="Arial" w:cs="Arial"/>
          <w:b/>
          <w:sz w:val="24"/>
          <w:szCs w:val="24"/>
        </w:rPr>
        <w:t>Questions:</w:t>
      </w:r>
    </w:p>
    <w:p w14:paraId="4B8CD657" w14:textId="77777777" w:rsidR="00730B0F" w:rsidRPr="00AF740D" w:rsidRDefault="00730B0F" w:rsidP="00730B0F">
      <w:pPr>
        <w:spacing w:after="0"/>
        <w:rPr>
          <w:rFonts w:ascii="Arial" w:hAnsi="Arial" w:cs="Arial"/>
          <w:b/>
          <w:sz w:val="24"/>
          <w:szCs w:val="24"/>
        </w:rPr>
      </w:pPr>
    </w:p>
    <w:p w14:paraId="7507B66C" w14:textId="01A12ACB" w:rsidR="00730B0F" w:rsidRPr="00AF740D" w:rsidRDefault="00730B0F" w:rsidP="00730B0F">
      <w:pPr>
        <w:pStyle w:val="ListParagraph"/>
        <w:numPr>
          <w:ilvl w:val="0"/>
          <w:numId w:val="19"/>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F95CD1">
        <w:rPr>
          <w:bCs/>
          <w:sz w:val="24"/>
          <w:szCs w:val="24"/>
        </w:rPr>
        <w:t>-</w:t>
      </w:r>
      <w:r w:rsidRPr="00AF740D">
        <w:rPr>
          <w:bCs/>
          <w:sz w:val="24"/>
          <w:szCs w:val="24"/>
        </w:rPr>
        <w:t>noted Table 1</w:t>
      </w:r>
      <w:r w:rsidR="00151B77">
        <w:rPr>
          <w:bCs/>
          <w:sz w:val="24"/>
          <w:szCs w:val="24"/>
        </w:rPr>
        <w:t>.</w:t>
      </w:r>
    </w:p>
    <w:p w14:paraId="43EE3FE0" w14:textId="1EF3650C" w:rsidR="00730B0F" w:rsidRPr="00AF740D" w:rsidRDefault="00730B0F" w:rsidP="00730B0F">
      <w:pPr>
        <w:pStyle w:val="ListParagraph"/>
        <w:numPr>
          <w:ilvl w:val="0"/>
          <w:numId w:val="19"/>
        </w:numPr>
        <w:spacing w:after="0" w:line="276" w:lineRule="auto"/>
        <w:rPr>
          <w:bCs/>
          <w:sz w:val="24"/>
          <w:szCs w:val="24"/>
        </w:rPr>
      </w:pPr>
      <w:r w:rsidRPr="00AF740D">
        <w:rPr>
          <w:bCs/>
          <w:sz w:val="24"/>
          <w:szCs w:val="24"/>
        </w:rPr>
        <w:t>If this is not the case, please explain, and update Table 1.</w:t>
      </w:r>
    </w:p>
    <w:p w14:paraId="26154AEB" w14:textId="77777777" w:rsidR="00730B0F" w:rsidRPr="00AF740D" w:rsidRDefault="00730B0F" w:rsidP="00730B0F">
      <w:pPr>
        <w:pStyle w:val="ListParagraph"/>
        <w:numPr>
          <w:ilvl w:val="0"/>
          <w:numId w:val="19"/>
        </w:numPr>
        <w:spacing w:after="0" w:line="276" w:lineRule="auto"/>
        <w:rPr>
          <w:bCs/>
          <w:sz w:val="24"/>
          <w:szCs w:val="24"/>
        </w:rPr>
      </w:pPr>
      <w:r w:rsidRPr="00AF740D">
        <w:rPr>
          <w:bCs/>
          <w:sz w:val="24"/>
          <w:szCs w:val="24"/>
        </w:rPr>
        <w:t>Please update the relevant evidence to resolve this difference.</w:t>
      </w:r>
    </w:p>
    <w:p w14:paraId="19E7EB58" w14:textId="77777777" w:rsidR="00730B0F" w:rsidRPr="00AF740D" w:rsidRDefault="00730B0F" w:rsidP="00730B0F">
      <w:pPr>
        <w:pStyle w:val="ListParagraph"/>
        <w:numPr>
          <w:ilvl w:val="0"/>
          <w:numId w:val="19"/>
        </w:numPr>
        <w:spacing w:after="0" w:line="276" w:lineRule="auto"/>
        <w:rPr>
          <w:bCs/>
          <w:sz w:val="24"/>
          <w:szCs w:val="24"/>
        </w:rPr>
      </w:pPr>
      <w:r w:rsidRPr="00AF740D">
        <w:rPr>
          <w:bCs/>
          <w:sz w:val="24"/>
          <w:szCs w:val="24"/>
        </w:rPr>
        <w:t>In the alternative, please explain why Halton Hills Hydro is of the view that no changes are required.</w:t>
      </w:r>
    </w:p>
    <w:p w14:paraId="713C5DDE" w14:textId="77777777" w:rsidR="00730B0F" w:rsidRPr="00AF740D" w:rsidRDefault="00730B0F" w:rsidP="00730B0F">
      <w:pPr>
        <w:spacing w:after="0"/>
        <w:rPr>
          <w:rFonts w:ascii="Arial" w:hAnsi="Arial" w:cs="Arial"/>
          <w:bCs/>
          <w:sz w:val="24"/>
          <w:szCs w:val="24"/>
        </w:rPr>
      </w:pPr>
    </w:p>
    <w:p w14:paraId="33E9F1C1" w14:textId="34C6C83F"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7</w:t>
      </w:r>
    </w:p>
    <w:p w14:paraId="30EC465E" w14:textId="77777777" w:rsidR="00730B0F" w:rsidRPr="00AF740D" w:rsidRDefault="00730B0F" w:rsidP="00730B0F">
      <w:pPr>
        <w:spacing w:after="0"/>
        <w:rPr>
          <w:rFonts w:ascii="Arial" w:hAnsi="Arial" w:cs="Arial"/>
          <w:b/>
          <w:bCs/>
          <w:sz w:val="24"/>
          <w:szCs w:val="24"/>
        </w:rPr>
      </w:pPr>
    </w:p>
    <w:p w14:paraId="73544209"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027654D3"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10A0D861" w14:textId="77777777" w:rsidR="00730B0F" w:rsidRPr="00AF740D" w:rsidRDefault="00730B0F" w:rsidP="00730B0F">
      <w:pPr>
        <w:spacing w:after="0"/>
        <w:rPr>
          <w:rFonts w:ascii="Arial" w:hAnsi="Arial" w:cs="Arial"/>
          <w:b/>
          <w:bCs/>
          <w:sz w:val="24"/>
          <w:szCs w:val="24"/>
        </w:rPr>
      </w:pPr>
    </w:p>
    <w:p w14:paraId="0599BDC9"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differences in Account 1588 2021 principal amounts</w:t>
      </w:r>
      <w:r>
        <w:rPr>
          <w:rFonts w:ascii="Arial" w:hAnsi="Arial" w:cs="Arial"/>
          <w:sz w:val="24"/>
          <w:szCs w:val="24"/>
        </w:rPr>
        <w:t xml:space="preserve"> between the 2023 IRM Rate Generator Model and the 2023 IRM GA Analysis Workform</w:t>
      </w:r>
      <w:r w:rsidRPr="00AF740D">
        <w:rPr>
          <w:rFonts w:ascii="Arial" w:hAnsi="Arial" w:cs="Arial"/>
          <w:sz w:val="24"/>
          <w:szCs w:val="24"/>
        </w:rPr>
        <w:t>.</w:t>
      </w:r>
    </w:p>
    <w:p w14:paraId="76128981" w14:textId="77777777" w:rsidR="00730B0F" w:rsidRPr="00AF740D" w:rsidRDefault="00730B0F" w:rsidP="00730B0F">
      <w:pPr>
        <w:spacing w:after="0"/>
        <w:rPr>
          <w:rFonts w:ascii="Arial" w:hAnsi="Arial" w:cs="Arial"/>
          <w:b/>
          <w:bCs/>
          <w:sz w:val="24"/>
          <w:szCs w:val="24"/>
        </w:rPr>
      </w:pPr>
    </w:p>
    <w:p w14:paraId="5BB4A037" w14:textId="56E4CD03"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2 </w:t>
      </w:r>
      <w:r w:rsidR="00251A9D">
        <w:rPr>
          <w:rFonts w:ascii="Arial" w:hAnsi="Arial" w:cs="Arial"/>
          <w:b/>
          <w:sz w:val="24"/>
          <w:szCs w:val="24"/>
        </w:rPr>
        <w:t xml:space="preserve">– </w:t>
      </w:r>
      <w:r w:rsidRPr="00AF740D">
        <w:rPr>
          <w:rFonts w:ascii="Arial" w:hAnsi="Arial" w:cs="Arial"/>
          <w:b/>
          <w:sz w:val="24"/>
          <w:szCs w:val="24"/>
        </w:rPr>
        <w:t>Differences in Account 1588 2021 Principal Amounts</w:t>
      </w:r>
    </w:p>
    <w:p w14:paraId="3B7352DF" w14:textId="77777777" w:rsidR="00730B0F" w:rsidRPr="00AF740D" w:rsidRDefault="00730B0F" w:rsidP="00730B0F">
      <w:pPr>
        <w:spacing w:after="0"/>
        <w:jc w:val="center"/>
        <w:rPr>
          <w:rFonts w:ascii="Arial" w:hAnsi="Arial" w:cs="Arial"/>
          <w:b/>
          <w:sz w:val="24"/>
          <w:szCs w:val="24"/>
        </w:rPr>
      </w:pPr>
    </w:p>
    <w:tbl>
      <w:tblPr>
        <w:tblStyle w:val="TableGrid"/>
        <w:tblW w:w="0" w:type="auto"/>
        <w:tblLayout w:type="fixed"/>
        <w:tblLook w:val="04A0" w:firstRow="1" w:lastRow="0" w:firstColumn="1" w:lastColumn="0" w:noHBand="0" w:noVBand="1"/>
      </w:tblPr>
      <w:tblGrid>
        <w:gridCol w:w="1176"/>
        <w:gridCol w:w="2636"/>
        <w:gridCol w:w="2636"/>
        <w:gridCol w:w="2637"/>
      </w:tblGrid>
      <w:tr w:rsidR="00730B0F" w:rsidRPr="00AF740D" w14:paraId="5EF533A4" w14:textId="77777777" w:rsidTr="003B0A59">
        <w:trPr>
          <w:trHeight w:val="600"/>
        </w:trPr>
        <w:tc>
          <w:tcPr>
            <w:tcW w:w="1176" w:type="dxa"/>
            <w:vMerge w:val="restart"/>
            <w:noWrap/>
            <w:hideMark/>
          </w:tcPr>
          <w:p w14:paraId="523EF646"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Account</w:t>
            </w:r>
          </w:p>
        </w:tc>
        <w:tc>
          <w:tcPr>
            <w:tcW w:w="2636" w:type="dxa"/>
            <w:hideMark/>
          </w:tcPr>
          <w:p w14:paraId="547ABD49"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2023 IRM Rate Generator Model</w:t>
            </w:r>
          </w:p>
        </w:tc>
        <w:tc>
          <w:tcPr>
            <w:tcW w:w="2636" w:type="dxa"/>
            <w:hideMark/>
          </w:tcPr>
          <w:p w14:paraId="03BC7BE8"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2023 GA Analysis Workform – Tab Account 1588 Reasonability and Tab Principal Adjustments</w:t>
            </w:r>
          </w:p>
        </w:tc>
        <w:tc>
          <w:tcPr>
            <w:tcW w:w="2637" w:type="dxa"/>
            <w:vMerge w:val="restart"/>
            <w:noWrap/>
            <w:hideMark/>
          </w:tcPr>
          <w:p w14:paraId="70EA1359"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Difference</w:t>
            </w:r>
          </w:p>
        </w:tc>
      </w:tr>
      <w:tr w:rsidR="00730B0F" w:rsidRPr="00AF740D" w14:paraId="0A27B457" w14:textId="77777777" w:rsidTr="003B0A59">
        <w:trPr>
          <w:trHeight w:val="600"/>
        </w:trPr>
        <w:tc>
          <w:tcPr>
            <w:tcW w:w="1176" w:type="dxa"/>
            <w:vMerge/>
            <w:noWrap/>
            <w:hideMark/>
          </w:tcPr>
          <w:p w14:paraId="7FCB1395" w14:textId="77777777" w:rsidR="00730B0F" w:rsidRPr="00AF740D" w:rsidRDefault="00730B0F" w:rsidP="003B0A59">
            <w:pPr>
              <w:spacing w:line="276" w:lineRule="auto"/>
              <w:jc w:val="right"/>
              <w:rPr>
                <w:rFonts w:ascii="Arial" w:hAnsi="Arial" w:cs="Arial"/>
                <w:b/>
                <w:sz w:val="24"/>
                <w:szCs w:val="24"/>
              </w:rPr>
            </w:pPr>
          </w:p>
        </w:tc>
        <w:tc>
          <w:tcPr>
            <w:tcW w:w="2636" w:type="dxa"/>
            <w:hideMark/>
          </w:tcPr>
          <w:p w14:paraId="2CBB48BF"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Principal Adjustments during  2021</w:t>
            </w:r>
          </w:p>
        </w:tc>
        <w:tc>
          <w:tcPr>
            <w:tcW w:w="2636" w:type="dxa"/>
            <w:hideMark/>
          </w:tcPr>
          <w:p w14:paraId="27E2868E"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Principal Adjustments - 2021</w:t>
            </w:r>
          </w:p>
        </w:tc>
        <w:tc>
          <w:tcPr>
            <w:tcW w:w="2637" w:type="dxa"/>
            <w:vMerge/>
            <w:noWrap/>
            <w:hideMark/>
          </w:tcPr>
          <w:p w14:paraId="3850ADC8" w14:textId="77777777" w:rsidR="00730B0F" w:rsidRPr="00AF740D" w:rsidRDefault="00730B0F" w:rsidP="003B0A59">
            <w:pPr>
              <w:spacing w:line="276" w:lineRule="auto"/>
              <w:jc w:val="right"/>
              <w:rPr>
                <w:rFonts w:ascii="Arial" w:hAnsi="Arial" w:cs="Arial"/>
                <w:b/>
                <w:sz w:val="24"/>
                <w:szCs w:val="24"/>
              </w:rPr>
            </w:pPr>
          </w:p>
        </w:tc>
      </w:tr>
      <w:tr w:rsidR="00730B0F" w:rsidRPr="00AF740D" w14:paraId="147BD48B" w14:textId="77777777" w:rsidTr="003B0A59">
        <w:trPr>
          <w:trHeight w:val="300"/>
        </w:trPr>
        <w:tc>
          <w:tcPr>
            <w:tcW w:w="1176" w:type="dxa"/>
            <w:noWrap/>
            <w:hideMark/>
          </w:tcPr>
          <w:p w14:paraId="303E298D"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1588</w:t>
            </w:r>
          </w:p>
        </w:tc>
        <w:tc>
          <w:tcPr>
            <w:tcW w:w="2636" w:type="dxa"/>
            <w:noWrap/>
            <w:hideMark/>
          </w:tcPr>
          <w:p w14:paraId="5BCCC5B0"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193,128 </w:t>
            </w:r>
          </w:p>
        </w:tc>
        <w:tc>
          <w:tcPr>
            <w:tcW w:w="2636" w:type="dxa"/>
            <w:noWrap/>
            <w:hideMark/>
          </w:tcPr>
          <w:p w14:paraId="59C8C501"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(153,466)</w:t>
            </w:r>
          </w:p>
        </w:tc>
        <w:tc>
          <w:tcPr>
            <w:tcW w:w="2637" w:type="dxa"/>
            <w:noWrap/>
            <w:hideMark/>
          </w:tcPr>
          <w:p w14:paraId="063AAFED"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346,594 </w:t>
            </w:r>
          </w:p>
        </w:tc>
      </w:tr>
    </w:tbl>
    <w:p w14:paraId="6D9589DF" w14:textId="77777777" w:rsidR="00730B0F" w:rsidRPr="00AF740D" w:rsidRDefault="00730B0F" w:rsidP="00730B0F">
      <w:pPr>
        <w:spacing w:after="0"/>
        <w:jc w:val="center"/>
        <w:rPr>
          <w:rFonts w:ascii="Arial" w:hAnsi="Arial" w:cs="Arial"/>
          <w:b/>
          <w:sz w:val="24"/>
          <w:szCs w:val="24"/>
        </w:rPr>
      </w:pPr>
    </w:p>
    <w:p w14:paraId="1CD724C1" w14:textId="77777777" w:rsidR="00730B0F" w:rsidRPr="00AF740D" w:rsidRDefault="00730B0F" w:rsidP="00730B0F">
      <w:pPr>
        <w:spacing w:after="0"/>
        <w:rPr>
          <w:rFonts w:ascii="Arial" w:hAnsi="Arial" w:cs="Arial"/>
          <w:b/>
          <w:sz w:val="24"/>
          <w:szCs w:val="24"/>
        </w:rPr>
      </w:pPr>
      <w:r w:rsidRPr="00AF740D">
        <w:rPr>
          <w:rFonts w:ascii="Arial" w:hAnsi="Arial" w:cs="Arial"/>
          <w:b/>
          <w:sz w:val="24"/>
          <w:szCs w:val="24"/>
        </w:rPr>
        <w:t>Questions:</w:t>
      </w:r>
    </w:p>
    <w:p w14:paraId="04A9B398" w14:textId="77777777" w:rsidR="00730B0F" w:rsidRPr="00AF740D" w:rsidRDefault="00730B0F" w:rsidP="00730B0F">
      <w:pPr>
        <w:spacing w:after="0"/>
        <w:rPr>
          <w:rFonts w:ascii="Arial" w:hAnsi="Arial" w:cs="Arial"/>
          <w:b/>
          <w:sz w:val="24"/>
          <w:szCs w:val="24"/>
        </w:rPr>
      </w:pPr>
    </w:p>
    <w:p w14:paraId="7D5B7986" w14:textId="329A8D65" w:rsidR="00730B0F" w:rsidRPr="00AF740D" w:rsidRDefault="00730B0F" w:rsidP="00730B0F">
      <w:pPr>
        <w:pStyle w:val="ListParagraph"/>
        <w:numPr>
          <w:ilvl w:val="0"/>
          <w:numId w:val="20"/>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D14C9D">
        <w:rPr>
          <w:bCs/>
          <w:sz w:val="24"/>
          <w:szCs w:val="24"/>
        </w:rPr>
        <w:t>-</w:t>
      </w:r>
      <w:r w:rsidRPr="00AF740D">
        <w:rPr>
          <w:bCs/>
          <w:sz w:val="24"/>
          <w:szCs w:val="24"/>
        </w:rPr>
        <w:t>noted Table 2</w:t>
      </w:r>
      <w:r w:rsidR="00D14C9D">
        <w:rPr>
          <w:bCs/>
          <w:sz w:val="24"/>
          <w:szCs w:val="24"/>
        </w:rPr>
        <w:t>.</w:t>
      </w:r>
    </w:p>
    <w:p w14:paraId="3952096F" w14:textId="6E2F1BD4" w:rsidR="00730B0F" w:rsidRPr="00AF740D" w:rsidRDefault="00730B0F" w:rsidP="00730B0F">
      <w:pPr>
        <w:pStyle w:val="ListParagraph"/>
        <w:numPr>
          <w:ilvl w:val="0"/>
          <w:numId w:val="20"/>
        </w:numPr>
        <w:spacing w:after="0" w:line="276" w:lineRule="auto"/>
        <w:rPr>
          <w:bCs/>
          <w:sz w:val="24"/>
          <w:szCs w:val="24"/>
        </w:rPr>
      </w:pPr>
      <w:r w:rsidRPr="00AF740D">
        <w:rPr>
          <w:bCs/>
          <w:sz w:val="24"/>
          <w:szCs w:val="24"/>
        </w:rPr>
        <w:lastRenderedPageBreak/>
        <w:t xml:space="preserve">If this is not the case, please explain, and update </w:t>
      </w:r>
      <w:r w:rsidR="00D14C9D">
        <w:rPr>
          <w:bCs/>
          <w:sz w:val="24"/>
          <w:szCs w:val="24"/>
        </w:rPr>
        <w:t xml:space="preserve">the </w:t>
      </w:r>
      <w:r w:rsidRPr="00AF740D">
        <w:rPr>
          <w:bCs/>
          <w:sz w:val="24"/>
          <w:szCs w:val="24"/>
        </w:rPr>
        <w:t>Table 2.</w:t>
      </w:r>
    </w:p>
    <w:p w14:paraId="1B40B5A0" w14:textId="77777777" w:rsidR="00730B0F" w:rsidRPr="00AF740D" w:rsidRDefault="00730B0F" w:rsidP="00730B0F">
      <w:pPr>
        <w:pStyle w:val="ListParagraph"/>
        <w:numPr>
          <w:ilvl w:val="0"/>
          <w:numId w:val="20"/>
        </w:numPr>
        <w:spacing w:after="0" w:line="276" w:lineRule="auto"/>
        <w:rPr>
          <w:bCs/>
          <w:sz w:val="24"/>
          <w:szCs w:val="24"/>
        </w:rPr>
      </w:pPr>
      <w:r w:rsidRPr="00AF740D">
        <w:rPr>
          <w:bCs/>
          <w:sz w:val="24"/>
          <w:szCs w:val="24"/>
        </w:rPr>
        <w:t>Please update the relevant evidence to resolve this difference.</w:t>
      </w:r>
    </w:p>
    <w:p w14:paraId="1C848DD9" w14:textId="77777777" w:rsidR="00730B0F" w:rsidRPr="00AF740D" w:rsidRDefault="00730B0F" w:rsidP="00730B0F">
      <w:pPr>
        <w:pStyle w:val="ListParagraph"/>
        <w:numPr>
          <w:ilvl w:val="0"/>
          <w:numId w:val="20"/>
        </w:numPr>
        <w:spacing w:after="0" w:line="276" w:lineRule="auto"/>
        <w:rPr>
          <w:bCs/>
          <w:sz w:val="24"/>
          <w:szCs w:val="24"/>
        </w:rPr>
      </w:pPr>
      <w:r w:rsidRPr="00AF740D">
        <w:rPr>
          <w:bCs/>
          <w:sz w:val="24"/>
          <w:szCs w:val="24"/>
        </w:rPr>
        <w:t>In the alternative, please explain why Halton Hills Hydro is of the view that no changes are required.</w:t>
      </w:r>
    </w:p>
    <w:p w14:paraId="244285B1" w14:textId="77777777" w:rsidR="00730B0F" w:rsidRPr="00AF740D" w:rsidRDefault="00730B0F" w:rsidP="00730B0F">
      <w:pPr>
        <w:spacing w:after="0"/>
        <w:rPr>
          <w:rFonts w:ascii="Arial" w:hAnsi="Arial" w:cs="Arial"/>
          <w:bCs/>
          <w:sz w:val="24"/>
          <w:szCs w:val="24"/>
        </w:rPr>
      </w:pPr>
    </w:p>
    <w:p w14:paraId="270F9232" w14:textId="5C29AE5A"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8</w:t>
      </w:r>
    </w:p>
    <w:p w14:paraId="1B68592A" w14:textId="77777777" w:rsidR="00730B0F" w:rsidRPr="00AF740D" w:rsidRDefault="00730B0F" w:rsidP="00730B0F">
      <w:pPr>
        <w:spacing w:after="0"/>
        <w:rPr>
          <w:rFonts w:ascii="Arial" w:hAnsi="Arial" w:cs="Arial"/>
          <w:b/>
          <w:bCs/>
          <w:sz w:val="24"/>
          <w:szCs w:val="24"/>
        </w:rPr>
      </w:pPr>
    </w:p>
    <w:p w14:paraId="0D31614D"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3A6E6D90"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396DF5B2" w14:textId="77777777" w:rsidR="00730B0F" w:rsidRPr="00AF740D" w:rsidRDefault="00730B0F" w:rsidP="00730B0F">
      <w:pPr>
        <w:spacing w:after="0"/>
        <w:rPr>
          <w:rFonts w:ascii="Arial" w:hAnsi="Arial" w:cs="Arial"/>
          <w:b/>
          <w:bCs/>
          <w:sz w:val="24"/>
          <w:szCs w:val="24"/>
        </w:rPr>
      </w:pPr>
    </w:p>
    <w:p w14:paraId="4A7772F9"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differences in Account 1589 2021 transactions</w:t>
      </w:r>
      <w:r w:rsidRPr="00BD28A6">
        <w:t xml:space="preserve"> </w:t>
      </w:r>
      <w:r w:rsidRPr="00BD28A6">
        <w:rPr>
          <w:rFonts w:ascii="Arial" w:hAnsi="Arial" w:cs="Arial"/>
          <w:sz w:val="24"/>
          <w:szCs w:val="24"/>
        </w:rPr>
        <w:t>between the 2023 IRM Rate Generator Model and the 2023 IRM GA Analysis Workform</w:t>
      </w:r>
      <w:r w:rsidRPr="00AF740D">
        <w:rPr>
          <w:rFonts w:ascii="Arial" w:hAnsi="Arial" w:cs="Arial"/>
          <w:sz w:val="24"/>
          <w:szCs w:val="24"/>
        </w:rPr>
        <w:t>.</w:t>
      </w:r>
    </w:p>
    <w:p w14:paraId="638294F8" w14:textId="77777777" w:rsidR="00730B0F" w:rsidRPr="00AF740D" w:rsidRDefault="00730B0F" w:rsidP="00730B0F">
      <w:pPr>
        <w:spacing w:after="0"/>
        <w:rPr>
          <w:rFonts w:ascii="Arial" w:hAnsi="Arial" w:cs="Arial"/>
          <w:b/>
          <w:bCs/>
          <w:sz w:val="24"/>
          <w:szCs w:val="24"/>
        </w:rPr>
      </w:pPr>
    </w:p>
    <w:p w14:paraId="6004D18F" w14:textId="01AF3974"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3 </w:t>
      </w:r>
      <w:r w:rsidR="00202697">
        <w:rPr>
          <w:rFonts w:ascii="Arial" w:hAnsi="Arial" w:cs="Arial"/>
          <w:b/>
          <w:sz w:val="24"/>
          <w:szCs w:val="24"/>
        </w:rPr>
        <w:t xml:space="preserve">– </w:t>
      </w:r>
      <w:r w:rsidRPr="00AF740D">
        <w:rPr>
          <w:rFonts w:ascii="Arial" w:hAnsi="Arial" w:cs="Arial"/>
          <w:b/>
          <w:sz w:val="24"/>
          <w:szCs w:val="24"/>
        </w:rPr>
        <w:t>Differences in Account 1589 2021 Transactions</w:t>
      </w:r>
    </w:p>
    <w:p w14:paraId="33E852E9" w14:textId="77777777" w:rsidR="00730B0F" w:rsidRPr="00AF740D" w:rsidRDefault="00730B0F" w:rsidP="00730B0F">
      <w:pPr>
        <w:spacing w:after="0"/>
        <w:jc w:val="center"/>
        <w:rPr>
          <w:rFonts w:ascii="Arial" w:hAnsi="Arial" w:cs="Arial"/>
          <w:b/>
          <w:sz w:val="24"/>
          <w:szCs w:val="24"/>
        </w:rPr>
      </w:pPr>
    </w:p>
    <w:tbl>
      <w:tblPr>
        <w:tblStyle w:val="TableGrid"/>
        <w:tblW w:w="0" w:type="auto"/>
        <w:tblLayout w:type="fixed"/>
        <w:tblLook w:val="04A0" w:firstRow="1" w:lastRow="0" w:firstColumn="1" w:lastColumn="0" w:noHBand="0" w:noVBand="1"/>
      </w:tblPr>
      <w:tblGrid>
        <w:gridCol w:w="1176"/>
        <w:gridCol w:w="2637"/>
        <w:gridCol w:w="2637"/>
        <w:gridCol w:w="2637"/>
      </w:tblGrid>
      <w:tr w:rsidR="00730B0F" w:rsidRPr="00AF740D" w14:paraId="3C40A671" w14:textId="77777777" w:rsidTr="003B0A59">
        <w:trPr>
          <w:trHeight w:val="600"/>
        </w:trPr>
        <w:tc>
          <w:tcPr>
            <w:tcW w:w="1176" w:type="dxa"/>
            <w:vMerge w:val="restart"/>
            <w:noWrap/>
            <w:hideMark/>
          </w:tcPr>
          <w:p w14:paraId="72C18710"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Account</w:t>
            </w:r>
          </w:p>
        </w:tc>
        <w:tc>
          <w:tcPr>
            <w:tcW w:w="2637" w:type="dxa"/>
            <w:hideMark/>
          </w:tcPr>
          <w:p w14:paraId="05676987"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2023 IRM Rate Generator Model</w:t>
            </w:r>
          </w:p>
        </w:tc>
        <w:tc>
          <w:tcPr>
            <w:tcW w:w="2637" w:type="dxa"/>
            <w:hideMark/>
          </w:tcPr>
          <w:p w14:paraId="6B480521"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 xml:space="preserve">2023 GA Analysis Workform – Tab GA 2021 </w:t>
            </w:r>
          </w:p>
        </w:tc>
        <w:tc>
          <w:tcPr>
            <w:tcW w:w="2637" w:type="dxa"/>
            <w:vMerge w:val="restart"/>
            <w:noWrap/>
            <w:hideMark/>
          </w:tcPr>
          <w:p w14:paraId="44F9BFD2"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Difference</w:t>
            </w:r>
          </w:p>
        </w:tc>
      </w:tr>
      <w:tr w:rsidR="00730B0F" w:rsidRPr="00AF740D" w14:paraId="396AA6E5" w14:textId="77777777" w:rsidTr="003B0A59">
        <w:trPr>
          <w:trHeight w:val="1200"/>
        </w:trPr>
        <w:tc>
          <w:tcPr>
            <w:tcW w:w="1176" w:type="dxa"/>
            <w:vMerge/>
            <w:noWrap/>
            <w:hideMark/>
          </w:tcPr>
          <w:p w14:paraId="173E1E03" w14:textId="77777777" w:rsidR="00730B0F" w:rsidRPr="00AF740D" w:rsidRDefault="00730B0F" w:rsidP="003B0A59">
            <w:pPr>
              <w:spacing w:line="276" w:lineRule="auto"/>
              <w:jc w:val="right"/>
              <w:rPr>
                <w:rFonts w:ascii="Arial" w:hAnsi="Arial" w:cs="Arial"/>
                <w:b/>
                <w:sz w:val="24"/>
                <w:szCs w:val="24"/>
              </w:rPr>
            </w:pPr>
          </w:p>
        </w:tc>
        <w:tc>
          <w:tcPr>
            <w:tcW w:w="2637" w:type="dxa"/>
            <w:hideMark/>
          </w:tcPr>
          <w:p w14:paraId="45120E37"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Transactions Debit / (Credit) during 2021</w:t>
            </w:r>
          </w:p>
        </w:tc>
        <w:tc>
          <w:tcPr>
            <w:tcW w:w="2637" w:type="dxa"/>
            <w:hideMark/>
          </w:tcPr>
          <w:p w14:paraId="60B82580"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 xml:space="preserve"> Net Change in Principal Balance in the GL (i.e. Transactions in the Year) - 2021</w:t>
            </w:r>
          </w:p>
        </w:tc>
        <w:tc>
          <w:tcPr>
            <w:tcW w:w="2637" w:type="dxa"/>
            <w:vMerge/>
            <w:noWrap/>
            <w:hideMark/>
          </w:tcPr>
          <w:p w14:paraId="13839152" w14:textId="77777777" w:rsidR="00730B0F" w:rsidRPr="00AF740D" w:rsidRDefault="00730B0F" w:rsidP="003B0A59">
            <w:pPr>
              <w:spacing w:line="276" w:lineRule="auto"/>
              <w:jc w:val="right"/>
              <w:rPr>
                <w:rFonts w:ascii="Arial" w:hAnsi="Arial" w:cs="Arial"/>
                <w:b/>
                <w:sz w:val="24"/>
                <w:szCs w:val="24"/>
              </w:rPr>
            </w:pPr>
          </w:p>
        </w:tc>
      </w:tr>
      <w:tr w:rsidR="00730B0F" w:rsidRPr="00AF740D" w14:paraId="1E63C32C" w14:textId="77777777" w:rsidTr="003B0A59">
        <w:trPr>
          <w:trHeight w:val="300"/>
        </w:trPr>
        <w:tc>
          <w:tcPr>
            <w:tcW w:w="1176" w:type="dxa"/>
            <w:noWrap/>
            <w:hideMark/>
          </w:tcPr>
          <w:p w14:paraId="4B916A32"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1589</w:t>
            </w:r>
          </w:p>
        </w:tc>
        <w:tc>
          <w:tcPr>
            <w:tcW w:w="2637" w:type="dxa"/>
            <w:noWrap/>
            <w:hideMark/>
          </w:tcPr>
          <w:p w14:paraId="24A3D330"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(9,254)</w:t>
            </w:r>
          </w:p>
        </w:tc>
        <w:tc>
          <w:tcPr>
            <w:tcW w:w="2637" w:type="dxa"/>
            <w:noWrap/>
            <w:hideMark/>
          </w:tcPr>
          <w:p w14:paraId="3BE995CE"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(29,085)</w:t>
            </w:r>
          </w:p>
        </w:tc>
        <w:tc>
          <w:tcPr>
            <w:tcW w:w="2637" w:type="dxa"/>
            <w:noWrap/>
            <w:hideMark/>
          </w:tcPr>
          <w:p w14:paraId="0B24D09D"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19,831 </w:t>
            </w:r>
          </w:p>
        </w:tc>
      </w:tr>
    </w:tbl>
    <w:p w14:paraId="744321EF" w14:textId="77777777" w:rsidR="00730B0F" w:rsidRPr="00AF740D" w:rsidRDefault="00730B0F" w:rsidP="00730B0F">
      <w:pPr>
        <w:spacing w:after="0"/>
        <w:jc w:val="center"/>
        <w:rPr>
          <w:rFonts w:ascii="Arial" w:hAnsi="Arial" w:cs="Arial"/>
          <w:b/>
          <w:sz w:val="24"/>
          <w:szCs w:val="24"/>
        </w:rPr>
      </w:pPr>
    </w:p>
    <w:p w14:paraId="4E79BB72" w14:textId="77777777" w:rsidR="00730B0F" w:rsidRPr="00AF740D" w:rsidRDefault="00730B0F" w:rsidP="00730B0F">
      <w:pPr>
        <w:spacing w:after="0"/>
        <w:rPr>
          <w:rFonts w:ascii="Arial" w:hAnsi="Arial" w:cs="Arial"/>
          <w:b/>
          <w:sz w:val="24"/>
          <w:szCs w:val="24"/>
        </w:rPr>
      </w:pPr>
      <w:r w:rsidRPr="00AF740D">
        <w:rPr>
          <w:rFonts w:ascii="Arial" w:hAnsi="Arial" w:cs="Arial"/>
          <w:b/>
          <w:sz w:val="24"/>
          <w:szCs w:val="24"/>
        </w:rPr>
        <w:t>Questions:</w:t>
      </w:r>
    </w:p>
    <w:p w14:paraId="2F18D45D" w14:textId="77777777" w:rsidR="00730B0F" w:rsidRPr="00AF740D" w:rsidRDefault="00730B0F" w:rsidP="00730B0F">
      <w:pPr>
        <w:spacing w:after="0"/>
        <w:rPr>
          <w:rFonts w:ascii="Arial" w:hAnsi="Arial" w:cs="Arial"/>
          <w:b/>
          <w:sz w:val="24"/>
          <w:szCs w:val="24"/>
        </w:rPr>
      </w:pPr>
    </w:p>
    <w:p w14:paraId="6697C65B" w14:textId="384FCC0C" w:rsidR="00730B0F" w:rsidRPr="00AF740D" w:rsidRDefault="00730B0F" w:rsidP="00730B0F">
      <w:pPr>
        <w:pStyle w:val="ListParagraph"/>
        <w:numPr>
          <w:ilvl w:val="0"/>
          <w:numId w:val="21"/>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D14C9D">
        <w:rPr>
          <w:bCs/>
          <w:sz w:val="24"/>
          <w:szCs w:val="24"/>
        </w:rPr>
        <w:t>-</w:t>
      </w:r>
      <w:r w:rsidRPr="00AF740D">
        <w:rPr>
          <w:bCs/>
          <w:sz w:val="24"/>
          <w:szCs w:val="24"/>
        </w:rPr>
        <w:t>noted Table 3</w:t>
      </w:r>
      <w:r w:rsidR="00D14C9D">
        <w:rPr>
          <w:bCs/>
          <w:sz w:val="24"/>
          <w:szCs w:val="24"/>
        </w:rPr>
        <w:t>.</w:t>
      </w:r>
    </w:p>
    <w:p w14:paraId="67A17157" w14:textId="65803B60" w:rsidR="00730B0F" w:rsidRPr="00AF740D" w:rsidRDefault="00730B0F" w:rsidP="00730B0F">
      <w:pPr>
        <w:pStyle w:val="ListParagraph"/>
        <w:numPr>
          <w:ilvl w:val="0"/>
          <w:numId w:val="21"/>
        </w:numPr>
        <w:spacing w:after="0" w:line="276" w:lineRule="auto"/>
        <w:rPr>
          <w:bCs/>
          <w:sz w:val="24"/>
          <w:szCs w:val="24"/>
        </w:rPr>
      </w:pPr>
      <w:r w:rsidRPr="00AF740D">
        <w:rPr>
          <w:bCs/>
          <w:sz w:val="24"/>
          <w:szCs w:val="24"/>
        </w:rPr>
        <w:t>If this is not the case, please explain, and update Table 3.</w:t>
      </w:r>
    </w:p>
    <w:p w14:paraId="3786001B" w14:textId="77777777" w:rsidR="00730B0F" w:rsidRPr="00AF740D" w:rsidRDefault="00730B0F" w:rsidP="00730B0F">
      <w:pPr>
        <w:pStyle w:val="ListParagraph"/>
        <w:numPr>
          <w:ilvl w:val="0"/>
          <w:numId w:val="21"/>
        </w:numPr>
        <w:spacing w:after="0" w:line="276" w:lineRule="auto"/>
        <w:rPr>
          <w:bCs/>
          <w:sz w:val="24"/>
          <w:szCs w:val="24"/>
        </w:rPr>
      </w:pPr>
      <w:r w:rsidRPr="00AF740D">
        <w:rPr>
          <w:bCs/>
          <w:sz w:val="24"/>
          <w:szCs w:val="24"/>
        </w:rPr>
        <w:t>Please update the relevant evidence to resolve this difference.</w:t>
      </w:r>
    </w:p>
    <w:p w14:paraId="2ABEDC0F" w14:textId="77777777" w:rsidR="00730B0F" w:rsidRPr="00AF740D" w:rsidRDefault="00730B0F" w:rsidP="00730B0F">
      <w:pPr>
        <w:pStyle w:val="ListParagraph"/>
        <w:numPr>
          <w:ilvl w:val="0"/>
          <w:numId w:val="21"/>
        </w:numPr>
        <w:spacing w:after="0" w:line="276" w:lineRule="auto"/>
        <w:rPr>
          <w:bCs/>
          <w:sz w:val="24"/>
          <w:szCs w:val="24"/>
        </w:rPr>
      </w:pPr>
      <w:r w:rsidRPr="00AF740D">
        <w:rPr>
          <w:bCs/>
          <w:sz w:val="24"/>
          <w:szCs w:val="24"/>
        </w:rPr>
        <w:t>In the alternative, please explain why Halton Hills Hydro is of the view that no changes are required.</w:t>
      </w:r>
    </w:p>
    <w:p w14:paraId="770CF387" w14:textId="77777777" w:rsidR="00730B0F" w:rsidRPr="00AF740D" w:rsidRDefault="00730B0F" w:rsidP="00730B0F">
      <w:pPr>
        <w:spacing w:after="0"/>
        <w:rPr>
          <w:rFonts w:ascii="Arial" w:hAnsi="Arial" w:cs="Arial"/>
          <w:bCs/>
          <w:sz w:val="24"/>
          <w:szCs w:val="24"/>
        </w:rPr>
      </w:pPr>
    </w:p>
    <w:p w14:paraId="46E77834" w14:textId="36D035A9"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9</w:t>
      </w:r>
    </w:p>
    <w:p w14:paraId="38FB4DF7" w14:textId="77777777" w:rsidR="00730B0F" w:rsidRPr="00AF740D" w:rsidRDefault="00730B0F" w:rsidP="00730B0F">
      <w:pPr>
        <w:spacing w:after="0"/>
        <w:rPr>
          <w:rFonts w:ascii="Arial" w:hAnsi="Arial" w:cs="Arial"/>
          <w:b/>
          <w:bCs/>
          <w:sz w:val="24"/>
          <w:szCs w:val="24"/>
        </w:rPr>
      </w:pPr>
    </w:p>
    <w:p w14:paraId="1BEAC5DD"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DVA Continuity Schedule, 2021 Cost of Service, March 25, 2021</w:t>
      </w:r>
    </w:p>
    <w:p w14:paraId="18B56D8E"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lastRenderedPageBreak/>
        <w:t>Ref: Global Adjustment Analysis Workform, 2021 Cost of Service, August 27, 2020</w:t>
      </w:r>
    </w:p>
    <w:p w14:paraId="033891E5"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2C419F3C"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Manager’s Summary, November 11, 2022, p. 6</w:t>
      </w:r>
    </w:p>
    <w:p w14:paraId="6C869E9B" w14:textId="77777777" w:rsidR="00730B0F" w:rsidRPr="00AF740D" w:rsidRDefault="00730B0F" w:rsidP="00730B0F">
      <w:pPr>
        <w:spacing w:after="0"/>
        <w:rPr>
          <w:rFonts w:ascii="Arial" w:hAnsi="Arial" w:cs="Arial"/>
          <w:b/>
          <w:bCs/>
          <w:sz w:val="24"/>
          <w:szCs w:val="24"/>
        </w:rPr>
      </w:pPr>
    </w:p>
    <w:p w14:paraId="037FA10A"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Halton Hills Hydro had 2019 principal adjustments of a credit of $1,210,325 in Account 1588 and a debit of $1,777,993 in Account 1589 that were approved by the OEB in its 2021 cost of service proceeding, as per the associated 2021 cost of service DVA continuity schedule and 2021 cost of service GA Analysis Workform.</w:t>
      </w:r>
    </w:p>
    <w:p w14:paraId="5251B281" w14:textId="77777777" w:rsidR="00730B0F" w:rsidRPr="00AF740D" w:rsidRDefault="00730B0F" w:rsidP="00730B0F">
      <w:pPr>
        <w:spacing w:after="0"/>
        <w:rPr>
          <w:rFonts w:ascii="Arial" w:hAnsi="Arial" w:cs="Arial"/>
          <w:sz w:val="24"/>
          <w:szCs w:val="24"/>
        </w:rPr>
      </w:pPr>
    </w:p>
    <w:p w14:paraId="2339EFB5"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However, in Note 8 of the GA Analysis Workform in the 2023 IRM proceeding, Halton Hills Hydro suggested that the 2019 principal adjustments were a credit of $921,789 in Account 1588 and a credit of $554,961 in Account 1589.</w:t>
      </w:r>
    </w:p>
    <w:p w14:paraId="00ADBB5D" w14:textId="77777777" w:rsidR="00730B0F" w:rsidRPr="00AF740D" w:rsidRDefault="00730B0F" w:rsidP="00730B0F">
      <w:pPr>
        <w:spacing w:after="0"/>
        <w:rPr>
          <w:rFonts w:ascii="Arial" w:hAnsi="Arial" w:cs="Arial"/>
          <w:sz w:val="24"/>
          <w:szCs w:val="24"/>
        </w:rPr>
      </w:pPr>
    </w:p>
    <w:p w14:paraId="23F992A3"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these differences.</w:t>
      </w:r>
    </w:p>
    <w:p w14:paraId="387B455E" w14:textId="77777777" w:rsidR="00730B0F" w:rsidRPr="00AF740D" w:rsidRDefault="00730B0F" w:rsidP="00730B0F">
      <w:pPr>
        <w:spacing w:after="0"/>
        <w:rPr>
          <w:rFonts w:ascii="Arial" w:hAnsi="Arial" w:cs="Arial"/>
          <w:b/>
          <w:bCs/>
          <w:sz w:val="24"/>
          <w:szCs w:val="24"/>
        </w:rPr>
      </w:pPr>
    </w:p>
    <w:p w14:paraId="47C13C09" w14:textId="681CE69D"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4 </w:t>
      </w:r>
      <w:r w:rsidR="00E01E71">
        <w:rPr>
          <w:rFonts w:ascii="Arial" w:hAnsi="Arial" w:cs="Arial"/>
          <w:b/>
          <w:sz w:val="24"/>
          <w:szCs w:val="24"/>
        </w:rPr>
        <w:t xml:space="preserve">– </w:t>
      </w:r>
      <w:r w:rsidRPr="00AF740D">
        <w:rPr>
          <w:rFonts w:ascii="Arial" w:hAnsi="Arial" w:cs="Arial"/>
          <w:b/>
          <w:sz w:val="24"/>
          <w:szCs w:val="24"/>
        </w:rPr>
        <w:t>Differences in Accounts 1588 and 1589 2019 Principal Adjustments</w:t>
      </w:r>
    </w:p>
    <w:p w14:paraId="5B28EF86" w14:textId="77777777" w:rsidR="00730B0F" w:rsidRPr="00AF740D" w:rsidRDefault="00730B0F" w:rsidP="00730B0F">
      <w:pPr>
        <w:spacing w:after="0"/>
        <w:jc w:val="center"/>
        <w:rPr>
          <w:rFonts w:ascii="Arial" w:hAnsi="Arial" w:cs="Arial"/>
          <w:b/>
          <w:sz w:val="24"/>
          <w:szCs w:val="24"/>
        </w:rPr>
      </w:pPr>
    </w:p>
    <w:tbl>
      <w:tblPr>
        <w:tblStyle w:val="TableGrid"/>
        <w:tblW w:w="0" w:type="auto"/>
        <w:tblLayout w:type="fixed"/>
        <w:tblLook w:val="04A0" w:firstRow="1" w:lastRow="0" w:firstColumn="1" w:lastColumn="0" w:noHBand="0" w:noVBand="1"/>
      </w:tblPr>
      <w:tblGrid>
        <w:gridCol w:w="1176"/>
        <w:gridCol w:w="2696"/>
        <w:gridCol w:w="2696"/>
        <w:gridCol w:w="2697"/>
      </w:tblGrid>
      <w:tr w:rsidR="00730B0F" w:rsidRPr="00AF740D" w14:paraId="0B9A5564" w14:textId="77777777" w:rsidTr="003B0A59">
        <w:trPr>
          <w:trHeight w:val="900"/>
        </w:trPr>
        <w:tc>
          <w:tcPr>
            <w:tcW w:w="1176" w:type="dxa"/>
            <w:noWrap/>
            <w:hideMark/>
          </w:tcPr>
          <w:p w14:paraId="4C79C1BE"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Account</w:t>
            </w:r>
          </w:p>
        </w:tc>
        <w:tc>
          <w:tcPr>
            <w:tcW w:w="2696" w:type="dxa"/>
            <w:hideMark/>
          </w:tcPr>
          <w:p w14:paraId="760A7C99"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2023 IRM GA Analysis Workform - 2019 Principal Adjustments</w:t>
            </w:r>
          </w:p>
        </w:tc>
        <w:tc>
          <w:tcPr>
            <w:tcW w:w="2696" w:type="dxa"/>
            <w:hideMark/>
          </w:tcPr>
          <w:p w14:paraId="0B5AECFA"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2021 CoS GA Analysis Workform and 2021 CoS DVA Continuity Schedule - 2019 Principal Adjustments</w:t>
            </w:r>
          </w:p>
        </w:tc>
        <w:tc>
          <w:tcPr>
            <w:tcW w:w="2697" w:type="dxa"/>
            <w:noWrap/>
            <w:hideMark/>
          </w:tcPr>
          <w:p w14:paraId="3A41DBCF"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Difference</w:t>
            </w:r>
          </w:p>
        </w:tc>
      </w:tr>
      <w:tr w:rsidR="00730B0F" w:rsidRPr="00AF740D" w14:paraId="4D83300B" w14:textId="77777777" w:rsidTr="003B0A59">
        <w:trPr>
          <w:trHeight w:val="300"/>
        </w:trPr>
        <w:tc>
          <w:tcPr>
            <w:tcW w:w="1176" w:type="dxa"/>
            <w:noWrap/>
            <w:hideMark/>
          </w:tcPr>
          <w:p w14:paraId="3ACA91DA"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1588</w:t>
            </w:r>
          </w:p>
        </w:tc>
        <w:tc>
          <w:tcPr>
            <w:tcW w:w="2696" w:type="dxa"/>
            <w:noWrap/>
            <w:hideMark/>
          </w:tcPr>
          <w:p w14:paraId="084A3EB3"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(921,789)</w:t>
            </w:r>
          </w:p>
        </w:tc>
        <w:tc>
          <w:tcPr>
            <w:tcW w:w="2696" w:type="dxa"/>
            <w:noWrap/>
            <w:hideMark/>
          </w:tcPr>
          <w:p w14:paraId="23541F16"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(1,210,325)</w:t>
            </w:r>
          </w:p>
        </w:tc>
        <w:tc>
          <w:tcPr>
            <w:tcW w:w="2697" w:type="dxa"/>
            <w:noWrap/>
            <w:hideMark/>
          </w:tcPr>
          <w:p w14:paraId="6D396276"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288,536 </w:t>
            </w:r>
          </w:p>
        </w:tc>
      </w:tr>
      <w:tr w:rsidR="00730B0F" w:rsidRPr="00AF740D" w14:paraId="57015F49" w14:textId="77777777" w:rsidTr="003B0A59">
        <w:trPr>
          <w:trHeight w:val="300"/>
        </w:trPr>
        <w:tc>
          <w:tcPr>
            <w:tcW w:w="1176" w:type="dxa"/>
            <w:noWrap/>
            <w:hideMark/>
          </w:tcPr>
          <w:p w14:paraId="3CD6F47B"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1589</w:t>
            </w:r>
          </w:p>
        </w:tc>
        <w:tc>
          <w:tcPr>
            <w:tcW w:w="2696" w:type="dxa"/>
            <w:noWrap/>
            <w:hideMark/>
          </w:tcPr>
          <w:p w14:paraId="1D6DEE66"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(554,961)</w:t>
            </w:r>
          </w:p>
        </w:tc>
        <w:tc>
          <w:tcPr>
            <w:tcW w:w="2696" w:type="dxa"/>
            <w:noWrap/>
            <w:hideMark/>
          </w:tcPr>
          <w:p w14:paraId="1D5F7F1F"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1,777,993 </w:t>
            </w:r>
          </w:p>
        </w:tc>
        <w:tc>
          <w:tcPr>
            <w:tcW w:w="2697" w:type="dxa"/>
            <w:noWrap/>
            <w:hideMark/>
          </w:tcPr>
          <w:p w14:paraId="739C8759"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(2,332,954)</w:t>
            </w:r>
          </w:p>
        </w:tc>
      </w:tr>
    </w:tbl>
    <w:p w14:paraId="6AB15A65" w14:textId="77777777" w:rsidR="00730B0F" w:rsidRPr="00AF740D" w:rsidRDefault="00730B0F" w:rsidP="00730B0F">
      <w:pPr>
        <w:spacing w:after="0"/>
        <w:jc w:val="center"/>
        <w:rPr>
          <w:rFonts w:ascii="Arial" w:hAnsi="Arial" w:cs="Arial"/>
          <w:b/>
          <w:sz w:val="24"/>
          <w:szCs w:val="24"/>
        </w:rPr>
      </w:pPr>
    </w:p>
    <w:p w14:paraId="30E5BD98" w14:textId="77777777" w:rsidR="00730B0F" w:rsidRPr="00AF740D" w:rsidRDefault="00730B0F" w:rsidP="00730B0F">
      <w:pPr>
        <w:spacing w:after="0"/>
        <w:rPr>
          <w:rFonts w:ascii="Arial" w:hAnsi="Arial" w:cs="Arial"/>
          <w:bCs/>
          <w:sz w:val="24"/>
          <w:szCs w:val="24"/>
        </w:rPr>
      </w:pPr>
      <w:r w:rsidRPr="00AF740D">
        <w:rPr>
          <w:rFonts w:ascii="Arial" w:hAnsi="Arial" w:cs="Arial"/>
          <w:bCs/>
          <w:sz w:val="24"/>
          <w:szCs w:val="24"/>
        </w:rPr>
        <w:t>Halton Hills Hydro also suggested that the CT 148 true-up of $554,961 (debit to Account 1588 and credit to Account 1589) was part of the 2019 principal adjustments that were approved by the OEB in the 2021 cost of service proceeding. However, Halton Hills Hydro stated that the actual re-allocation was not posted to the GL until 2022 and will be adjusted accordingly with 2022 year-end balance dispositions.</w:t>
      </w:r>
    </w:p>
    <w:p w14:paraId="78A72F15" w14:textId="77777777" w:rsidR="00730B0F" w:rsidRPr="00AF740D" w:rsidRDefault="00730B0F" w:rsidP="00730B0F">
      <w:pPr>
        <w:spacing w:after="0"/>
        <w:jc w:val="center"/>
        <w:rPr>
          <w:rFonts w:ascii="Arial" w:hAnsi="Arial" w:cs="Arial"/>
          <w:b/>
          <w:sz w:val="24"/>
          <w:szCs w:val="24"/>
        </w:rPr>
      </w:pPr>
    </w:p>
    <w:p w14:paraId="40C621AE" w14:textId="77777777" w:rsidR="00730B0F" w:rsidRPr="00AF740D" w:rsidRDefault="00730B0F" w:rsidP="00730B0F">
      <w:pPr>
        <w:spacing w:after="0"/>
        <w:rPr>
          <w:rFonts w:ascii="Arial" w:hAnsi="Arial" w:cs="Arial"/>
          <w:b/>
          <w:sz w:val="24"/>
          <w:szCs w:val="24"/>
        </w:rPr>
      </w:pPr>
      <w:r w:rsidRPr="00AF740D">
        <w:rPr>
          <w:rFonts w:ascii="Arial" w:hAnsi="Arial" w:cs="Arial"/>
          <w:b/>
          <w:sz w:val="24"/>
          <w:szCs w:val="24"/>
        </w:rPr>
        <w:t>Questions:</w:t>
      </w:r>
    </w:p>
    <w:p w14:paraId="0C06DD2A" w14:textId="77777777" w:rsidR="00730B0F" w:rsidRPr="00AF740D" w:rsidRDefault="00730B0F" w:rsidP="00730B0F">
      <w:pPr>
        <w:spacing w:after="0"/>
        <w:rPr>
          <w:rFonts w:ascii="Arial" w:hAnsi="Arial" w:cs="Arial"/>
          <w:sz w:val="24"/>
          <w:szCs w:val="24"/>
        </w:rPr>
      </w:pPr>
    </w:p>
    <w:p w14:paraId="7E5F5CA3" w14:textId="50590DB9" w:rsidR="00730B0F" w:rsidRPr="00AF740D" w:rsidRDefault="00730B0F" w:rsidP="00730B0F">
      <w:pPr>
        <w:pStyle w:val="ListParagraph"/>
        <w:numPr>
          <w:ilvl w:val="0"/>
          <w:numId w:val="23"/>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98797D">
        <w:rPr>
          <w:bCs/>
          <w:sz w:val="24"/>
          <w:szCs w:val="24"/>
        </w:rPr>
        <w:t>-</w:t>
      </w:r>
      <w:r w:rsidRPr="00AF740D">
        <w:rPr>
          <w:bCs/>
          <w:sz w:val="24"/>
          <w:szCs w:val="24"/>
        </w:rPr>
        <w:t>noted Table 4</w:t>
      </w:r>
      <w:r w:rsidR="00D74CAB">
        <w:rPr>
          <w:bCs/>
          <w:sz w:val="24"/>
          <w:szCs w:val="24"/>
        </w:rPr>
        <w:t>.</w:t>
      </w:r>
    </w:p>
    <w:p w14:paraId="2B71C4E3" w14:textId="0616BA8D" w:rsidR="00730B0F" w:rsidRPr="00AF740D" w:rsidRDefault="00730B0F" w:rsidP="00730B0F">
      <w:pPr>
        <w:pStyle w:val="ListParagraph"/>
        <w:numPr>
          <w:ilvl w:val="0"/>
          <w:numId w:val="23"/>
        </w:numPr>
        <w:spacing w:after="0" w:line="276" w:lineRule="auto"/>
        <w:rPr>
          <w:bCs/>
          <w:sz w:val="24"/>
          <w:szCs w:val="24"/>
        </w:rPr>
      </w:pPr>
      <w:r w:rsidRPr="00AF740D">
        <w:rPr>
          <w:bCs/>
          <w:sz w:val="24"/>
          <w:szCs w:val="24"/>
        </w:rPr>
        <w:t>If this is not the case, please explain, and update Table 4.</w:t>
      </w:r>
    </w:p>
    <w:p w14:paraId="469B130E" w14:textId="77777777" w:rsidR="00730B0F" w:rsidRPr="00AF740D" w:rsidRDefault="00730B0F" w:rsidP="00730B0F">
      <w:pPr>
        <w:pStyle w:val="ListParagraph"/>
        <w:numPr>
          <w:ilvl w:val="0"/>
          <w:numId w:val="23"/>
        </w:numPr>
        <w:spacing w:after="0" w:line="276" w:lineRule="auto"/>
        <w:rPr>
          <w:sz w:val="24"/>
          <w:szCs w:val="24"/>
        </w:rPr>
      </w:pPr>
      <w:r w:rsidRPr="00AF740D">
        <w:rPr>
          <w:bCs/>
          <w:sz w:val="24"/>
          <w:szCs w:val="24"/>
        </w:rPr>
        <w:lastRenderedPageBreak/>
        <w:t xml:space="preserve">Please update the relevant evidence to resolve this difference, including a reconciliation of </w:t>
      </w:r>
      <w:r w:rsidRPr="00AF740D">
        <w:rPr>
          <w:sz w:val="24"/>
          <w:szCs w:val="24"/>
        </w:rPr>
        <w:t>the 2019 principal adjustments that were approved in the 2021 cost of service proceeding to those shown in Note 8 of the GA Analysis Workform in the 2023 IRM proceeding.</w:t>
      </w:r>
    </w:p>
    <w:p w14:paraId="4636CAB7" w14:textId="77777777" w:rsidR="00730B0F" w:rsidRPr="00AF740D" w:rsidRDefault="00730B0F" w:rsidP="00730B0F">
      <w:pPr>
        <w:pStyle w:val="ListParagraph"/>
        <w:numPr>
          <w:ilvl w:val="0"/>
          <w:numId w:val="23"/>
        </w:numPr>
        <w:spacing w:after="0" w:line="276" w:lineRule="auto"/>
        <w:rPr>
          <w:bCs/>
          <w:sz w:val="24"/>
          <w:szCs w:val="24"/>
        </w:rPr>
      </w:pPr>
      <w:r w:rsidRPr="00AF740D">
        <w:rPr>
          <w:bCs/>
          <w:sz w:val="24"/>
          <w:szCs w:val="24"/>
        </w:rPr>
        <w:t>In the alternative, please explain why Halton Hills Hydro is of the view that no changes are required.</w:t>
      </w:r>
    </w:p>
    <w:p w14:paraId="3F0BA506" w14:textId="77777777" w:rsidR="00730B0F" w:rsidRPr="00AF740D" w:rsidRDefault="00730B0F" w:rsidP="00730B0F">
      <w:pPr>
        <w:pStyle w:val="ListParagraph"/>
        <w:numPr>
          <w:ilvl w:val="0"/>
          <w:numId w:val="23"/>
        </w:numPr>
        <w:spacing w:after="0" w:line="276" w:lineRule="auto"/>
        <w:rPr>
          <w:sz w:val="24"/>
          <w:szCs w:val="24"/>
        </w:rPr>
      </w:pPr>
      <w:r w:rsidRPr="00AF740D">
        <w:rPr>
          <w:sz w:val="24"/>
          <w:szCs w:val="24"/>
        </w:rPr>
        <w:t xml:space="preserve">After this reconciliation has been conducted, please explain which amounts should be reversed as 2020 principal adjustments in Note 9 of the </w:t>
      </w:r>
      <w:r>
        <w:rPr>
          <w:sz w:val="24"/>
          <w:szCs w:val="24"/>
        </w:rPr>
        <w:t xml:space="preserve">2023 IRM </w:t>
      </w:r>
      <w:r w:rsidRPr="00AF740D">
        <w:rPr>
          <w:sz w:val="24"/>
          <w:szCs w:val="24"/>
        </w:rPr>
        <w:t xml:space="preserve">GA Analysis Workform, depending on what amounts have been recorded in the 2020 GL. </w:t>
      </w:r>
    </w:p>
    <w:p w14:paraId="3CC6A927" w14:textId="77777777" w:rsidR="00730B0F" w:rsidRPr="00AF740D" w:rsidRDefault="00730B0F" w:rsidP="00730B0F">
      <w:pPr>
        <w:pStyle w:val="ListParagraph"/>
        <w:numPr>
          <w:ilvl w:val="0"/>
          <w:numId w:val="23"/>
        </w:numPr>
        <w:spacing w:after="0" w:line="276" w:lineRule="auto"/>
        <w:rPr>
          <w:sz w:val="24"/>
          <w:szCs w:val="24"/>
        </w:rPr>
      </w:pPr>
      <w:r w:rsidRPr="00AF740D">
        <w:rPr>
          <w:sz w:val="24"/>
          <w:szCs w:val="24"/>
        </w:rPr>
        <w:t>Please confirm that the 2019 principal adjustment CT 148 true-up of $554,961 (debit to Account 1588 and credit to Account 1589) that was posted to the 2022 GL will be reversed as a 2022 principal adjustment in the 2024 IRM rate proceeding (as opposed to a 2020 principal adjustment in the current proceeding). If this is not the case, please explain.</w:t>
      </w:r>
    </w:p>
    <w:p w14:paraId="2C540C12" w14:textId="77777777" w:rsidR="00730B0F" w:rsidRPr="00AF740D" w:rsidRDefault="00730B0F" w:rsidP="00730B0F">
      <w:pPr>
        <w:spacing w:after="0"/>
        <w:rPr>
          <w:rFonts w:ascii="Arial" w:hAnsi="Arial" w:cs="Arial"/>
          <w:sz w:val="24"/>
          <w:szCs w:val="24"/>
        </w:rPr>
      </w:pPr>
    </w:p>
    <w:p w14:paraId="2F5FCC48" w14:textId="4ED87143"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10</w:t>
      </w:r>
    </w:p>
    <w:p w14:paraId="092CB369" w14:textId="77777777" w:rsidR="00730B0F" w:rsidRPr="00AF740D" w:rsidRDefault="00730B0F" w:rsidP="00730B0F">
      <w:pPr>
        <w:spacing w:after="0"/>
        <w:rPr>
          <w:rFonts w:ascii="Arial" w:hAnsi="Arial" w:cs="Arial"/>
          <w:b/>
          <w:bCs/>
          <w:sz w:val="24"/>
          <w:szCs w:val="24"/>
        </w:rPr>
      </w:pPr>
    </w:p>
    <w:p w14:paraId="12EB810A"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6FC21174"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03249185" w14:textId="77777777" w:rsidR="00730B0F" w:rsidRPr="00AF740D" w:rsidRDefault="00730B0F" w:rsidP="00730B0F">
      <w:pPr>
        <w:spacing w:after="0"/>
        <w:rPr>
          <w:rFonts w:ascii="Arial" w:hAnsi="Arial" w:cs="Arial"/>
          <w:b/>
          <w:bCs/>
          <w:sz w:val="24"/>
          <w:szCs w:val="24"/>
        </w:rPr>
      </w:pPr>
    </w:p>
    <w:p w14:paraId="2CEF50E4"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 xml:space="preserve">Halton Hills Hydro has recorded 2021 “current year” principal adjustments in the Tab Principal Adjustments of the </w:t>
      </w:r>
      <w:r>
        <w:rPr>
          <w:rFonts w:ascii="Arial" w:hAnsi="Arial" w:cs="Arial"/>
          <w:sz w:val="24"/>
          <w:szCs w:val="24"/>
        </w:rPr>
        <w:t xml:space="preserve">2023 IRM </w:t>
      </w:r>
      <w:r w:rsidRPr="00AF740D">
        <w:rPr>
          <w:rFonts w:ascii="Arial" w:hAnsi="Arial" w:cs="Arial"/>
          <w:sz w:val="24"/>
          <w:szCs w:val="24"/>
        </w:rPr>
        <w:t>GA Analysis Workform of a credit of $153,466 in Account 1588 and a credit of $19,831 in Account 1589. However, Halton Hills Hydro also indicated that these 2021 “current year” principal adjustments were recorded in the 2021 GL and not the 2022 GL.</w:t>
      </w:r>
    </w:p>
    <w:p w14:paraId="73FF0FCC" w14:textId="77777777" w:rsidR="00730B0F" w:rsidRPr="00AF740D" w:rsidRDefault="00730B0F" w:rsidP="00730B0F">
      <w:pPr>
        <w:spacing w:after="0"/>
        <w:rPr>
          <w:rFonts w:ascii="Arial" w:hAnsi="Arial" w:cs="Arial"/>
          <w:b/>
          <w:bCs/>
          <w:sz w:val="24"/>
          <w:szCs w:val="24"/>
        </w:rPr>
      </w:pPr>
    </w:p>
    <w:p w14:paraId="1B0DF534" w14:textId="25D2447C" w:rsidR="00730B0F" w:rsidRDefault="00730B0F" w:rsidP="00730B0F">
      <w:pPr>
        <w:spacing w:after="0"/>
        <w:rPr>
          <w:rFonts w:ascii="Arial" w:hAnsi="Arial" w:cs="Arial"/>
          <w:sz w:val="24"/>
          <w:szCs w:val="24"/>
        </w:rPr>
      </w:pPr>
      <w:r w:rsidRPr="00AF740D">
        <w:rPr>
          <w:rFonts w:ascii="Arial" w:hAnsi="Arial" w:cs="Arial"/>
          <w:sz w:val="24"/>
          <w:szCs w:val="24"/>
        </w:rPr>
        <w:t>OEB staff also notes that based on an above OEB staff question, the 2021 principal adjustment of a credit of $153,466 in Account 1588 may need to be revised, as well as from additional OEB staff questions below. OEB staff also notes that the 2021 principal adjustment of a credit of $19,831 in Account 1589 may need to be revised, as per additional OEB staff questions below.</w:t>
      </w:r>
    </w:p>
    <w:p w14:paraId="0E9A072A" w14:textId="46119FFD" w:rsidR="005D140B" w:rsidRDefault="005D140B" w:rsidP="00730B0F">
      <w:pPr>
        <w:spacing w:after="0"/>
        <w:rPr>
          <w:rFonts w:ascii="Arial" w:hAnsi="Arial" w:cs="Arial"/>
          <w:sz w:val="24"/>
          <w:szCs w:val="24"/>
        </w:rPr>
      </w:pPr>
    </w:p>
    <w:p w14:paraId="2D337C8F" w14:textId="73623BDF" w:rsidR="005D140B" w:rsidRDefault="005D140B" w:rsidP="00730B0F">
      <w:pPr>
        <w:spacing w:after="0"/>
        <w:rPr>
          <w:rFonts w:ascii="Arial" w:hAnsi="Arial" w:cs="Arial"/>
          <w:sz w:val="24"/>
          <w:szCs w:val="24"/>
        </w:rPr>
      </w:pPr>
      <w:r>
        <w:rPr>
          <w:rFonts w:ascii="Arial" w:hAnsi="Arial" w:cs="Arial"/>
          <w:sz w:val="24"/>
          <w:szCs w:val="24"/>
        </w:rPr>
        <w:t xml:space="preserve">OEB staff also notes that as part of the </w:t>
      </w:r>
      <w:r w:rsidRPr="005D140B">
        <w:rPr>
          <w:rFonts w:ascii="Arial" w:hAnsi="Arial" w:cs="Arial"/>
          <w:sz w:val="24"/>
          <w:szCs w:val="24"/>
        </w:rPr>
        <w:t>2021 principal adjustment of a credit of $153,466 in Account 1588</w:t>
      </w:r>
      <w:r>
        <w:rPr>
          <w:rFonts w:ascii="Arial" w:hAnsi="Arial" w:cs="Arial"/>
          <w:sz w:val="24"/>
          <w:szCs w:val="24"/>
        </w:rPr>
        <w:t>, Halton Hills Hydro has stated that i</w:t>
      </w:r>
      <w:r w:rsidR="00B10530">
        <w:rPr>
          <w:rFonts w:ascii="Arial" w:hAnsi="Arial" w:cs="Arial"/>
          <w:sz w:val="24"/>
          <w:szCs w:val="24"/>
        </w:rPr>
        <w:t>t</w:t>
      </w:r>
      <w:r>
        <w:rPr>
          <w:rFonts w:ascii="Arial" w:hAnsi="Arial" w:cs="Arial"/>
          <w:sz w:val="24"/>
          <w:szCs w:val="24"/>
        </w:rPr>
        <w:t xml:space="preserve"> has recorded a credit of $</w:t>
      </w:r>
      <w:r w:rsidRPr="005D140B">
        <w:rPr>
          <w:rFonts w:ascii="Arial" w:hAnsi="Arial" w:cs="Arial"/>
          <w:sz w:val="24"/>
          <w:szCs w:val="24"/>
        </w:rPr>
        <w:t>173,297</w:t>
      </w:r>
      <w:r>
        <w:rPr>
          <w:rFonts w:ascii="Arial" w:hAnsi="Arial" w:cs="Arial"/>
          <w:sz w:val="24"/>
          <w:szCs w:val="24"/>
        </w:rPr>
        <w:t xml:space="preserve"> </w:t>
      </w:r>
      <w:r w:rsidR="005D35BB">
        <w:rPr>
          <w:rFonts w:ascii="Arial" w:hAnsi="Arial" w:cs="Arial"/>
          <w:sz w:val="24"/>
          <w:szCs w:val="24"/>
        </w:rPr>
        <w:t>that relates to a “</w:t>
      </w:r>
      <w:r w:rsidR="005D35BB" w:rsidRPr="005D35BB">
        <w:rPr>
          <w:rFonts w:ascii="Arial" w:hAnsi="Arial" w:cs="Arial"/>
          <w:sz w:val="24"/>
          <w:szCs w:val="24"/>
        </w:rPr>
        <w:t>Reversal of CT 1142/142 true-up based on actual</w:t>
      </w:r>
      <w:r w:rsidR="005D35BB">
        <w:rPr>
          <w:rFonts w:ascii="Arial" w:hAnsi="Arial" w:cs="Arial"/>
          <w:sz w:val="24"/>
          <w:szCs w:val="24"/>
        </w:rPr>
        <w:t xml:space="preserve">s”. However, </w:t>
      </w:r>
      <w:r w:rsidR="00FE0FAC">
        <w:rPr>
          <w:rFonts w:ascii="Arial" w:hAnsi="Arial" w:cs="Arial"/>
          <w:sz w:val="24"/>
          <w:szCs w:val="24"/>
        </w:rPr>
        <w:t xml:space="preserve">Halton Hills Hydro has not recorded a </w:t>
      </w:r>
      <w:r w:rsidR="005D35BB">
        <w:rPr>
          <w:rFonts w:ascii="Arial" w:hAnsi="Arial" w:cs="Arial"/>
          <w:sz w:val="24"/>
          <w:szCs w:val="24"/>
        </w:rPr>
        <w:t xml:space="preserve">corresponding </w:t>
      </w:r>
      <w:r w:rsidR="0005432B">
        <w:rPr>
          <w:rFonts w:ascii="Arial" w:hAnsi="Arial" w:cs="Arial"/>
          <w:sz w:val="24"/>
          <w:szCs w:val="24"/>
        </w:rPr>
        <w:t xml:space="preserve">principal adjustment </w:t>
      </w:r>
      <w:r w:rsidR="005D35BB">
        <w:rPr>
          <w:rFonts w:ascii="Arial" w:hAnsi="Arial" w:cs="Arial"/>
          <w:sz w:val="24"/>
          <w:szCs w:val="24"/>
        </w:rPr>
        <w:t xml:space="preserve">in 2020 that </w:t>
      </w:r>
      <w:r w:rsidR="00E53A48">
        <w:rPr>
          <w:rFonts w:ascii="Arial" w:hAnsi="Arial" w:cs="Arial"/>
          <w:sz w:val="24"/>
          <w:szCs w:val="24"/>
        </w:rPr>
        <w:t xml:space="preserve">may </w:t>
      </w:r>
      <w:r w:rsidR="005D35BB">
        <w:rPr>
          <w:rFonts w:ascii="Arial" w:hAnsi="Arial" w:cs="Arial"/>
          <w:sz w:val="24"/>
          <w:szCs w:val="24"/>
        </w:rPr>
        <w:t>need to be reversed</w:t>
      </w:r>
      <w:r w:rsidR="000B691F">
        <w:rPr>
          <w:rFonts w:ascii="Arial" w:hAnsi="Arial" w:cs="Arial"/>
          <w:sz w:val="24"/>
          <w:szCs w:val="24"/>
        </w:rPr>
        <w:t xml:space="preserve"> in 2021.</w:t>
      </w:r>
    </w:p>
    <w:p w14:paraId="01849B8B" w14:textId="77777777" w:rsidR="00730B0F" w:rsidRPr="00AF740D" w:rsidRDefault="00730B0F" w:rsidP="00730B0F">
      <w:pPr>
        <w:spacing w:after="0"/>
        <w:rPr>
          <w:rFonts w:ascii="Arial" w:hAnsi="Arial" w:cs="Arial"/>
          <w:sz w:val="24"/>
          <w:szCs w:val="24"/>
        </w:rPr>
      </w:pPr>
    </w:p>
    <w:p w14:paraId="574FDA31" w14:textId="77777777" w:rsidR="00730B0F" w:rsidRPr="00AF740D" w:rsidRDefault="00730B0F" w:rsidP="00730B0F">
      <w:pPr>
        <w:spacing w:after="0"/>
        <w:rPr>
          <w:rFonts w:ascii="Arial" w:hAnsi="Arial" w:cs="Arial"/>
          <w:b/>
          <w:sz w:val="24"/>
          <w:szCs w:val="24"/>
        </w:rPr>
      </w:pPr>
      <w:r w:rsidRPr="00AF740D">
        <w:rPr>
          <w:rFonts w:ascii="Arial" w:hAnsi="Arial" w:cs="Arial"/>
          <w:b/>
          <w:sz w:val="24"/>
          <w:szCs w:val="24"/>
        </w:rPr>
        <w:lastRenderedPageBreak/>
        <w:t>Questions:</w:t>
      </w:r>
    </w:p>
    <w:p w14:paraId="2D727A92" w14:textId="77777777" w:rsidR="00730B0F" w:rsidRPr="00AF740D" w:rsidRDefault="00730B0F" w:rsidP="00730B0F">
      <w:pPr>
        <w:spacing w:after="0"/>
        <w:rPr>
          <w:rFonts w:ascii="Arial" w:hAnsi="Arial" w:cs="Arial"/>
          <w:b/>
          <w:sz w:val="24"/>
          <w:szCs w:val="24"/>
        </w:rPr>
      </w:pPr>
    </w:p>
    <w:p w14:paraId="1BD50025" w14:textId="77777777" w:rsidR="00730B0F" w:rsidRPr="00AF740D" w:rsidRDefault="00730B0F" w:rsidP="00730B0F">
      <w:pPr>
        <w:pStyle w:val="ListParagraph"/>
        <w:numPr>
          <w:ilvl w:val="0"/>
          <w:numId w:val="22"/>
        </w:numPr>
        <w:spacing w:after="0" w:line="276" w:lineRule="auto"/>
        <w:rPr>
          <w:sz w:val="24"/>
          <w:szCs w:val="24"/>
        </w:rPr>
      </w:pPr>
      <w:r w:rsidRPr="00AF740D">
        <w:rPr>
          <w:bCs/>
          <w:sz w:val="24"/>
          <w:szCs w:val="24"/>
        </w:rPr>
        <w:t xml:space="preserve">Please confirm whether Halton Hills Hydro meant to reference the 2021 “current year” principal adjustments in the Tab Principal Adjustments of the </w:t>
      </w:r>
      <w:r>
        <w:rPr>
          <w:bCs/>
          <w:sz w:val="24"/>
          <w:szCs w:val="24"/>
        </w:rPr>
        <w:t xml:space="preserve">2023 IRM </w:t>
      </w:r>
      <w:r w:rsidRPr="00AF740D">
        <w:rPr>
          <w:bCs/>
          <w:sz w:val="24"/>
          <w:szCs w:val="24"/>
        </w:rPr>
        <w:t>GA Analysis Workform of a credit of $153,466 in Account 1588 (or any revised amount) and a credit of $19,831 in Account 1589 (or any revised amount) as being recorded in the 2022 GL, instead of the 2021 GL.</w:t>
      </w:r>
    </w:p>
    <w:p w14:paraId="55733B65" w14:textId="77777777" w:rsidR="00730B0F" w:rsidRPr="00AF740D" w:rsidRDefault="00730B0F" w:rsidP="00730B0F">
      <w:pPr>
        <w:pStyle w:val="ListParagraph"/>
        <w:numPr>
          <w:ilvl w:val="0"/>
          <w:numId w:val="22"/>
        </w:numPr>
        <w:spacing w:after="0" w:line="276" w:lineRule="auto"/>
        <w:rPr>
          <w:sz w:val="24"/>
          <w:szCs w:val="24"/>
        </w:rPr>
      </w:pPr>
      <w:r w:rsidRPr="00AF740D">
        <w:rPr>
          <w:bCs/>
          <w:sz w:val="24"/>
          <w:szCs w:val="24"/>
        </w:rPr>
        <w:t>If these amounts (or any revised amounts) were recorded in the 2022 GL:</w:t>
      </w:r>
    </w:p>
    <w:p w14:paraId="40BA751F" w14:textId="7C51AA0D" w:rsidR="00730B0F" w:rsidRPr="00AF740D" w:rsidRDefault="00730B0F" w:rsidP="00730B0F">
      <w:pPr>
        <w:pStyle w:val="ListParagraph"/>
        <w:numPr>
          <w:ilvl w:val="1"/>
          <w:numId w:val="24"/>
        </w:numPr>
        <w:spacing w:after="0" w:line="276" w:lineRule="auto"/>
        <w:rPr>
          <w:sz w:val="24"/>
          <w:szCs w:val="24"/>
        </w:rPr>
      </w:pPr>
      <w:r w:rsidRPr="00AF740D">
        <w:rPr>
          <w:bCs/>
          <w:sz w:val="24"/>
          <w:szCs w:val="24"/>
        </w:rPr>
        <w:t>Please update the labelling in the relevant cells of column</w:t>
      </w:r>
      <w:r w:rsidR="00664483">
        <w:rPr>
          <w:bCs/>
          <w:sz w:val="24"/>
          <w:szCs w:val="24"/>
        </w:rPr>
        <w:t>s K and</w:t>
      </w:r>
      <w:r w:rsidRPr="00AF740D">
        <w:rPr>
          <w:bCs/>
          <w:sz w:val="24"/>
          <w:szCs w:val="24"/>
        </w:rPr>
        <w:t xml:space="preserve"> W of the Principal Adjustments tab of the </w:t>
      </w:r>
      <w:r>
        <w:rPr>
          <w:bCs/>
          <w:sz w:val="24"/>
          <w:szCs w:val="24"/>
        </w:rPr>
        <w:t xml:space="preserve">2023 IRM </w:t>
      </w:r>
      <w:r w:rsidRPr="00AF740D">
        <w:rPr>
          <w:bCs/>
          <w:sz w:val="24"/>
          <w:szCs w:val="24"/>
        </w:rPr>
        <w:t>GA Analysis Workform.</w:t>
      </w:r>
    </w:p>
    <w:p w14:paraId="4C2C0186" w14:textId="77777777" w:rsidR="00730B0F" w:rsidRPr="00AF740D" w:rsidRDefault="00730B0F" w:rsidP="00730B0F">
      <w:pPr>
        <w:pStyle w:val="ListParagraph"/>
        <w:numPr>
          <w:ilvl w:val="1"/>
          <w:numId w:val="24"/>
        </w:numPr>
        <w:spacing w:after="0" w:line="276" w:lineRule="auto"/>
        <w:rPr>
          <w:sz w:val="24"/>
          <w:szCs w:val="24"/>
        </w:rPr>
      </w:pPr>
      <w:r w:rsidRPr="00AF740D">
        <w:rPr>
          <w:sz w:val="24"/>
          <w:szCs w:val="24"/>
        </w:rPr>
        <w:t>Please explain why these amounts are not part of the balance recorded in Column BW “Variance RRR vs. 2021 Balance (Principal + Interest)” in Tab 3 of the 2023 IRM Rate Generator Model.</w:t>
      </w:r>
    </w:p>
    <w:p w14:paraId="4F4354A9" w14:textId="30C9E26C" w:rsidR="00730B0F" w:rsidRPr="001502AC" w:rsidRDefault="00730B0F" w:rsidP="00730B0F">
      <w:pPr>
        <w:pStyle w:val="ListParagraph"/>
        <w:numPr>
          <w:ilvl w:val="0"/>
          <w:numId w:val="22"/>
        </w:numPr>
        <w:spacing w:after="0" w:line="276" w:lineRule="auto"/>
        <w:rPr>
          <w:sz w:val="24"/>
          <w:szCs w:val="24"/>
        </w:rPr>
      </w:pPr>
      <w:r w:rsidRPr="00AF740D">
        <w:rPr>
          <w:bCs/>
          <w:sz w:val="24"/>
          <w:szCs w:val="24"/>
        </w:rPr>
        <w:t>If these amounts (or any revised amounts) were not recorded in the 2022 GL, please explain, particularly why there are 2021 principal adjustments recorded in the 2021 GL layered on top of the “Transactions Debit / (Credit) During 2021” amounts recorded in Tab 3 of the 2023 IRM Rate Generator Model that are also part of the 2021 GL.</w:t>
      </w:r>
    </w:p>
    <w:p w14:paraId="4C000BFF" w14:textId="13057113" w:rsidR="001502AC" w:rsidRPr="00AF740D" w:rsidRDefault="00B10530" w:rsidP="00730B0F">
      <w:pPr>
        <w:pStyle w:val="ListParagraph"/>
        <w:numPr>
          <w:ilvl w:val="0"/>
          <w:numId w:val="22"/>
        </w:numPr>
        <w:spacing w:after="0" w:line="276" w:lineRule="auto"/>
        <w:rPr>
          <w:sz w:val="24"/>
          <w:szCs w:val="24"/>
        </w:rPr>
      </w:pPr>
      <w:r>
        <w:rPr>
          <w:sz w:val="24"/>
          <w:szCs w:val="24"/>
        </w:rPr>
        <w:t xml:space="preserve">Please explain why Halton Hills Hydro, </w:t>
      </w:r>
      <w:r w:rsidRPr="00B10530">
        <w:rPr>
          <w:sz w:val="24"/>
          <w:szCs w:val="24"/>
        </w:rPr>
        <w:t>as part of the 2021 principal adjustment of a credit of $153,466 in Account 1588</w:t>
      </w:r>
      <w:r>
        <w:rPr>
          <w:sz w:val="24"/>
          <w:szCs w:val="24"/>
        </w:rPr>
        <w:t xml:space="preserve">, it </w:t>
      </w:r>
      <w:r w:rsidRPr="00B10530">
        <w:rPr>
          <w:sz w:val="24"/>
          <w:szCs w:val="24"/>
        </w:rPr>
        <w:t xml:space="preserve">has stated that </w:t>
      </w:r>
      <w:r>
        <w:rPr>
          <w:sz w:val="24"/>
          <w:szCs w:val="24"/>
        </w:rPr>
        <w:t xml:space="preserve">it </w:t>
      </w:r>
      <w:r w:rsidRPr="00B10530">
        <w:rPr>
          <w:sz w:val="24"/>
          <w:szCs w:val="24"/>
        </w:rPr>
        <w:t>has recorded a credit of $173,297 that relates to a “Reversal of CT 1142/142 true-up based on actuals”</w:t>
      </w:r>
      <w:r w:rsidR="005A265E">
        <w:rPr>
          <w:sz w:val="24"/>
          <w:szCs w:val="24"/>
        </w:rPr>
        <w:t xml:space="preserve">, when it </w:t>
      </w:r>
      <w:r w:rsidRPr="00B10530">
        <w:rPr>
          <w:sz w:val="24"/>
          <w:szCs w:val="24"/>
        </w:rPr>
        <w:t xml:space="preserve">has not recorded a corresponding </w:t>
      </w:r>
      <w:r w:rsidR="0005432B">
        <w:rPr>
          <w:sz w:val="24"/>
          <w:szCs w:val="24"/>
        </w:rPr>
        <w:t xml:space="preserve">principal adjustment </w:t>
      </w:r>
      <w:r w:rsidRPr="00B10530">
        <w:rPr>
          <w:sz w:val="24"/>
          <w:szCs w:val="24"/>
        </w:rPr>
        <w:t>in 2020 that may need to be reversed</w:t>
      </w:r>
      <w:r w:rsidR="000B691F">
        <w:rPr>
          <w:sz w:val="24"/>
          <w:szCs w:val="24"/>
        </w:rPr>
        <w:t xml:space="preserve"> in 2021.</w:t>
      </w:r>
    </w:p>
    <w:p w14:paraId="6513AF35" w14:textId="77777777" w:rsidR="00730B0F" w:rsidRPr="00AF740D" w:rsidRDefault="00730B0F" w:rsidP="00730B0F">
      <w:pPr>
        <w:spacing w:after="0"/>
        <w:rPr>
          <w:rFonts w:ascii="Arial" w:hAnsi="Arial" w:cs="Arial"/>
          <w:b/>
          <w:bCs/>
          <w:sz w:val="24"/>
          <w:szCs w:val="24"/>
        </w:rPr>
      </w:pPr>
    </w:p>
    <w:p w14:paraId="3F357FF6" w14:textId="169D624B"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11</w:t>
      </w:r>
    </w:p>
    <w:p w14:paraId="027AD5F0" w14:textId="77777777" w:rsidR="00730B0F" w:rsidRPr="00AF740D" w:rsidRDefault="00730B0F" w:rsidP="00730B0F">
      <w:pPr>
        <w:spacing w:after="0"/>
        <w:rPr>
          <w:rFonts w:ascii="Arial" w:hAnsi="Arial" w:cs="Arial"/>
          <w:b/>
          <w:bCs/>
          <w:sz w:val="24"/>
          <w:szCs w:val="24"/>
        </w:rPr>
      </w:pPr>
    </w:p>
    <w:p w14:paraId="3D6E1C4C"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44406DB9"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Rate Generator, Tab 3, March 24, 2022</w:t>
      </w:r>
    </w:p>
    <w:p w14:paraId="76BE2214"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772E4B3B"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Global Adjustment Analysis Workform, October 29, 2021</w:t>
      </w:r>
    </w:p>
    <w:p w14:paraId="4608FAEA" w14:textId="77777777" w:rsidR="00730B0F" w:rsidRPr="00AF740D" w:rsidRDefault="00730B0F" w:rsidP="00730B0F">
      <w:pPr>
        <w:spacing w:after="0"/>
        <w:rPr>
          <w:rFonts w:ascii="Arial" w:hAnsi="Arial" w:cs="Arial"/>
          <w:b/>
          <w:bCs/>
          <w:sz w:val="24"/>
          <w:szCs w:val="24"/>
        </w:rPr>
      </w:pPr>
    </w:p>
    <w:p w14:paraId="618EACCF"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notes that there are differences between the 2020 transactions related to Accounts 1588 and 1589 between the current 2023 IRM proceeding and the 2022 IRM proceeding.</w:t>
      </w:r>
    </w:p>
    <w:p w14:paraId="39887E2E" w14:textId="77777777" w:rsidR="00730B0F" w:rsidRPr="00AF740D" w:rsidRDefault="00730B0F" w:rsidP="00730B0F">
      <w:pPr>
        <w:spacing w:after="0"/>
        <w:rPr>
          <w:rFonts w:ascii="Arial" w:hAnsi="Arial" w:cs="Arial"/>
          <w:sz w:val="24"/>
          <w:szCs w:val="24"/>
        </w:rPr>
      </w:pPr>
    </w:p>
    <w:p w14:paraId="445D83A7"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these differences related to 2020 transactions.</w:t>
      </w:r>
    </w:p>
    <w:p w14:paraId="52906872" w14:textId="77777777" w:rsidR="00730B0F" w:rsidRPr="00AF740D" w:rsidRDefault="00730B0F" w:rsidP="00730B0F">
      <w:pPr>
        <w:spacing w:after="0"/>
        <w:rPr>
          <w:rFonts w:ascii="Arial" w:hAnsi="Arial" w:cs="Arial"/>
          <w:b/>
          <w:bCs/>
          <w:sz w:val="24"/>
          <w:szCs w:val="24"/>
        </w:rPr>
      </w:pPr>
    </w:p>
    <w:p w14:paraId="703237EB" w14:textId="0318F763"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5 </w:t>
      </w:r>
      <w:r w:rsidR="009D593B">
        <w:rPr>
          <w:rFonts w:ascii="Arial" w:hAnsi="Arial" w:cs="Arial"/>
          <w:b/>
          <w:sz w:val="24"/>
          <w:szCs w:val="24"/>
        </w:rPr>
        <w:t xml:space="preserve">– </w:t>
      </w:r>
      <w:r w:rsidRPr="00AF740D">
        <w:rPr>
          <w:rFonts w:ascii="Arial" w:hAnsi="Arial" w:cs="Arial"/>
          <w:b/>
          <w:sz w:val="24"/>
          <w:szCs w:val="24"/>
        </w:rPr>
        <w:t>Differences in Accounts 1588 and 1589 2020 Transactions</w:t>
      </w:r>
    </w:p>
    <w:p w14:paraId="51982862" w14:textId="77777777"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lastRenderedPageBreak/>
        <w:t>between 2023 IRM and 2022 IRM</w:t>
      </w:r>
    </w:p>
    <w:p w14:paraId="555214BD" w14:textId="77777777" w:rsidR="00730B0F" w:rsidRPr="00AF740D" w:rsidRDefault="00730B0F" w:rsidP="00730B0F">
      <w:pPr>
        <w:spacing w:after="0"/>
        <w:rPr>
          <w:rFonts w:ascii="Arial" w:hAnsi="Arial" w:cs="Arial"/>
          <w:b/>
          <w:sz w:val="24"/>
          <w:szCs w:val="24"/>
        </w:rPr>
      </w:pPr>
    </w:p>
    <w:tbl>
      <w:tblPr>
        <w:tblStyle w:val="TableGrid"/>
        <w:tblW w:w="0" w:type="auto"/>
        <w:tblLook w:val="04A0" w:firstRow="1" w:lastRow="0" w:firstColumn="1" w:lastColumn="0" w:noHBand="0" w:noVBand="1"/>
      </w:tblPr>
      <w:tblGrid>
        <w:gridCol w:w="1176"/>
        <w:gridCol w:w="2696"/>
        <w:gridCol w:w="2696"/>
        <w:gridCol w:w="1740"/>
      </w:tblGrid>
      <w:tr w:rsidR="00730B0F" w:rsidRPr="00AF740D" w14:paraId="1C869681" w14:textId="77777777" w:rsidTr="003B0A59">
        <w:trPr>
          <w:trHeight w:val="864"/>
        </w:trPr>
        <w:tc>
          <w:tcPr>
            <w:tcW w:w="1176" w:type="dxa"/>
            <w:noWrap/>
            <w:hideMark/>
          </w:tcPr>
          <w:p w14:paraId="48F26808"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Account</w:t>
            </w:r>
          </w:p>
        </w:tc>
        <w:tc>
          <w:tcPr>
            <w:tcW w:w="2696" w:type="dxa"/>
            <w:hideMark/>
          </w:tcPr>
          <w:p w14:paraId="168DDECA"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2023 IRM Rate Generator Model - Transactions Debit / (Credit) During 2020</w:t>
            </w:r>
          </w:p>
        </w:tc>
        <w:tc>
          <w:tcPr>
            <w:tcW w:w="2696" w:type="dxa"/>
            <w:hideMark/>
          </w:tcPr>
          <w:p w14:paraId="5BA8A3BA"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2022 IRM Rate Generator Model - Transactions Debit / (Credit) During 2020</w:t>
            </w:r>
          </w:p>
        </w:tc>
        <w:tc>
          <w:tcPr>
            <w:tcW w:w="1740" w:type="dxa"/>
            <w:noWrap/>
            <w:hideMark/>
          </w:tcPr>
          <w:p w14:paraId="6F9E072F"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Difference</w:t>
            </w:r>
          </w:p>
        </w:tc>
      </w:tr>
      <w:tr w:rsidR="00730B0F" w:rsidRPr="00AF740D" w14:paraId="0A9483FA" w14:textId="77777777" w:rsidTr="003B0A59">
        <w:trPr>
          <w:trHeight w:val="288"/>
        </w:trPr>
        <w:tc>
          <w:tcPr>
            <w:tcW w:w="1176" w:type="dxa"/>
            <w:noWrap/>
            <w:hideMark/>
          </w:tcPr>
          <w:p w14:paraId="72489339"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1588</w:t>
            </w:r>
          </w:p>
        </w:tc>
        <w:tc>
          <w:tcPr>
            <w:tcW w:w="2696" w:type="dxa"/>
            <w:noWrap/>
            <w:hideMark/>
          </w:tcPr>
          <w:p w14:paraId="6544F308"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(2,649,128)</w:t>
            </w:r>
          </w:p>
        </w:tc>
        <w:tc>
          <w:tcPr>
            <w:tcW w:w="2696" w:type="dxa"/>
            <w:noWrap/>
            <w:hideMark/>
          </w:tcPr>
          <w:p w14:paraId="212C6787"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(2,999,106)</w:t>
            </w:r>
          </w:p>
        </w:tc>
        <w:tc>
          <w:tcPr>
            <w:tcW w:w="1740" w:type="dxa"/>
            <w:noWrap/>
            <w:hideMark/>
          </w:tcPr>
          <w:p w14:paraId="3F8C75EB"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349,978 </w:t>
            </w:r>
          </w:p>
        </w:tc>
      </w:tr>
      <w:tr w:rsidR="00730B0F" w:rsidRPr="00AF740D" w14:paraId="0D5BBAAB" w14:textId="77777777" w:rsidTr="003B0A59">
        <w:trPr>
          <w:trHeight w:val="288"/>
        </w:trPr>
        <w:tc>
          <w:tcPr>
            <w:tcW w:w="1176" w:type="dxa"/>
            <w:noWrap/>
            <w:hideMark/>
          </w:tcPr>
          <w:p w14:paraId="7E97CBDC"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1589</w:t>
            </w:r>
          </w:p>
        </w:tc>
        <w:tc>
          <w:tcPr>
            <w:tcW w:w="2696" w:type="dxa"/>
            <w:noWrap/>
            <w:hideMark/>
          </w:tcPr>
          <w:p w14:paraId="2074A00C"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71,779 </w:t>
            </w:r>
          </w:p>
        </w:tc>
        <w:tc>
          <w:tcPr>
            <w:tcW w:w="2696" w:type="dxa"/>
            <w:noWrap/>
            <w:hideMark/>
          </w:tcPr>
          <w:p w14:paraId="352CC035"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421,757 </w:t>
            </w:r>
          </w:p>
        </w:tc>
        <w:tc>
          <w:tcPr>
            <w:tcW w:w="1740" w:type="dxa"/>
            <w:noWrap/>
            <w:hideMark/>
          </w:tcPr>
          <w:p w14:paraId="10D66E8C"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(349,978)</w:t>
            </w:r>
          </w:p>
        </w:tc>
      </w:tr>
    </w:tbl>
    <w:p w14:paraId="1314E261" w14:textId="77777777" w:rsidR="00730B0F" w:rsidRPr="00AF740D" w:rsidRDefault="00730B0F" w:rsidP="00730B0F">
      <w:pPr>
        <w:spacing w:after="0"/>
        <w:rPr>
          <w:rFonts w:ascii="Arial" w:hAnsi="Arial" w:cs="Arial"/>
          <w:b/>
          <w:sz w:val="24"/>
          <w:szCs w:val="24"/>
        </w:rPr>
      </w:pPr>
    </w:p>
    <w:p w14:paraId="233D55D1"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Questions:</w:t>
      </w:r>
    </w:p>
    <w:p w14:paraId="0311FDB5" w14:textId="77777777" w:rsidR="00730B0F" w:rsidRPr="00AF740D" w:rsidRDefault="00730B0F" w:rsidP="00730B0F">
      <w:pPr>
        <w:spacing w:after="0"/>
        <w:rPr>
          <w:rFonts w:ascii="Arial" w:hAnsi="Arial" w:cs="Arial"/>
          <w:b/>
          <w:bCs/>
          <w:sz w:val="24"/>
          <w:szCs w:val="24"/>
        </w:rPr>
      </w:pPr>
    </w:p>
    <w:p w14:paraId="643EC6DE" w14:textId="7D61B1BF" w:rsidR="00730B0F" w:rsidRPr="00AF740D" w:rsidRDefault="00730B0F" w:rsidP="00730B0F">
      <w:pPr>
        <w:pStyle w:val="ListParagraph"/>
        <w:numPr>
          <w:ilvl w:val="0"/>
          <w:numId w:val="25"/>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540F21">
        <w:rPr>
          <w:bCs/>
          <w:sz w:val="24"/>
          <w:szCs w:val="24"/>
        </w:rPr>
        <w:t>-</w:t>
      </w:r>
      <w:r w:rsidRPr="00AF740D">
        <w:rPr>
          <w:bCs/>
          <w:sz w:val="24"/>
          <w:szCs w:val="24"/>
        </w:rPr>
        <w:t>noted Table 5.</w:t>
      </w:r>
    </w:p>
    <w:p w14:paraId="576022BE" w14:textId="27ECE94B" w:rsidR="00730B0F" w:rsidRPr="00AF740D" w:rsidRDefault="00730B0F" w:rsidP="00730B0F">
      <w:pPr>
        <w:pStyle w:val="ListParagraph"/>
        <w:numPr>
          <w:ilvl w:val="0"/>
          <w:numId w:val="25"/>
        </w:numPr>
        <w:spacing w:after="0" w:line="276" w:lineRule="auto"/>
        <w:rPr>
          <w:bCs/>
          <w:sz w:val="24"/>
          <w:szCs w:val="24"/>
        </w:rPr>
      </w:pPr>
      <w:r w:rsidRPr="00AF740D">
        <w:rPr>
          <w:bCs/>
          <w:sz w:val="24"/>
          <w:szCs w:val="24"/>
        </w:rPr>
        <w:t>If this is not the case, please explain, and update Table 5.</w:t>
      </w:r>
    </w:p>
    <w:p w14:paraId="1E21B9AD" w14:textId="77777777" w:rsidR="00730B0F" w:rsidRPr="00AF740D" w:rsidRDefault="00730B0F" w:rsidP="00730B0F">
      <w:pPr>
        <w:pStyle w:val="ListParagraph"/>
        <w:numPr>
          <w:ilvl w:val="0"/>
          <w:numId w:val="25"/>
        </w:numPr>
        <w:spacing w:after="0" w:line="276" w:lineRule="auto"/>
        <w:rPr>
          <w:bCs/>
          <w:sz w:val="24"/>
          <w:szCs w:val="24"/>
        </w:rPr>
      </w:pPr>
      <w:r w:rsidRPr="00AF740D">
        <w:rPr>
          <w:bCs/>
          <w:sz w:val="24"/>
          <w:szCs w:val="24"/>
        </w:rPr>
        <w:t>Please update the relevant evidence to resolve this difference.</w:t>
      </w:r>
    </w:p>
    <w:p w14:paraId="0EDCF5D8" w14:textId="77777777" w:rsidR="00730B0F" w:rsidRPr="00AF740D" w:rsidRDefault="00730B0F" w:rsidP="00730B0F">
      <w:pPr>
        <w:pStyle w:val="ListParagraph"/>
        <w:numPr>
          <w:ilvl w:val="0"/>
          <w:numId w:val="25"/>
        </w:numPr>
        <w:spacing w:after="0" w:line="276" w:lineRule="auto"/>
        <w:rPr>
          <w:bCs/>
          <w:sz w:val="24"/>
          <w:szCs w:val="24"/>
        </w:rPr>
      </w:pPr>
      <w:r w:rsidRPr="00AF740D">
        <w:rPr>
          <w:bCs/>
          <w:sz w:val="24"/>
          <w:szCs w:val="24"/>
        </w:rPr>
        <w:t>In the alternative, please explain why Halton Hills Hydro is of the view that no changes are required.</w:t>
      </w:r>
    </w:p>
    <w:p w14:paraId="4DD02AB2" w14:textId="77777777" w:rsidR="00730B0F" w:rsidRPr="00AF740D" w:rsidRDefault="00730B0F" w:rsidP="00730B0F">
      <w:pPr>
        <w:spacing w:after="0"/>
        <w:rPr>
          <w:rFonts w:ascii="Arial" w:hAnsi="Arial" w:cs="Arial"/>
          <w:b/>
          <w:bCs/>
          <w:sz w:val="24"/>
          <w:szCs w:val="24"/>
        </w:rPr>
      </w:pPr>
    </w:p>
    <w:p w14:paraId="4602D697" w14:textId="191A7EF3"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12</w:t>
      </w:r>
    </w:p>
    <w:p w14:paraId="75EF3638" w14:textId="77777777" w:rsidR="00730B0F" w:rsidRPr="00AF740D" w:rsidRDefault="00730B0F" w:rsidP="00730B0F">
      <w:pPr>
        <w:spacing w:after="0"/>
        <w:rPr>
          <w:rFonts w:ascii="Arial" w:hAnsi="Arial" w:cs="Arial"/>
          <w:b/>
          <w:bCs/>
          <w:sz w:val="24"/>
          <w:szCs w:val="24"/>
        </w:rPr>
      </w:pPr>
    </w:p>
    <w:p w14:paraId="74FFFA9A"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1B3DD451"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Rate Generator, Tab 3, March 24, 2022</w:t>
      </w:r>
    </w:p>
    <w:p w14:paraId="2E06F055"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5B3EBC9A"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Global Adjustment Analysis Workform, October 29, 2021</w:t>
      </w:r>
    </w:p>
    <w:p w14:paraId="10D643FA" w14:textId="77777777" w:rsidR="00730B0F" w:rsidRPr="00AF740D" w:rsidRDefault="00730B0F" w:rsidP="00730B0F">
      <w:pPr>
        <w:spacing w:after="0"/>
        <w:rPr>
          <w:rFonts w:ascii="Arial" w:hAnsi="Arial" w:cs="Arial"/>
          <w:b/>
          <w:bCs/>
          <w:sz w:val="24"/>
          <w:szCs w:val="24"/>
        </w:rPr>
      </w:pPr>
    </w:p>
    <w:p w14:paraId="06FA941B"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notes that there are differences between the 2020 principal adjustments related to Accounts 1588 and 1589 between the current 2023 IRM proceeding and the 2022 IRM proceeding.</w:t>
      </w:r>
    </w:p>
    <w:p w14:paraId="561091D2" w14:textId="77777777" w:rsidR="00730B0F" w:rsidRPr="00AF740D" w:rsidRDefault="00730B0F" w:rsidP="00730B0F">
      <w:pPr>
        <w:spacing w:after="0"/>
        <w:rPr>
          <w:rFonts w:ascii="Arial" w:hAnsi="Arial" w:cs="Arial"/>
          <w:sz w:val="24"/>
          <w:szCs w:val="24"/>
        </w:rPr>
      </w:pPr>
    </w:p>
    <w:p w14:paraId="54B7001A"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OEB staff has prepared the following table which shows these differences related to 2020 principal adjustments.</w:t>
      </w:r>
    </w:p>
    <w:p w14:paraId="0B8BC4FB" w14:textId="77777777" w:rsidR="00730B0F" w:rsidRPr="00AF740D" w:rsidRDefault="00730B0F" w:rsidP="00730B0F">
      <w:pPr>
        <w:spacing w:after="0"/>
        <w:rPr>
          <w:rFonts w:ascii="Arial" w:hAnsi="Arial" w:cs="Arial"/>
          <w:b/>
          <w:bCs/>
          <w:sz w:val="24"/>
          <w:szCs w:val="24"/>
        </w:rPr>
      </w:pPr>
    </w:p>
    <w:p w14:paraId="742511E1" w14:textId="036F48E6"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 xml:space="preserve">Table 6 </w:t>
      </w:r>
      <w:r w:rsidR="00436778">
        <w:rPr>
          <w:rFonts w:ascii="Arial" w:hAnsi="Arial" w:cs="Arial"/>
          <w:b/>
          <w:sz w:val="24"/>
          <w:szCs w:val="24"/>
        </w:rPr>
        <w:t xml:space="preserve">– </w:t>
      </w:r>
      <w:r w:rsidRPr="00AF740D">
        <w:rPr>
          <w:rFonts w:ascii="Arial" w:hAnsi="Arial" w:cs="Arial"/>
          <w:b/>
          <w:sz w:val="24"/>
          <w:szCs w:val="24"/>
        </w:rPr>
        <w:t>Differences in Accounts 1588 and 1589 2020 Principal Amounts</w:t>
      </w:r>
    </w:p>
    <w:p w14:paraId="4D2BCF70" w14:textId="77777777"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between 2023 IRM and 2022 IRM</w:t>
      </w:r>
    </w:p>
    <w:p w14:paraId="24C1C857" w14:textId="77777777" w:rsidR="00730B0F" w:rsidRPr="00AF740D" w:rsidRDefault="00730B0F" w:rsidP="00730B0F">
      <w:pPr>
        <w:spacing w:after="0"/>
        <w:rPr>
          <w:rFonts w:ascii="Arial" w:hAnsi="Arial" w:cs="Arial"/>
          <w:b/>
          <w:sz w:val="24"/>
          <w:szCs w:val="24"/>
        </w:rPr>
      </w:pPr>
    </w:p>
    <w:tbl>
      <w:tblPr>
        <w:tblStyle w:val="TableGrid"/>
        <w:tblW w:w="0" w:type="auto"/>
        <w:tblLayout w:type="fixed"/>
        <w:tblLook w:val="04A0" w:firstRow="1" w:lastRow="0" w:firstColumn="1" w:lastColumn="0" w:noHBand="0" w:noVBand="1"/>
      </w:tblPr>
      <w:tblGrid>
        <w:gridCol w:w="1176"/>
        <w:gridCol w:w="2353"/>
        <w:gridCol w:w="2353"/>
        <w:gridCol w:w="2354"/>
      </w:tblGrid>
      <w:tr w:rsidR="00730B0F" w:rsidRPr="00AF740D" w14:paraId="6011C773" w14:textId="77777777" w:rsidTr="003B0A59">
        <w:trPr>
          <w:trHeight w:val="864"/>
        </w:trPr>
        <w:tc>
          <w:tcPr>
            <w:tcW w:w="1176" w:type="dxa"/>
            <w:noWrap/>
            <w:hideMark/>
          </w:tcPr>
          <w:p w14:paraId="392F847A"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Account</w:t>
            </w:r>
          </w:p>
        </w:tc>
        <w:tc>
          <w:tcPr>
            <w:tcW w:w="2353" w:type="dxa"/>
            <w:hideMark/>
          </w:tcPr>
          <w:p w14:paraId="6EFA121C"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t xml:space="preserve">2023 IRM Rate Generator Model - Principal </w:t>
            </w:r>
            <w:r w:rsidRPr="00AF740D">
              <w:rPr>
                <w:rFonts w:ascii="Arial" w:hAnsi="Arial" w:cs="Arial"/>
                <w:b/>
                <w:sz w:val="24"/>
                <w:szCs w:val="24"/>
              </w:rPr>
              <w:lastRenderedPageBreak/>
              <w:t>Adjustments During 2020</w:t>
            </w:r>
          </w:p>
        </w:tc>
        <w:tc>
          <w:tcPr>
            <w:tcW w:w="2353" w:type="dxa"/>
            <w:hideMark/>
          </w:tcPr>
          <w:p w14:paraId="0A95BB8E"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lastRenderedPageBreak/>
              <w:t xml:space="preserve">2022 IRM Rate Generator Model - Principal </w:t>
            </w:r>
            <w:r w:rsidRPr="00AF740D">
              <w:rPr>
                <w:rFonts w:ascii="Arial" w:hAnsi="Arial" w:cs="Arial"/>
                <w:b/>
                <w:sz w:val="24"/>
                <w:szCs w:val="24"/>
              </w:rPr>
              <w:lastRenderedPageBreak/>
              <w:t>Adjustments During 2020</w:t>
            </w:r>
          </w:p>
        </w:tc>
        <w:tc>
          <w:tcPr>
            <w:tcW w:w="2354" w:type="dxa"/>
            <w:noWrap/>
            <w:hideMark/>
          </w:tcPr>
          <w:p w14:paraId="2D48E1F9" w14:textId="77777777" w:rsidR="00730B0F" w:rsidRPr="00AF740D" w:rsidRDefault="00730B0F" w:rsidP="003B0A59">
            <w:pPr>
              <w:spacing w:line="276" w:lineRule="auto"/>
              <w:jc w:val="right"/>
              <w:rPr>
                <w:rFonts w:ascii="Arial" w:hAnsi="Arial" w:cs="Arial"/>
                <w:b/>
                <w:sz w:val="24"/>
                <w:szCs w:val="24"/>
              </w:rPr>
            </w:pPr>
            <w:r w:rsidRPr="00AF740D">
              <w:rPr>
                <w:rFonts w:ascii="Arial" w:hAnsi="Arial" w:cs="Arial"/>
                <w:b/>
                <w:sz w:val="24"/>
                <w:szCs w:val="24"/>
              </w:rPr>
              <w:lastRenderedPageBreak/>
              <w:t>Difference</w:t>
            </w:r>
          </w:p>
        </w:tc>
      </w:tr>
      <w:tr w:rsidR="00730B0F" w:rsidRPr="00AF740D" w14:paraId="43B0B313" w14:textId="77777777" w:rsidTr="003B0A59">
        <w:trPr>
          <w:trHeight w:val="288"/>
        </w:trPr>
        <w:tc>
          <w:tcPr>
            <w:tcW w:w="1176" w:type="dxa"/>
            <w:noWrap/>
            <w:hideMark/>
          </w:tcPr>
          <w:p w14:paraId="251D773F"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1588</w:t>
            </w:r>
          </w:p>
        </w:tc>
        <w:tc>
          <w:tcPr>
            <w:tcW w:w="2353" w:type="dxa"/>
            <w:noWrap/>
            <w:hideMark/>
          </w:tcPr>
          <w:p w14:paraId="76747803"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1,476,750 </w:t>
            </w:r>
          </w:p>
        </w:tc>
        <w:tc>
          <w:tcPr>
            <w:tcW w:w="2353" w:type="dxa"/>
            <w:noWrap/>
            <w:hideMark/>
          </w:tcPr>
          <w:p w14:paraId="6D2CF9E8"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1,271,767 </w:t>
            </w:r>
          </w:p>
        </w:tc>
        <w:tc>
          <w:tcPr>
            <w:tcW w:w="2354" w:type="dxa"/>
            <w:noWrap/>
            <w:hideMark/>
          </w:tcPr>
          <w:p w14:paraId="717C2BFE"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204,983 </w:t>
            </w:r>
          </w:p>
        </w:tc>
      </w:tr>
      <w:tr w:rsidR="00730B0F" w:rsidRPr="00AF740D" w14:paraId="7E12379B" w14:textId="77777777" w:rsidTr="003B0A59">
        <w:trPr>
          <w:trHeight w:val="288"/>
        </w:trPr>
        <w:tc>
          <w:tcPr>
            <w:tcW w:w="1176" w:type="dxa"/>
            <w:noWrap/>
            <w:hideMark/>
          </w:tcPr>
          <w:p w14:paraId="6CD2A6DB"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1589</w:t>
            </w:r>
          </w:p>
        </w:tc>
        <w:tc>
          <w:tcPr>
            <w:tcW w:w="2353" w:type="dxa"/>
            <w:noWrap/>
            <w:hideMark/>
          </w:tcPr>
          <w:p w14:paraId="68582049"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0                                              </w:t>
            </w:r>
          </w:p>
        </w:tc>
        <w:tc>
          <w:tcPr>
            <w:tcW w:w="2353" w:type="dxa"/>
            <w:noWrap/>
            <w:hideMark/>
          </w:tcPr>
          <w:p w14:paraId="17DB6CC2"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204,983 </w:t>
            </w:r>
          </w:p>
        </w:tc>
        <w:tc>
          <w:tcPr>
            <w:tcW w:w="2354" w:type="dxa"/>
            <w:noWrap/>
            <w:hideMark/>
          </w:tcPr>
          <w:p w14:paraId="57E818F4" w14:textId="77777777" w:rsidR="00730B0F" w:rsidRPr="00AF740D" w:rsidRDefault="00730B0F" w:rsidP="003B0A59">
            <w:pPr>
              <w:spacing w:line="276" w:lineRule="auto"/>
              <w:jc w:val="right"/>
              <w:rPr>
                <w:rFonts w:ascii="Arial" w:hAnsi="Arial" w:cs="Arial"/>
                <w:bCs/>
                <w:sz w:val="24"/>
                <w:szCs w:val="24"/>
              </w:rPr>
            </w:pPr>
            <w:r w:rsidRPr="00AF740D">
              <w:rPr>
                <w:rFonts w:ascii="Arial" w:hAnsi="Arial" w:cs="Arial"/>
                <w:bCs/>
                <w:sz w:val="24"/>
                <w:szCs w:val="24"/>
              </w:rPr>
              <w:t xml:space="preserve">               (204,983)</w:t>
            </w:r>
          </w:p>
        </w:tc>
      </w:tr>
    </w:tbl>
    <w:p w14:paraId="1BEC35E3" w14:textId="77777777" w:rsidR="00730B0F" w:rsidRPr="00AF740D" w:rsidRDefault="00730B0F" w:rsidP="00730B0F">
      <w:pPr>
        <w:spacing w:after="0"/>
        <w:rPr>
          <w:rFonts w:ascii="Arial" w:hAnsi="Arial" w:cs="Arial"/>
          <w:b/>
          <w:sz w:val="24"/>
          <w:szCs w:val="24"/>
        </w:rPr>
      </w:pPr>
    </w:p>
    <w:p w14:paraId="4FDC139D"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Questions:</w:t>
      </w:r>
    </w:p>
    <w:p w14:paraId="48E9592F" w14:textId="77777777" w:rsidR="00730B0F" w:rsidRPr="00AF740D" w:rsidRDefault="00730B0F" w:rsidP="00730B0F">
      <w:pPr>
        <w:spacing w:after="0"/>
        <w:rPr>
          <w:rFonts w:ascii="Arial" w:hAnsi="Arial" w:cs="Arial"/>
          <w:b/>
          <w:bCs/>
          <w:sz w:val="24"/>
          <w:szCs w:val="24"/>
        </w:rPr>
      </w:pPr>
    </w:p>
    <w:p w14:paraId="3B0F302C" w14:textId="6695F77F" w:rsidR="00730B0F" w:rsidRPr="00AF740D" w:rsidRDefault="00730B0F" w:rsidP="00730B0F">
      <w:pPr>
        <w:pStyle w:val="ListParagraph"/>
        <w:numPr>
          <w:ilvl w:val="0"/>
          <w:numId w:val="26"/>
        </w:numPr>
        <w:spacing w:after="0" w:line="276" w:lineRule="auto"/>
        <w:rPr>
          <w:bCs/>
          <w:sz w:val="24"/>
          <w:szCs w:val="24"/>
        </w:rPr>
      </w:pPr>
      <w:r w:rsidRPr="00AF740D">
        <w:rPr>
          <w:bCs/>
          <w:sz w:val="24"/>
          <w:szCs w:val="24"/>
        </w:rPr>
        <w:t>Please confirm whether Halton Hills Hydro is in agreement with OEB staff’s calculations and values in the above</w:t>
      </w:r>
      <w:r w:rsidR="00BA3EA1">
        <w:rPr>
          <w:bCs/>
          <w:sz w:val="24"/>
          <w:szCs w:val="24"/>
        </w:rPr>
        <w:t>-</w:t>
      </w:r>
      <w:r w:rsidRPr="00AF740D">
        <w:rPr>
          <w:bCs/>
          <w:sz w:val="24"/>
          <w:szCs w:val="24"/>
        </w:rPr>
        <w:t>noted Table 6.</w:t>
      </w:r>
    </w:p>
    <w:p w14:paraId="50B7E87E" w14:textId="2244C2AB" w:rsidR="00730B0F" w:rsidRPr="00AF740D" w:rsidRDefault="00730B0F" w:rsidP="00730B0F">
      <w:pPr>
        <w:pStyle w:val="ListParagraph"/>
        <w:numPr>
          <w:ilvl w:val="0"/>
          <w:numId w:val="26"/>
        </w:numPr>
        <w:spacing w:after="0" w:line="276" w:lineRule="auto"/>
        <w:rPr>
          <w:bCs/>
          <w:sz w:val="24"/>
          <w:szCs w:val="24"/>
        </w:rPr>
      </w:pPr>
      <w:r w:rsidRPr="00AF740D">
        <w:rPr>
          <w:bCs/>
          <w:sz w:val="24"/>
          <w:szCs w:val="24"/>
        </w:rPr>
        <w:t>If this is not the case, please explain, and update Table 6.</w:t>
      </w:r>
    </w:p>
    <w:p w14:paraId="3A5F01D1" w14:textId="77777777" w:rsidR="00730B0F" w:rsidRPr="00AF740D" w:rsidRDefault="00730B0F" w:rsidP="00730B0F">
      <w:pPr>
        <w:pStyle w:val="ListParagraph"/>
        <w:numPr>
          <w:ilvl w:val="0"/>
          <w:numId w:val="26"/>
        </w:numPr>
        <w:spacing w:after="0" w:line="276" w:lineRule="auto"/>
        <w:rPr>
          <w:bCs/>
          <w:sz w:val="24"/>
          <w:szCs w:val="24"/>
        </w:rPr>
      </w:pPr>
      <w:r w:rsidRPr="00AF740D">
        <w:rPr>
          <w:bCs/>
          <w:sz w:val="24"/>
          <w:szCs w:val="24"/>
        </w:rPr>
        <w:t>Please update the relevant evidence to resolve this difference.</w:t>
      </w:r>
    </w:p>
    <w:p w14:paraId="69D572CF" w14:textId="77777777" w:rsidR="00730B0F" w:rsidRPr="00AF740D" w:rsidRDefault="00730B0F" w:rsidP="00730B0F">
      <w:pPr>
        <w:pStyle w:val="ListParagraph"/>
        <w:numPr>
          <w:ilvl w:val="0"/>
          <w:numId w:val="26"/>
        </w:numPr>
        <w:spacing w:after="0" w:line="276" w:lineRule="auto"/>
        <w:rPr>
          <w:bCs/>
          <w:sz w:val="24"/>
          <w:szCs w:val="24"/>
        </w:rPr>
      </w:pPr>
      <w:r w:rsidRPr="00AF740D">
        <w:rPr>
          <w:bCs/>
          <w:sz w:val="24"/>
          <w:szCs w:val="24"/>
        </w:rPr>
        <w:t>In the alternative, please explain why Halton Hills Hydro is of the view that no changes are required.</w:t>
      </w:r>
    </w:p>
    <w:p w14:paraId="3CA25EC5" w14:textId="77777777" w:rsidR="00730B0F" w:rsidRPr="00AF740D" w:rsidRDefault="00730B0F" w:rsidP="00730B0F">
      <w:pPr>
        <w:spacing w:after="0"/>
        <w:rPr>
          <w:rFonts w:ascii="Arial" w:hAnsi="Arial" w:cs="Arial"/>
          <w:bCs/>
          <w:sz w:val="24"/>
          <w:szCs w:val="24"/>
        </w:rPr>
      </w:pPr>
    </w:p>
    <w:p w14:paraId="3C1A70CD" w14:textId="3C94A634"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13</w:t>
      </w:r>
    </w:p>
    <w:p w14:paraId="5D663C04" w14:textId="77777777" w:rsidR="00730B0F" w:rsidRPr="00AF740D" w:rsidRDefault="00730B0F" w:rsidP="00730B0F">
      <w:pPr>
        <w:spacing w:after="0"/>
        <w:rPr>
          <w:rFonts w:ascii="Arial" w:hAnsi="Arial" w:cs="Arial"/>
          <w:b/>
          <w:bCs/>
          <w:sz w:val="24"/>
          <w:szCs w:val="24"/>
        </w:rPr>
      </w:pPr>
    </w:p>
    <w:p w14:paraId="36195399"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 xml:space="preserve">Ref: IRM Rate Generator Tab 3, November 11, 2022 </w:t>
      </w:r>
    </w:p>
    <w:p w14:paraId="04A8EEE0"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Rate Generator, Tab 3, March 24, 2022</w:t>
      </w:r>
    </w:p>
    <w:p w14:paraId="5FE0B621"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4AB7F704"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2022 IRM Global Adjustment Analysis Workform, October 29, 2021</w:t>
      </w:r>
    </w:p>
    <w:p w14:paraId="0E8C24EE" w14:textId="77777777" w:rsidR="00730B0F" w:rsidRPr="00AF740D" w:rsidRDefault="00730B0F" w:rsidP="00730B0F">
      <w:pPr>
        <w:spacing w:after="0"/>
        <w:rPr>
          <w:rFonts w:ascii="Arial" w:hAnsi="Arial" w:cs="Arial"/>
          <w:bCs/>
          <w:sz w:val="24"/>
          <w:szCs w:val="24"/>
        </w:rPr>
      </w:pPr>
    </w:p>
    <w:p w14:paraId="31717516" w14:textId="77777777" w:rsidR="00730B0F" w:rsidRPr="00AF740D" w:rsidRDefault="00730B0F" w:rsidP="00730B0F">
      <w:pPr>
        <w:spacing w:after="0"/>
        <w:rPr>
          <w:rFonts w:ascii="Arial" w:hAnsi="Arial" w:cs="Arial"/>
          <w:bCs/>
          <w:sz w:val="24"/>
          <w:szCs w:val="24"/>
        </w:rPr>
      </w:pPr>
      <w:r w:rsidRPr="00AF740D">
        <w:rPr>
          <w:rFonts w:ascii="Arial" w:hAnsi="Arial" w:cs="Arial"/>
          <w:bCs/>
          <w:sz w:val="24"/>
          <w:szCs w:val="24"/>
        </w:rPr>
        <w:t>OEB staff notes that Halton Hills Hydro has included an Account 1589 2020 principal adjustment of a credit of $349,978 in Tab GA 2020 and Tab Principal Adjustments of the 2022 IRM GA Analysis Workform</w:t>
      </w:r>
      <w:r>
        <w:rPr>
          <w:rFonts w:ascii="Arial" w:hAnsi="Arial" w:cs="Arial"/>
          <w:bCs/>
          <w:sz w:val="24"/>
          <w:szCs w:val="24"/>
        </w:rPr>
        <w:t xml:space="preserve"> and the 2022 IRM Rate Generator Model</w:t>
      </w:r>
      <w:r w:rsidRPr="00AF740D">
        <w:rPr>
          <w:rFonts w:ascii="Arial" w:hAnsi="Arial" w:cs="Arial"/>
          <w:bCs/>
          <w:sz w:val="24"/>
          <w:szCs w:val="24"/>
        </w:rPr>
        <w:t xml:space="preserve"> </w:t>
      </w:r>
      <w:r>
        <w:rPr>
          <w:rFonts w:ascii="Arial" w:hAnsi="Arial" w:cs="Arial"/>
          <w:bCs/>
          <w:sz w:val="24"/>
          <w:szCs w:val="24"/>
        </w:rPr>
        <w:t xml:space="preserve">However, </w:t>
      </w:r>
      <w:r w:rsidRPr="00AF740D">
        <w:rPr>
          <w:rFonts w:ascii="Arial" w:hAnsi="Arial" w:cs="Arial"/>
          <w:bCs/>
          <w:sz w:val="24"/>
          <w:szCs w:val="24"/>
        </w:rPr>
        <w:t>this is labeled as a reconciling item (and not a principal adjustment) in Tab GA 2020 and missing from Tab Principal Adjustments of the 2023 IRM GA Analysis Workform</w:t>
      </w:r>
      <w:r>
        <w:rPr>
          <w:rFonts w:ascii="Arial" w:hAnsi="Arial" w:cs="Arial"/>
          <w:bCs/>
          <w:sz w:val="24"/>
          <w:szCs w:val="24"/>
        </w:rPr>
        <w:t xml:space="preserve"> and the 2023 IRM Rate Generator Model</w:t>
      </w:r>
      <w:r w:rsidRPr="00AF740D">
        <w:rPr>
          <w:rFonts w:ascii="Arial" w:hAnsi="Arial" w:cs="Arial"/>
          <w:bCs/>
          <w:sz w:val="24"/>
          <w:szCs w:val="24"/>
        </w:rPr>
        <w:t>.</w:t>
      </w:r>
    </w:p>
    <w:p w14:paraId="68A5906D" w14:textId="77777777" w:rsidR="00730B0F" w:rsidRPr="00AF740D" w:rsidRDefault="00730B0F" w:rsidP="00730B0F">
      <w:pPr>
        <w:spacing w:after="0"/>
        <w:rPr>
          <w:rFonts w:ascii="Arial" w:hAnsi="Arial" w:cs="Arial"/>
          <w:bCs/>
          <w:sz w:val="24"/>
          <w:szCs w:val="24"/>
        </w:rPr>
      </w:pPr>
    </w:p>
    <w:p w14:paraId="32A291B8" w14:textId="77777777" w:rsidR="00730B0F" w:rsidRPr="00AF740D" w:rsidRDefault="00730B0F" w:rsidP="00730B0F">
      <w:pPr>
        <w:spacing w:after="0"/>
        <w:rPr>
          <w:rFonts w:ascii="Arial" w:hAnsi="Arial" w:cs="Arial"/>
          <w:bCs/>
          <w:sz w:val="24"/>
          <w:szCs w:val="24"/>
        </w:rPr>
      </w:pPr>
      <w:r w:rsidRPr="00AF740D">
        <w:rPr>
          <w:rFonts w:ascii="Arial" w:hAnsi="Arial" w:cs="Arial"/>
          <w:bCs/>
          <w:sz w:val="24"/>
          <w:szCs w:val="24"/>
        </w:rPr>
        <w:t>OEB staff also notes that Halton Hills Hydro has included an Account 1588 2020 principal adjustment of a debit of $349,978 in Tab Account 1588 Reasonability and Tab Principal Adjustments of the 2022 IRM GA Analysis Workform</w:t>
      </w:r>
      <w:r>
        <w:rPr>
          <w:rFonts w:ascii="Arial" w:hAnsi="Arial" w:cs="Arial"/>
          <w:bCs/>
          <w:sz w:val="24"/>
          <w:szCs w:val="24"/>
        </w:rPr>
        <w:t xml:space="preserve"> and the 2022 IRM Rate Generator Model.</w:t>
      </w:r>
      <w:r w:rsidRPr="00AF740D">
        <w:rPr>
          <w:rFonts w:ascii="Arial" w:hAnsi="Arial" w:cs="Arial"/>
          <w:bCs/>
          <w:sz w:val="24"/>
          <w:szCs w:val="24"/>
        </w:rPr>
        <w:t xml:space="preserve"> </w:t>
      </w:r>
      <w:r>
        <w:rPr>
          <w:rFonts w:ascii="Arial" w:hAnsi="Arial" w:cs="Arial"/>
          <w:bCs/>
          <w:sz w:val="24"/>
          <w:szCs w:val="24"/>
        </w:rPr>
        <w:t xml:space="preserve">However, </w:t>
      </w:r>
      <w:r w:rsidRPr="00AF740D">
        <w:rPr>
          <w:rFonts w:ascii="Arial" w:hAnsi="Arial" w:cs="Arial"/>
          <w:bCs/>
          <w:sz w:val="24"/>
          <w:szCs w:val="24"/>
        </w:rPr>
        <w:t>this is missing from Tab Account 1588 Reasonability and Tab Principal Adjustments of the 2023 IRM GA Analysis Workform</w:t>
      </w:r>
      <w:r>
        <w:rPr>
          <w:rFonts w:ascii="Arial" w:hAnsi="Arial" w:cs="Arial"/>
          <w:bCs/>
          <w:sz w:val="24"/>
          <w:szCs w:val="24"/>
        </w:rPr>
        <w:t xml:space="preserve"> and the 2023 IRM Rate Generator Model</w:t>
      </w:r>
      <w:r w:rsidRPr="00AF740D">
        <w:rPr>
          <w:rFonts w:ascii="Arial" w:hAnsi="Arial" w:cs="Arial"/>
          <w:bCs/>
          <w:sz w:val="24"/>
          <w:szCs w:val="24"/>
        </w:rPr>
        <w:t>.</w:t>
      </w:r>
    </w:p>
    <w:p w14:paraId="21BD1DCE" w14:textId="77777777" w:rsidR="00730B0F" w:rsidRPr="00AF740D" w:rsidRDefault="00730B0F" w:rsidP="00730B0F">
      <w:pPr>
        <w:spacing w:after="0"/>
        <w:rPr>
          <w:rFonts w:ascii="Arial" w:hAnsi="Arial" w:cs="Arial"/>
          <w:b/>
          <w:bCs/>
          <w:sz w:val="24"/>
          <w:szCs w:val="24"/>
        </w:rPr>
      </w:pPr>
    </w:p>
    <w:p w14:paraId="6F2D3921"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Questions:</w:t>
      </w:r>
    </w:p>
    <w:p w14:paraId="34F5AA43" w14:textId="77777777" w:rsidR="00730B0F" w:rsidRPr="00AF740D" w:rsidRDefault="00730B0F" w:rsidP="00730B0F">
      <w:pPr>
        <w:spacing w:after="0"/>
        <w:rPr>
          <w:rFonts w:ascii="Arial" w:hAnsi="Arial" w:cs="Arial"/>
          <w:bCs/>
          <w:sz w:val="24"/>
          <w:szCs w:val="24"/>
        </w:rPr>
      </w:pPr>
    </w:p>
    <w:p w14:paraId="4F91AF2B" w14:textId="77777777" w:rsidR="00730B0F" w:rsidRPr="00AF740D" w:rsidRDefault="00730B0F" w:rsidP="00730B0F">
      <w:pPr>
        <w:pStyle w:val="ListParagraph"/>
        <w:numPr>
          <w:ilvl w:val="0"/>
          <w:numId w:val="27"/>
        </w:numPr>
        <w:spacing w:after="0" w:line="276" w:lineRule="auto"/>
        <w:rPr>
          <w:bCs/>
          <w:sz w:val="24"/>
          <w:szCs w:val="24"/>
        </w:rPr>
      </w:pPr>
      <w:r w:rsidRPr="00AF740D">
        <w:rPr>
          <w:bCs/>
          <w:sz w:val="24"/>
          <w:szCs w:val="24"/>
        </w:rPr>
        <w:lastRenderedPageBreak/>
        <w:t>Please explain why Halton Hills Hydro has included an Account 1589 2020 principal adjustment of a credit of $349,978 in Tab GA 2020 and Tab Principal Adjustments of the 2022 IRM GA Analysis Workform</w:t>
      </w:r>
      <w:r>
        <w:rPr>
          <w:bCs/>
          <w:sz w:val="24"/>
          <w:szCs w:val="24"/>
        </w:rPr>
        <w:t xml:space="preserve"> (and the 2022 IRM Rate Generator Model)</w:t>
      </w:r>
      <w:r w:rsidRPr="00AF740D">
        <w:rPr>
          <w:bCs/>
          <w:sz w:val="24"/>
          <w:szCs w:val="24"/>
        </w:rPr>
        <w:t>, but this is labeled as a reconciling item (and not a principal adjustment) in Tab GA 2020 and missing from Tab Principal Adjustments of the 2023 IRM GA Analysis Workform</w:t>
      </w:r>
      <w:r>
        <w:rPr>
          <w:bCs/>
          <w:sz w:val="24"/>
          <w:szCs w:val="24"/>
        </w:rPr>
        <w:t xml:space="preserve"> (and the 2023 IRM Rate Generator Model)</w:t>
      </w:r>
      <w:r w:rsidRPr="00AF740D">
        <w:rPr>
          <w:bCs/>
          <w:sz w:val="24"/>
          <w:szCs w:val="24"/>
        </w:rPr>
        <w:t>.</w:t>
      </w:r>
    </w:p>
    <w:p w14:paraId="22F9F4DE" w14:textId="304D770C" w:rsidR="00730B0F" w:rsidRPr="00AF740D" w:rsidRDefault="00730B0F" w:rsidP="00730B0F">
      <w:pPr>
        <w:pStyle w:val="ListParagraph"/>
        <w:numPr>
          <w:ilvl w:val="0"/>
          <w:numId w:val="27"/>
        </w:numPr>
        <w:spacing w:after="0" w:line="276" w:lineRule="auto"/>
        <w:rPr>
          <w:bCs/>
          <w:sz w:val="24"/>
          <w:szCs w:val="24"/>
        </w:rPr>
      </w:pPr>
      <w:r w:rsidRPr="00AF740D">
        <w:rPr>
          <w:bCs/>
          <w:sz w:val="24"/>
          <w:szCs w:val="24"/>
        </w:rPr>
        <w:t>Please explain why this amount is not reversed as an Account 1589 2021</w:t>
      </w:r>
      <w:r w:rsidR="00F17699">
        <w:rPr>
          <w:bCs/>
          <w:sz w:val="24"/>
          <w:szCs w:val="24"/>
        </w:rPr>
        <w:t>.</w:t>
      </w:r>
      <w:r w:rsidRPr="00AF740D">
        <w:rPr>
          <w:bCs/>
          <w:sz w:val="24"/>
          <w:szCs w:val="24"/>
        </w:rPr>
        <w:t xml:space="preserve"> principal adjustment in the 2023 GA Analysis Workform (Tab GA 2021 and Tab Principal Adjustments) and the 2023 IRM Rate Generator Model (Tab 3).</w:t>
      </w:r>
    </w:p>
    <w:p w14:paraId="6A339FDE" w14:textId="0EAE7362" w:rsidR="00730B0F" w:rsidRPr="00AF740D" w:rsidRDefault="00730B0F" w:rsidP="00730B0F">
      <w:pPr>
        <w:pStyle w:val="ListParagraph"/>
        <w:numPr>
          <w:ilvl w:val="0"/>
          <w:numId w:val="27"/>
        </w:numPr>
        <w:spacing w:after="0" w:line="276" w:lineRule="auto"/>
        <w:rPr>
          <w:bCs/>
          <w:sz w:val="24"/>
          <w:szCs w:val="24"/>
        </w:rPr>
      </w:pPr>
      <w:r w:rsidRPr="00AF740D">
        <w:rPr>
          <w:bCs/>
          <w:sz w:val="24"/>
          <w:szCs w:val="24"/>
        </w:rPr>
        <w:t>Please explain why Halton Hills Hydro has included an Account 1588 2020 principal adjustment of a debit of $349,978 in Tab Account 1588 Reasonability and Tab Principal Adjustments of the 2022 IRM GA Analysis Workform</w:t>
      </w:r>
      <w:r>
        <w:rPr>
          <w:bCs/>
          <w:sz w:val="24"/>
          <w:szCs w:val="24"/>
        </w:rPr>
        <w:t xml:space="preserve"> (and the 2022 IRM Rate Generator Model)</w:t>
      </w:r>
      <w:r w:rsidRPr="00AF740D">
        <w:rPr>
          <w:bCs/>
          <w:sz w:val="24"/>
          <w:szCs w:val="24"/>
        </w:rPr>
        <w:t>, but this is missing from Tab Account 1588 Reasonability and Tab Principal Adjustments of the 2023 IRM GA Analysis Workform</w:t>
      </w:r>
      <w:r>
        <w:rPr>
          <w:bCs/>
          <w:sz w:val="24"/>
          <w:szCs w:val="24"/>
        </w:rPr>
        <w:t xml:space="preserve"> (and the 2023 IRM Rate Generator Model)</w:t>
      </w:r>
      <w:r w:rsidRPr="00AF740D">
        <w:rPr>
          <w:bCs/>
          <w:sz w:val="24"/>
          <w:szCs w:val="24"/>
        </w:rPr>
        <w:t>.</w:t>
      </w:r>
    </w:p>
    <w:p w14:paraId="598902D4" w14:textId="77777777" w:rsidR="00730B0F" w:rsidRPr="00AF740D" w:rsidRDefault="00730B0F" w:rsidP="00730B0F">
      <w:pPr>
        <w:pStyle w:val="ListParagraph"/>
        <w:numPr>
          <w:ilvl w:val="0"/>
          <w:numId w:val="27"/>
        </w:numPr>
        <w:spacing w:after="0" w:line="276" w:lineRule="auto"/>
        <w:rPr>
          <w:bCs/>
          <w:sz w:val="24"/>
          <w:szCs w:val="24"/>
        </w:rPr>
      </w:pPr>
      <w:r w:rsidRPr="00AF740D">
        <w:rPr>
          <w:bCs/>
          <w:sz w:val="24"/>
          <w:szCs w:val="24"/>
        </w:rPr>
        <w:t>Please explain why this amount is not reversed as an Account 1588 2021 principal adjustment in the 2023 GA Analysis Workform (Tab Account 1588 Reasonability and Tab Principal Adjustments) and the 2023 IRM Rate Generator Model (Tab 3).</w:t>
      </w:r>
    </w:p>
    <w:p w14:paraId="783E7087" w14:textId="77777777" w:rsidR="00730B0F" w:rsidRPr="00AF740D" w:rsidRDefault="00730B0F" w:rsidP="00730B0F">
      <w:pPr>
        <w:pStyle w:val="ListParagraph"/>
        <w:spacing w:after="0" w:line="276" w:lineRule="auto"/>
        <w:rPr>
          <w:bCs/>
          <w:sz w:val="24"/>
          <w:szCs w:val="24"/>
        </w:rPr>
      </w:pPr>
    </w:p>
    <w:p w14:paraId="0E6FF25E" w14:textId="013C782B"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14</w:t>
      </w:r>
    </w:p>
    <w:p w14:paraId="77B1B56B" w14:textId="77777777" w:rsidR="00730B0F" w:rsidRPr="00AF740D" w:rsidRDefault="00730B0F" w:rsidP="00730B0F">
      <w:pPr>
        <w:spacing w:after="0"/>
        <w:rPr>
          <w:rFonts w:ascii="Arial" w:hAnsi="Arial" w:cs="Arial"/>
          <w:b/>
          <w:bCs/>
          <w:sz w:val="24"/>
          <w:szCs w:val="24"/>
        </w:rPr>
      </w:pPr>
    </w:p>
    <w:p w14:paraId="7789CFB1"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Global Adjustment Analysis Workform, November 11, 2022</w:t>
      </w:r>
    </w:p>
    <w:p w14:paraId="7CF1A305" w14:textId="77777777" w:rsidR="00730B0F" w:rsidRPr="00AF740D" w:rsidRDefault="00730B0F" w:rsidP="00730B0F">
      <w:pPr>
        <w:spacing w:after="0"/>
        <w:rPr>
          <w:rFonts w:ascii="Arial" w:hAnsi="Arial" w:cs="Arial"/>
          <w:b/>
          <w:bCs/>
          <w:sz w:val="24"/>
          <w:szCs w:val="24"/>
        </w:rPr>
      </w:pPr>
      <w:r w:rsidRPr="00AF740D">
        <w:rPr>
          <w:rFonts w:ascii="Arial" w:hAnsi="Arial" w:cs="Arial"/>
          <w:b/>
          <w:bCs/>
          <w:sz w:val="24"/>
          <w:szCs w:val="24"/>
        </w:rPr>
        <w:t>Ref: Manager’s Summary, p. 6, November 11, 2022</w:t>
      </w:r>
    </w:p>
    <w:p w14:paraId="5D080268" w14:textId="77777777" w:rsidR="00730B0F" w:rsidRPr="00AF740D" w:rsidRDefault="00730B0F" w:rsidP="00730B0F">
      <w:pPr>
        <w:spacing w:after="0"/>
        <w:rPr>
          <w:rFonts w:ascii="Arial" w:hAnsi="Arial" w:cs="Arial"/>
          <w:b/>
          <w:sz w:val="24"/>
          <w:szCs w:val="24"/>
        </w:rPr>
      </w:pPr>
    </w:p>
    <w:p w14:paraId="175138E9" w14:textId="77777777" w:rsidR="00730B0F" w:rsidRPr="00AF740D" w:rsidRDefault="00730B0F" w:rsidP="00730B0F">
      <w:pPr>
        <w:spacing w:after="0"/>
        <w:rPr>
          <w:rFonts w:ascii="Arial" w:hAnsi="Arial" w:cs="Arial"/>
          <w:bCs/>
          <w:sz w:val="24"/>
          <w:szCs w:val="24"/>
        </w:rPr>
      </w:pPr>
      <w:r w:rsidRPr="00AF740D">
        <w:rPr>
          <w:rFonts w:ascii="Arial" w:hAnsi="Arial" w:cs="Arial"/>
          <w:bCs/>
          <w:sz w:val="24"/>
          <w:szCs w:val="24"/>
        </w:rPr>
        <w:t>Halton Hills Hydro provided an explanation of why the 2020 Account 1588 Reasonability Tab “Account 1588 as % of Account 4705”, cell G19, of -3.2% is greater than the threshold of +/- 1%. Halton Hills Hydro’s explanation resulted in a revised cell G19 of -0.01%, including the following adjustments to both the 2020 principal adjustments and the 2020 Account 4705:</w:t>
      </w:r>
    </w:p>
    <w:p w14:paraId="2200F00E" w14:textId="77777777" w:rsidR="00730B0F" w:rsidRPr="00AF740D" w:rsidRDefault="00730B0F" w:rsidP="00730B0F">
      <w:pPr>
        <w:spacing w:after="0"/>
        <w:rPr>
          <w:rFonts w:ascii="Arial" w:hAnsi="Arial" w:cs="Arial"/>
          <w:bCs/>
          <w:sz w:val="24"/>
          <w:szCs w:val="24"/>
        </w:rPr>
      </w:pPr>
    </w:p>
    <w:p w14:paraId="1905FF69" w14:textId="77777777" w:rsidR="00730B0F" w:rsidRPr="00AF740D" w:rsidRDefault="00730B0F" w:rsidP="00730B0F">
      <w:pPr>
        <w:pStyle w:val="ListParagraph"/>
        <w:numPr>
          <w:ilvl w:val="0"/>
          <w:numId w:val="28"/>
        </w:numPr>
        <w:spacing w:after="0" w:line="276" w:lineRule="auto"/>
        <w:rPr>
          <w:bCs/>
          <w:sz w:val="24"/>
          <w:szCs w:val="24"/>
        </w:rPr>
      </w:pPr>
      <w:r w:rsidRPr="00AF740D">
        <w:rPr>
          <w:bCs/>
          <w:sz w:val="24"/>
          <w:szCs w:val="24"/>
        </w:rPr>
        <w:t>An addition of $1,491,431 related to 2017 true-ups (although Halton Hills Hydro stated a “reduction” in its explanation)</w:t>
      </w:r>
    </w:p>
    <w:p w14:paraId="16242D13" w14:textId="77777777" w:rsidR="00730B0F" w:rsidRPr="00AF740D" w:rsidRDefault="00730B0F" w:rsidP="00730B0F">
      <w:pPr>
        <w:pStyle w:val="ListParagraph"/>
        <w:numPr>
          <w:ilvl w:val="0"/>
          <w:numId w:val="28"/>
        </w:numPr>
        <w:spacing w:after="0" w:line="276" w:lineRule="auto"/>
        <w:rPr>
          <w:bCs/>
          <w:sz w:val="24"/>
          <w:szCs w:val="24"/>
        </w:rPr>
      </w:pPr>
      <w:r w:rsidRPr="00AF740D">
        <w:rPr>
          <w:bCs/>
          <w:sz w:val="24"/>
          <w:szCs w:val="24"/>
        </w:rPr>
        <w:t>An addition of $233,233 related to 2018 true-ups (although Halton Hills Hydro stated a “reduction” in its explanation)</w:t>
      </w:r>
    </w:p>
    <w:p w14:paraId="04E1E1C9" w14:textId="77777777" w:rsidR="00730B0F" w:rsidRPr="00AF740D" w:rsidRDefault="00730B0F" w:rsidP="00730B0F">
      <w:pPr>
        <w:pStyle w:val="ListParagraph"/>
        <w:numPr>
          <w:ilvl w:val="0"/>
          <w:numId w:val="28"/>
        </w:numPr>
        <w:spacing w:after="0" w:line="276" w:lineRule="auto"/>
        <w:rPr>
          <w:bCs/>
          <w:sz w:val="24"/>
          <w:szCs w:val="24"/>
        </w:rPr>
      </w:pPr>
      <w:r w:rsidRPr="00AF740D">
        <w:rPr>
          <w:bCs/>
          <w:sz w:val="24"/>
          <w:szCs w:val="24"/>
        </w:rPr>
        <w:t>A reduction of $554,961 related to 2019 true-ups</w:t>
      </w:r>
    </w:p>
    <w:p w14:paraId="689F921E" w14:textId="77777777" w:rsidR="00730B0F" w:rsidRPr="00AF740D" w:rsidRDefault="00730B0F" w:rsidP="00730B0F">
      <w:pPr>
        <w:spacing w:after="0"/>
        <w:rPr>
          <w:rFonts w:ascii="Arial" w:hAnsi="Arial" w:cs="Arial"/>
          <w:bCs/>
          <w:sz w:val="24"/>
          <w:szCs w:val="24"/>
        </w:rPr>
      </w:pPr>
    </w:p>
    <w:p w14:paraId="4CB56848" w14:textId="77777777" w:rsidR="00730B0F" w:rsidRPr="00AF740D" w:rsidRDefault="00730B0F" w:rsidP="00730B0F">
      <w:pPr>
        <w:spacing w:after="0"/>
        <w:rPr>
          <w:rFonts w:ascii="Arial" w:hAnsi="Arial" w:cs="Arial"/>
          <w:sz w:val="24"/>
          <w:szCs w:val="24"/>
        </w:rPr>
      </w:pPr>
      <w:r w:rsidRPr="00AF740D">
        <w:rPr>
          <w:rFonts w:ascii="Arial" w:hAnsi="Arial" w:cs="Arial"/>
          <w:sz w:val="24"/>
          <w:szCs w:val="24"/>
        </w:rPr>
        <w:t xml:space="preserve">OEB staff has prepared the following table which shows the calculations that support Halton Hills Hydro’s explanation at cell B66 of the Tab Account 1588 Reasonability of </w:t>
      </w:r>
      <w:r w:rsidRPr="00AF740D">
        <w:rPr>
          <w:rFonts w:ascii="Arial" w:hAnsi="Arial" w:cs="Arial"/>
          <w:sz w:val="24"/>
          <w:szCs w:val="24"/>
        </w:rPr>
        <w:lastRenderedPageBreak/>
        <w:t>the 2023 IRM GA Analysis Workform, as well as the Manager’s Summary, including Halton Hills Hydro’s pro-forma adjustments included as part of its explanation.</w:t>
      </w:r>
    </w:p>
    <w:p w14:paraId="666E74C3" w14:textId="77777777" w:rsidR="00730B0F" w:rsidRPr="00AF740D" w:rsidRDefault="00730B0F" w:rsidP="00730B0F">
      <w:pPr>
        <w:spacing w:after="0"/>
        <w:rPr>
          <w:rFonts w:ascii="Arial" w:hAnsi="Arial" w:cs="Arial"/>
          <w:sz w:val="24"/>
          <w:szCs w:val="24"/>
        </w:rPr>
      </w:pPr>
    </w:p>
    <w:p w14:paraId="3CB2004C" w14:textId="10DAC77C" w:rsidR="00730B0F" w:rsidRDefault="00730B0F" w:rsidP="00730B0F">
      <w:pPr>
        <w:spacing w:after="0"/>
        <w:jc w:val="center"/>
        <w:rPr>
          <w:rFonts w:ascii="Arial" w:hAnsi="Arial" w:cs="Arial"/>
          <w:b/>
          <w:sz w:val="24"/>
          <w:szCs w:val="24"/>
        </w:rPr>
      </w:pPr>
      <w:r w:rsidRPr="00AF740D">
        <w:rPr>
          <w:rFonts w:ascii="Arial" w:hAnsi="Arial" w:cs="Arial"/>
          <w:b/>
          <w:sz w:val="24"/>
          <w:szCs w:val="24"/>
        </w:rPr>
        <w:t>Table 7</w:t>
      </w:r>
      <w:r w:rsidR="004A541F">
        <w:rPr>
          <w:rFonts w:ascii="Arial" w:hAnsi="Arial" w:cs="Arial"/>
          <w:b/>
          <w:sz w:val="24"/>
          <w:szCs w:val="24"/>
        </w:rPr>
        <w:t xml:space="preserve"> – </w:t>
      </w:r>
      <w:r w:rsidRPr="00AF740D">
        <w:rPr>
          <w:rFonts w:ascii="Arial" w:hAnsi="Arial" w:cs="Arial"/>
          <w:b/>
          <w:sz w:val="24"/>
          <w:szCs w:val="24"/>
        </w:rPr>
        <w:t xml:space="preserve">Pro-Forma Adjustments to </w:t>
      </w:r>
      <w:r>
        <w:rPr>
          <w:rFonts w:ascii="Arial" w:hAnsi="Arial" w:cs="Arial"/>
          <w:b/>
          <w:sz w:val="24"/>
          <w:szCs w:val="24"/>
        </w:rPr>
        <w:t xml:space="preserve">the </w:t>
      </w:r>
      <w:r w:rsidRPr="00AF740D">
        <w:rPr>
          <w:rFonts w:ascii="Arial" w:hAnsi="Arial" w:cs="Arial"/>
          <w:b/>
          <w:sz w:val="24"/>
          <w:szCs w:val="24"/>
        </w:rPr>
        <w:t>2023 IRM GA Analysis Workform</w:t>
      </w:r>
      <w:r>
        <w:rPr>
          <w:rFonts w:ascii="Arial" w:hAnsi="Arial" w:cs="Arial"/>
          <w:b/>
          <w:sz w:val="24"/>
          <w:szCs w:val="24"/>
        </w:rPr>
        <w:t xml:space="preserve"> – </w:t>
      </w:r>
    </w:p>
    <w:p w14:paraId="13C2374F" w14:textId="77777777" w:rsidR="00730B0F" w:rsidRPr="00AF740D" w:rsidRDefault="00730B0F" w:rsidP="00730B0F">
      <w:pPr>
        <w:spacing w:after="0"/>
        <w:jc w:val="center"/>
        <w:rPr>
          <w:rFonts w:ascii="Arial" w:hAnsi="Arial" w:cs="Arial"/>
          <w:b/>
          <w:sz w:val="24"/>
          <w:szCs w:val="24"/>
        </w:rPr>
      </w:pPr>
      <w:r w:rsidRPr="00AF740D">
        <w:rPr>
          <w:rFonts w:ascii="Arial" w:hAnsi="Arial" w:cs="Arial"/>
          <w:b/>
          <w:sz w:val="24"/>
          <w:szCs w:val="24"/>
        </w:rPr>
        <w:t>Tab Account 1588 Reasonability</w:t>
      </w:r>
    </w:p>
    <w:p w14:paraId="1CD0810E" w14:textId="77777777" w:rsidR="00730B0F" w:rsidRPr="00266A24" w:rsidRDefault="00730B0F" w:rsidP="00730B0F">
      <w:pPr>
        <w:spacing w:after="0"/>
        <w:rPr>
          <w:rFonts w:ascii="Arial" w:hAnsi="Arial" w:cs="Arial"/>
          <w:b/>
          <w:sz w:val="20"/>
          <w:szCs w:val="20"/>
        </w:rPr>
      </w:pPr>
    </w:p>
    <w:tbl>
      <w:tblPr>
        <w:tblStyle w:val="TableGrid"/>
        <w:tblW w:w="0" w:type="auto"/>
        <w:tblLayout w:type="fixed"/>
        <w:tblLook w:val="04A0" w:firstRow="1" w:lastRow="0" w:firstColumn="1" w:lastColumn="0" w:noHBand="0" w:noVBand="1"/>
      </w:tblPr>
      <w:tblGrid>
        <w:gridCol w:w="1705"/>
        <w:gridCol w:w="1080"/>
        <w:gridCol w:w="1530"/>
        <w:gridCol w:w="1440"/>
        <w:gridCol w:w="1260"/>
        <w:gridCol w:w="1260"/>
        <w:gridCol w:w="1075"/>
      </w:tblGrid>
      <w:tr w:rsidR="00730B0F" w:rsidRPr="00266A24" w14:paraId="0B29467F" w14:textId="77777777" w:rsidTr="003B0A59">
        <w:trPr>
          <w:trHeight w:val="972"/>
        </w:trPr>
        <w:tc>
          <w:tcPr>
            <w:tcW w:w="1705" w:type="dxa"/>
            <w:noWrap/>
            <w:hideMark/>
          </w:tcPr>
          <w:p w14:paraId="05F3C823" w14:textId="77777777" w:rsidR="00730B0F" w:rsidRPr="00266A24" w:rsidRDefault="00730B0F" w:rsidP="003B0A59">
            <w:pPr>
              <w:spacing w:line="276" w:lineRule="auto"/>
              <w:jc w:val="right"/>
              <w:rPr>
                <w:rFonts w:ascii="Arial" w:hAnsi="Arial" w:cs="Arial"/>
                <w:b/>
                <w:sz w:val="20"/>
                <w:szCs w:val="20"/>
              </w:rPr>
            </w:pPr>
          </w:p>
        </w:tc>
        <w:tc>
          <w:tcPr>
            <w:tcW w:w="1080" w:type="dxa"/>
            <w:noWrap/>
            <w:hideMark/>
          </w:tcPr>
          <w:p w14:paraId="74519637"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Account</w:t>
            </w:r>
          </w:p>
        </w:tc>
        <w:tc>
          <w:tcPr>
            <w:tcW w:w="1530" w:type="dxa"/>
            <w:hideMark/>
          </w:tcPr>
          <w:p w14:paraId="78FCC253"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2020 Transactions</w:t>
            </w:r>
          </w:p>
        </w:tc>
        <w:tc>
          <w:tcPr>
            <w:tcW w:w="1440" w:type="dxa"/>
            <w:hideMark/>
          </w:tcPr>
          <w:p w14:paraId="13B7DE38"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2020 Principal Adjustments</w:t>
            </w:r>
          </w:p>
        </w:tc>
        <w:tc>
          <w:tcPr>
            <w:tcW w:w="1260" w:type="dxa"/>
            <w:hideMark/>
          </w:tcPr>
          <w:p w14:paraId="0FD4CBC2"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 xml:space="preserve">2020 Net Activity </w:t>
            </w:r>
          </w:p>
        </w:tc>
        <w:tc>
          <w:tcPr>
            <w:tcW w:w="1260" w:type="dxa"/>
            <w:hideMark/>
          </w:tcPr>
          <w:p w14:paraId="71999AE7"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2020 Account 4705</w:t>
            </w:r>
          </w:p>
        </w:tc>
        <w:tc>
          <w:tcPr>
            <w:tcW w:w="1075" w:type="dxa"/>
            <w:hideMark/>
          </w:tcPr>
          <w:p w14:paraId="2CD8906C" w14:textId="77777777" w:rsidR="00730B0F" w:rsidRPr="00266A24" w:rsidRDefault="00730B0F" w:rsidP="003B0A59">
            <w:pPr>
              <w:spacing w:line="276" w:lineRule="auto"/>
              <w:jc w:val="right"/>
              <w:rPr>
                <w:rFonts w:ascii="Arial" w:hAnsi="Arial" w:cs="Arial"/>
                <w:b/>
                <w:sz w:val="20"/>
                <w:szCs w:val="20"/>
              </w:rPr>
            </w:pPr>
            <w:r w:rsidRPr="00266A24">
              <w:rPr>
                <w:rFonts w:ascii="Arial" w:hAnsi="Arial" w:cs="Arial"/>
                <w:b/>
                <w:sz w:val="20"/>
                <w:szCs w:val="20"/>
              </w:rPr>
              <w:t>2020 Account 1588 as % of Account 4705</w:t>
            </w:r>
          </w:p>
        </w:tc>
      </w:tr>
      <w:tr w:rsidR="00730B0F" w:rsidRPr="00266A24" w14:paraId="041C83B8" w14:textId="77777777" w:rsidTr="003B0A59">
        <w:trPr>
          <w:trHeight w:val="1152"/>
        </w:trPr>
        <w:tc>
          <w:tcPr>
            <w:tcW w:w="1705" w:type="dxa"/>
            <w:hideMark/>
          </w:tcPr>
          <w:p w14:paraId="49821FA6"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2023 IRM GA Analysis Workform - Tab Account 1588 Reasonability</w:t>
            </w:r>
          </w:p>
        </w:tc>
        <w:tc>
          <w:tcPr>
            <w:tcW w:w="1080" w:type="dxa"/>
            <w:noWrap/>
            <w:hideMark/>
          </w:tcPr>
          <w:p w14:paraId="2004EEE9"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784E1EAF"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(2,649,128)</w:t>
            </w:r>
          </w:p>
        </w:tc>
        <w:tc>
          <w:tcPr>
            <w:tcW w:w="1440" w:type="dxa"/>
            <w:noWrap/>
            <w:hideMark/>
          </w:tcPr>
          <w:p w14:paraId="67FC08B2"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1,476,750 </w:t>
            </w:r>
          </w:p>
        </w:tc>
        <w:tc>
          <w:tcPr>
            <w:tcW w:w="1260" w:type="dxa"/>
            <w:noWrap/>
            <w:hideMark/>
          </w:tcPr>
          <w:p w14:paraId="4AE68EDF"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(1,172,378)</w:t>
            </w:r>
          </w:p>
        </w:tc>
        <w:tc>
          <w:tcPr>
            <w:tcW w:w="1260" w:type="dxa"/>
            <w:noWrap/>
            <w:hideMark/>
          </w:tcPr>
          <w:p w14:paraId="0A03E4AC"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36,876,214 </w:t>
            </w:r>
          </w:p>
        </w:tc>
        <w:tc>
          <w:tcPr>
            <w:tcW w:w="1075" w:type="dxa"/>
            <w:noWrap/>
            <w:hideMark/>
          </w:tcPr>
          <w:p w14:paraId="52683DED"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-3.18%</w:t>
            </w:r>
          </w:p>
        </w:tc>
      </w:tr>
      <w:tr w:rsidR="00730B0F" w:rsidRPr="00266A24" w14:paraId="7E4C5F6C" w14:textId="77777777" w:rsidTr="003B0A59">
        <w:trPr>
          <w:trHeight w:val="288"/>
        </w:trPr>
        <w:tc>
          <w:tcPr>
            <w:tcW w:w="1705" w:type="dxa"/>
            <w:noWrap/>
            <w:hideMark/>
          </w:tcPr>
          <w:p w14:paraId="54F5DC6B"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Add: 2017 true-ups</w:t>
            </w:r>
          </w:p>
        </w:tc>
        <w:tc>
          <w:tcPr>
            <w:tcW w:w="1080" w:type="dxa"/>
            <w:noWrap/>
            <w:hideMark/>
          </w:tcPr>
          <w:p w14:paraId="7715E603"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1E25E592" w14:textId="77777777" w:rsidR="00730B0F" w:rsidRPr="00266A24" w:rsidRDefault="00730B0F" w:rsidP="003B0A59">
            <w:pPr>
              <w:spacing w:line="276" w:lineRule="auto"/>
              <w:jc w:val="right"/>
              <w:rPr>
                <w:rFonts w:ascii="Arial" w:hAnsi="Arial" w:cs="Arial"/>
                <w:bCs/>
                <w:sz w:val="20"/>
                <w:szCs w:val="20"/>
              </w:rPr>
            </w:pPr>
          </w:p>
        </w:tc>
        <w:tc>
          <w:tcPr>
            <w:tcW w:w="1440" w:type="dxa"/>
            <w:noWrap/>
            <w:hideMark/>
          </w:tcPr>
          <w:p w14:paraId="2EE4DBD8"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1,491,431</w:t>
            </w:r>
          </w:p>
        </w:tc>
        <w:tc>
          <w:tcPr>
            <w:tcW w:w="1260" w:type="dxa"/>
            <w:noWrap/>
            <w:hideMark/>
          </w:tcPr>
          <w:p w14:paraId="1CD2C417"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1,491,431</w:t>
            </w:r>
          </w:p>
        </w:tc>
        <w:tc>
          <w:tcPr>
            <w:tcW w:w="1260" w:type="dxa"/>
            <w:noWrap/>
            <w:hideMark/>
          </w:tcPr>
          <w:p w14:paraId="5CB958EE"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1,491,431 </w:t>
            </w:r>
          </w:p>
        </w:tc>
        <w:tc>
          <w:tcPr>
            <w:tcW w:w="1075" w:type="dxa"/>
            <w:noWrap/>
            <w:hideMark/>
          </w:tcPr>
          <w:p w14:paraId="4D95939A" w14:textId="77777777" w:rsidR="00730B0F" w:rsidRPr="00266A24" w:rsidRDefault="00730B0F" w:rsidP="003B0A59">
            <w:pPr>
              <w:spacing w:line="276" w:lineRule="auto"/>
              <w:jc w:val="right"/>
              <w:rPr>
                <w:rFonts w:ascii="Arial" w:hAnsi="Arial" w:cs="Arial"/>
                <w:bCs/>
                <w:sz w:val="20"/>
                <w:szCs w:val="20"/>
              </w:rPr>
            </w:pPr>
          </w:p>
        </w:tc>
      </w:tr>
      <w:tr w:rsidR="00730B0F" w:rsidRPr="00266A24" w14:paraId="17FE2621" w14:textId="77777777" w:rsidTr="003B0A59">
        <w:trPr>
          <w:trHeight w:val="288"/>
        </w:trPr>
        <w:tc>
          <w:tcPr>
            <w:tcW w:w="1705" w:type="dxa"/>
            <w:noWrap/>
            <w:hideMark/>
          </w:tcPr>
          <w:p w14:paraId="52F5A254"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Add: 2018 true-ups</w:t>
            </w:r>
          </w:p>
        </w:tc>
        <w:tc>
          <w:tcPr>
            <w:tcW w:w="1080" w:type="dxa"/>
            <w:noWrap/>
            <w:hideMark/>
          </w:tcPr>
          <w:p w14:paraId="3461402A"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11E76852"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w:t>
            </w:r>
          </w:p>
        </w:tc>
        <w:tc>
          <w:tcPr>
            <w:tcW w:w="1440" w:type="dxa"/>
            <w:noWrap/>
            <w:hideMark/>
          </w:tcPr>
          <w:p w14:paraId="7599DC31"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233,233</w:t>
            </w:r>
          </w:p>
        </w:tc>
        <w:tc>
          <w:tcPr>
            <w:tcW w:w="1260" w:type="dxa"/>
            <w:noWrap/>
            <w:hideMark/>
          </w:tcPr>
          <w:p w14:paraId="2AA12BCE"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233,233 </w:t>
            </w:r>
          </w:p>
        </w:tc>
        <w:tc>
          <w:tcPr>
            <w:tcW w:w="1260" w:type="dxa"/>
            <w:noWrap/>
            <w:hideMark/>
          </w:tcPr>
          <w:p w14:paraId="041A35D0"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233,233 </w:t>
            </w:r>
          </w:p>
        </w:tc>
        <w:tc>
          <w:tcPr>
            <w:tcW w:w="1075" w:type="dxa"/>
            <w:noWrap/>
            <w:hideMark/>
          </w:tcPr>
          <w:p w14:paraId="7C8F13F9"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w:t>
            </w:r>
          </w:p>
        </w:tc>
      </w:tr>
      <w:tr w:rsidR="00730B0F" w:rsidRPr="00266A24" w14:paraId="5AC8FE04" w14:textId="77777777" w:rsidTr="003B0A59">
        <w:trPr>
          <w:trHeight w:val="288"/>
        </w:trPr>
        <w:tc>
          <w:tcPr>
            <w:tcW w:w="1705" w:type="dxa"/>
            <w:noWrap/>
            <w:hideMark/>
          </w:tcPr>
          <w:p w14:paraId="0C097E68" w14:textId="77777777" w:rsidR="00730B0F" w:rsidRPr="00266A24" w:rsidRDefault="00730B0F" w:rsidP="003B0A59">
            <w:pPr>
              <w:spacing w:line="276" w:lineRule="auto"/>
              <w:jc w:val="right"/>
              <w:rPr>
                <w:rFonts w:ascii="Arial" w:hAnsi="Arial" w:cs="Arial"/>
                <w:bCs/>
                <w:sz w:val="20"/>
                <w:szCs w:val="20"/>
              </w:rPr>
            </w:pPr>
            <w:r>
              <w:rPr>
                <w:rFonts w:ascii="Arial" w:hAnsi="Arial" w:cs="Arial"/>
                <w:bCs/>
                <w:sz w:val="20"/>
                <w:szCs w:val="20"/>
              </w:rPr>
              <w:t>Sub-total</w:t>
            </w:r>
          </w:p>
        </w:tc>
        <w:tc>
          <w:tcPr>
            <w:tcW w:w="1080" w:type="dxa"/>
            <w:noWrap/>
            <w:hideMark/>
          </w:tcPr>
          <w:p w14:paraId="63431B05"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20707459"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(2,649,128)</w:t>
            </w:r>
          </w:p>
        </w:tc>
        <w:tc>
          <w:tcPr>
            <w:tcW w:w="1440" w:type="dxa"/>
            <w:noWrap/>
            <w:hideMark/>
          </w:tcPr>
          <w:p w14:paraId="152C3288"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3,201,414 </w:t>
            </w:r>
          </w:p>
        </w:tc>
        <w:tc>
          <w:tcPr>
            <w:tcW w:w="1260" w:type="dxa"/>
            <w:noWrap/>
            <w:hideMark/>
          </w:tcPr>
          <w:p w14:paraId="5B9B47B9"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552,286 </w:t>
            </w:r>
          </w:p>
        </w:tc>
        <w:tc>
          <w:tcPr>
            <w:tcW w:w="1260" w:type="dxa"/>
            <w:noWrap/>
            <w:hideMark/>
          </w:tcPr>
          <w:p w14:paraId="6F1B6683"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38,600,878 </w:t>
            </w:r>
          </w:p>
        </w:tc>
        <w:tc>
          <w:tcPr>
            <w:tcW w:w="1075" w:type="dxa"/>
            <w:noWrap/>
            <w:hideMark/>
          </w:tcPr>
          <w:p w14:paraId="0938956C"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1.43%</w:t>
            </w:r>
          </w:p>
        </w:tc>
      </w:tr>
      <w:tr w:rsidR="00730B0F" w:rsidRPr="00266A24" w14:paraId="02AFB429" w14:textId="77777777" w:rsidTr="003B0A59">
        <w:trPr>
          <w:trHeight w:val="288"/>
        </w:trPr>
        <w:tc>
          <w:tcPr>
            <w:tcW w:w="1705" w:type="dxa"/>
            <w:noWrap/>
            <w:hideMark/>
          </w:tcPr>
          <w:p w14:paraId="6BC5B89E"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Subtract: 2019 true-ups</w:t>
            </w:r>
          </w:p>
        </w:tc>
        <w:tc>
          <w:tcPr>
            <w:tcW w:w="1080" w:type="dxa"/>
            <w:noWrap/>
            <w:hideMark/>
          </w:tcPr>
          <w:p w14:paraId="1B486516"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435AAED2"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w:t>
            </w:r>
          </w:p>
        </w:tc>
        <w:tc>
          <w:tcPr>
            <w:tcW w:w="1440" w:type="dxa"/>
            <w:noWrap/>
            <w:hideMark/>
          </w:tcPr>
          <w:p w14:paraId="08F1801D"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(554,961)</w:t>
            </w:r>
          </w:p>
        </w:tc>
        <w:tc>
          <w:tcPr>
            <w:tcW w:w="1260" w:type="dxa"/>
            <w:noWrap/>
            <w:hideMark/>
          </w:tcPr>
          <w:p w14:paraId="33CC9980"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(554,961)</w:t>
            </w:r>
          </w:p>
        </w:tc>
        <w:tc>
          <w:tcPr>
            <w:tcW w:w="1260" w:type="dxa"/>
            <w:noWrap/>
            <w:hideMark/>
          </w:tcPr>
          <w:p w14:paraId="4B29897C"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(554,961)</w:t>
            </w:r>
          </w:p>
        </w:tc>
        <w:tc>
          <w:tcPr>
            <w:tcW w:w="1075" w:type="dxa"/>
            <w:noWrap/>
            <w:hideMark/>
          </w:tcPr>
          <w:p w14:paraId="138C268D"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w:t>
            </w:r>
          </w:p>
        </w:tc>
      </w:tr>
      <w:tr w:rsidR="00730B0F" w:rsidRPr="00266A24" w14:paraId="68BE616A" w14:textId="77777777" w:rsidTr="003B0A59">
        <w:trPr>
          <w:trHeight w:val="300"/>
        </w:trPr>
        <w:tc>
          <w:tcPr>
            <w:tcW w:w="1705" w:type="dxa"/>
            <w:noWrap/>
            <w:hideMark/>
          </w:tcPr>
          <w:p w14:paraId="299F4091" w14:textId="77777777" w:rsidR="00730B0F" w:rsidRPr="00266A24" w:rsidRDefault="00730B0F" w:rsidP="003B0A59">
            <w:pPr>
              <w:spacing w:line="276" w:lineRule="auto"/>
              <w:jc w:val="right"/>
              <w:rPr>
                <w:rFonts w:ascii="Arial" w:hAnsi="Arial" w:cs="Arial"/>
                <w:bCs/>
                <w:sz w:val="20"/>
                <w:szCs w:val="20"/>
              </w:rPr>
            </w:pPr>
            <w:r>
              <w:rPr>
                <w:rFonts w:ascii="Arial" w:hAnsi="Arial" w:cs="Arial"/>
                <w:bCs/>
                <w:sz w:val="20"/>
                <w:szCs w:val="20"/>
              </w:rPr>
              <w:t>Total</w:t>
            </w:r>
          </w:p>
        </w:tc>
        <w:tc>
          <w:tcPr>
            <w:tcW w:w="1080" w:type="dxa"/>
            <w:noWrap/>
            <w:hideMark/>
          </w:tcPr>
          <w:p w14:paraId="5D7CD2F1"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1588</w:t>
            </w:r>
          </w:p>
        </w:tc>
        <w:tc>
          <w:tcPr>
            <w:tcW w:w="1530" w:type="dxa"/>
            <w:noWrap/>
            <w:hideMark/>
          </w:tcPr>
          <w:p w14:paraId="18B55759"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(2,649,128)</w:t>
            </w:r>
          </w:p>
        </w:tc>
        <w:tc>
          <w:tcPr>
            <w:tcW w:w="1440" w:type="dxa"/>
            <w:noWrap/>
            <w:hideMark/>
          </w:tcPr>
          <w:p w14:paraId="7FE4A51B"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2,646,453 </w:t>
            </w:r>
          </w:p>
        </w:tc>
        <w:tc>
          <w:tcPr>
            <w:tcW w:w="1260" w:type="dxa"/>
            <w:noWrap/>
            <w:hideMark/>
          </w:tcPr>
          <w:p w14:paraId="019EEA5C"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       (2,675)</w:t>
            </w:r>
          </w:p>
        </w:tc>
        <w:tc>
          <w:tcPr>
            <w:tcW w:w="1260" w:type="dxa"/>
            <w:noWrap/>
            <w:hideMark/>
          </w:tcPr>
          <w:p w14:paraId="48916E1D"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 xml:space="preserve">38,045,917 </w:t>
            </w:r>
          </w:p>
        </w:tc>
        <w:tc>
          <w:tcPr>
            <w:tcW w:w="1075" w:type="dxa"/>
            <w:noWrap/>
            <w:hideMark/>
          </w:tcPr>
          <w:p w14:paraId="0E3A2C33" w14:textId="77777777" w:rsidR="00730B0F" w:rsidRPr="00266A24" w:rsidRDefault="00730B0F" w:rsidP="003B0A59">
            <w:pPr>
              <w:spacing w:line="276" w:lineRule="auto"/>
              <w:jc w:val="right"/>
              <w:rPr>
                <w:rFonts w:ascii="Arial" w:hAnsi="Arial" w:cs="Arial"/>
                <w:bCs/>
                <w:sz w:val="20"/>
                <w:szCs w:val="20"/>
              </w:rPr>
            </w:pPr>
            <w:r w:rsidRPr="00266A24">
              <w:rPr>
                <w:rFonts w:ascii="Arial" w:hAnsi="Arial" w:cs="Arial"/>
                <w:bCs/>
                <w:sz w:val="20"/>
                <w:szCs w:val="20"/>
              </w:rPr>
              <w:t>-0.01%</w:t>
            </w:r>
          </w:p>
        </w:tc>
      </w:tr>
    </w:tbl>
    <w:p w14:paraId="6AAC04E2" w14:textId="77777777" w:rsidR="00730B0F" w:rsidRDefault="00730B0F" w:rsidP="00730B0F">
      <w:pPr>
        <w:spacing w:after="0"/>
        <w:rPr>
          <w:rFonts w:ascii="Arial" w:hAnsi="Arial" w:cs="Arial"/>
          <w:b/>
          <w:sz w:val="20"/>
          <w:szCs w:val="20"/>
        </w:rPr>
      </w:pPr>
    </w:p>
    <w:p w14:paraId="64444916" w14:textId="77777777" w:rsidR="00730B0F" w:rsidRDefault="00730B0F" w:rsidP="00730B0F">
      <w:pPr>
        <w:spacing w:after="0"/>
        <w:rPr>
          <w:rFonts w:ascii="Arial" w:hAnsi="Arial" w:cs="Arial"/>
          <w:bCs/>
          <w:sz w:val="24"/>
          <w:szCs w:val="24"/>
        </w:rPr>
      </w:pPr>
      <w:r>
        <w:rPr>
          <w:rFonts w:ascii="Arial" w:hAnsi="Arial" w:cs="Arial"/>
          <w:bCs/>
          <w:sz w:val="24"/>
          <w:szCs w:val="24"/>
        </w:rPr>
        <w:t>OEB staff notes that there are other 2020 principal adjustments in the 2023 IRM GA Analysis Workform that have not been included by Halton Hills Hydro in its above pro-forma adjustments, such as a debit of $</w:t>
      </w:r>
      <w:r w:rsidRPr="00FB0059">
        <w:rPr>
          <w:rFonts w:ascii="Arial" w:hAnsi="Arial" w:cs="Arial"/>
          <w:bCs/>
          <w:sz w:val="24"/>
          <w:szCs w:val="24"/>
        </w:rPr>
        <w:t>392,257</w:t>
      </w:r>
      <w:r>
        <w:rPr>
          <w:rFonts w:ascii="Arial" w:hAnsi="Arial" w:cs="Arial"/>
          <w:bCs/>
          <w:sz w:val="24"/>
          <w:szCs w:val="24"/>
        </w:rPr>
        <w:t xml:space="preserve"> for 2019 true-ups, a credit of $</w:t>
      </w:r>
      <w:r w:rsidRPr="00FB0059">
        <w:rPr>
          <w:rFonts w:ascii="Arial" w:hAnsi="Arial" w:cs="Arial"/>
          <w:bCs/>
          <w:sz w:val="24"/>
          <w:szCs w:val="24"/>
        </w:rPr>
        <w:t>720,098</w:t>
      </w:r>
      <w:r>
        <w:rPr>
          <w:rFonts w:ascii="Arial" w:hAnsi="Arial" w:cs="Arial"/>
          <w:bCs/>
          <w:sz w:val="24"/>
          <w:szCs w:val="24"/>
        </w:rPr>
        <w:t xml:space="preserve"> for additional 2019 true-ups, and a debit of $</w:t>
      </w:r>
      <w:r w:rsidRPr="00FB0059">
        <w:rPr>
          <w:rFonts w:ascii="Arial" w:hAnsi="Arial" w:cs="Arial"/>
          <w:bCs/>
          <w:sz w:val="24"/>
          <w:szCs w:val="24"/>
        </w:rPr>
        <w:t>79,927</w:t>
      </w:r>
      <w:r>
        <w:rPr>
          <w:rFonts w:ascii="Arial" w:hAnsi="Arial" w:cs="Arial"/>
          <w:bCs/>
          <w:sz w:val="24"/>
          <w:szCs w:val="24"/>
        </w:rPr>
        <w:t xml:space="preserve"> for additional 2019 true-ups.</w:t>
      </w:r>
    </w:p>
    <w:p w14:paraId="2AB4BBEB" w14:textId="77777777" w:rsidR="00730B0F" w:rsidRDefault="00730B0F" w:rsidP="00730B0F">
      <w:pPr>
        <w:spacing w:after="0"/>
        <w:rPr>
          <w:rFonts w:ascii="Arial" w:hAnsi="Arial" w:cs="Arial"/>
          <w:bCs/>
          <w:sz w:val="24"/>
          <w:szCs w:val="24"/>
        </w:rPr>
      </w:pPr>
    </w:p>
    <w:p w14:paraId="7299E190" w14:textId="77777777" w:rsidR="00730B0F" w:rsidRDefault="00730B0F" w:rsidP="00730B0F">
      <w:pPr>
        <w:spacing w:after="0"/>
        <w:rPr>
          <w:rFonts w:ascii="Arial" w:hAnsi="Arial" w:cs="Arial"/>
          <w:bCs/>
          <w:sz w:val="24"/>
          <w:szCs w:val="24"/>
        </w:rPr>
      </w:pPr>
      <w:r>
        <w:rPr>
          <w:rFonts w:ascii="Arial" w:hAnsi="Arial" w:cs="Arial"/>
          <w:bCs/>
          <w:sz w:val="24"/>
          <w:szCs w:val="24"/>
        </w:rPr>
        <w:t xml:space="preserve">OEB staff also notes that </w:t>
      </w:r>
      <w:bookmarkStart w:id="10" w:name="_Hlk124348873"/>
      <w:r>
        <w:rPr>
          <w:rFonts w:ascii="Arial" w:hAnsi="Arial" w:cs="Arial"/>
          <w:bCs/>
          <w:sz w:val="24"/>
          <w:szCs w:val="24"/>
        </w:rPr>
        <w:t>other revisions to the 2020 transactions and principal adjustments may need to be included in Halton Hills Hydro’s explanation summary, based on the answers to the above OEB staff questions, such as:</w:t>
      </w:r>
    </w:p>
    <w:p w14:paraId="146F3E30" w14:textId="77777777" w:rsidR="00730B0F" w:rsidRDefault="00730B0F" w:rsidP="00730B0F">
      <w:pPr>
        <w:spacing w:after="0"/>
        <w:rPr>
          <w:rFonts w:ascii="Arial" w:hAnsi="Arial" w:cs="Arial"/>
          <w:bCs/>
          <w:sz w:val="24"/>
          <w:szCs w:val="24"/>
        </w:rPr>
      </w:pPr>
    </w:p>
    <w:p w14:paraId="0AB16812" w14:textId="77777777" w:rsidR="00730B0F" w:rsidRDefault="00730B0F" w:rsidP="00730B0F">
      <w:pPr>
        <w:pStyle w:val="ListParagraph"/>
        <w:numPr>
          <w:ilvl w:val="0"/>
          <w:numId w:val="30"/>
        </w:numPr>
        <w:spacing w:after="0" w:line="276" w:lineRule="auto"/>
        <w:rPr>
          <w:bCs/>
          <w:sz w:val="24"/>
          <w:szCs w:val="24"/>
        </w:rPr>
      </w:pPr>
      <w:r>
        <w:rPr>
          <w:bCs/>
          <w:sz w:val="24"/>
          <w:szCs w:val="24"/>
        </w:rPr>
        <w:t>T</w:t>
      </w:r>
      <w:r w:rsidRPr="00F163D8">
        <w:rPr>
          <w:bCs/>
          <w:sz w:val="24"/>
          <w:szCs w:val="24"/>
        </w:rPr>
        <w:t xml:space="preserve">he </w:t>
      </w:r>
      <w:r>
        <w:rPr>
          <w:bCs/>
          <w:sz w:val="24"/>
          <w:szCs w:val="24"/>
        </w:rPr>
        <w:t xml:space="preserve">2020 principal adjustment </w:t>
      </w:r>
      <w:r w:rsidRPr="00F163D8">
        <w:rPr>
          <w:bCs/>
          <w:sz w:val="24"/>
          <w:szCs w:val="24"/>
        </w:rPr>
        <w:t>debit of $349,978 to Account 1588</w:t>
      </w:r>
    </w:p>
    <w:p w14:paraId="52F22998" w14:textId="77777777" w:rsidR="00730B0F" w:rsidRDefault="00730B0F" w:rsidP="00730B0F">
      <w:pPr>
        <w:pStyle w:val="ListParagraph"/>
        <w:numPr>
          <w:ilvl w:val="0"/>
          <w:numId w:val="30"/>
        </w:numPr>
        <w:spacing w:after="0" w:line="276" w:lineRule="auto"/>
        <w:rPr>
          <w:bCs/>
          <w:sz w:val="24"/>
          <w:szCs w:val="24"/>
        </w:rPr>
      </w:pPr>
      <w:r w:rsidRPr="00F033D6">
        <w:rPr>
          <w:bCs/>
          <w:sz w:val="24"/>
          <w:szCs w:val="24"/>
        </w:rPr>
        <w:t xml:space="preserve">Any further revisions to the 2020 transactions and principal adjustments once reconciled to the amounts that </w:t>
      </w:r>
      <w:r>
        <w:rPr>
          <w:bCs/>
          <w:sz w:val="24"/>
          <w:szCs w:val="24"/>
        </w:rPr>
        <w:t>w</w:t>
      </w:r>
      <w:r w:rsidRPr="00F033D6">
        <w:rPr>
          <w:bCs/>
          <w:sz w:val="24"/>
          <w:szCs w:val="24"/>
        </w:rPr>
        <w:t xml:space="preserve">ere presented in the 2022 IRM proceeding </w:t>
      </w:r>
    </w:p>
    <w:p w14:paraId="2F3288C2" w14:textId="77777777" w:rsidR="00730B0F" w:rsidRPr="00F033D6" w:rsidRDefault="00730B0F" w:rsidP="00730B0F">
      <w:pPr>
        <w:pStyle w:val="ListParagraph"/>
        <w:numPr>
          <w:ilvl w:val="0"/>
          <w:numId w:val="30"/>
        </w:numPr>
        <w:spacing w:after="0" w:line="276" w:lineRule="auto"/>
        <w:rPr>
          <w:bCs/>
          <w:sz w:val="24"/>
          <w:szCs w:val="24"/>
        </w:rPr>
      </w:pPr>
      <w:r w:rsidRPr="00F033D6">
        <w:rPr>
          <w:bCs/>
          <w:sz w:val="24"/>
          <w:szCs w:val="24"/>
        </w:rPr>
        <w:t xml:space="preserve">Any further revisions to the 2020 principal adjustments once reconciled to the amounts </w:t>
      </w:r>
      <w:r>
        <w:rPr>
          <w:bCs/>
          <w:sz w:val="24"/>
          <w:szCs w:val="24"/>
        </w:rPr>
        <w:t xml:space="preserve">that </w:t>
      </w:r>
      <w:r w:rsidRPr="00F033D6">
        <w:rPr>
          <w:bCs/>
          <w:sz w:val="24"/>
          <w:szCs w:val="24"/>
        </w:rPr>
        <w:t xml:space="preserve">should be reversed based on the OEB-approved 2019 principal adjustments in the 2021 cost of service proceeding </w:t>
      </w:r>
    </w:p>
    <w:bookmarkEnd w:id="10"/>
    <w:p w14:paraId="40B53A77" w14:textId="77777777" w:rsidR="00730B0F" w:rsidRPr="00266A24" w:rsidRDefault="00730B0F" w:rsidP="00730B0F">
      <w:pPr>
        <w:spacing w:after="0"/>
        <w:rPr>
          <w:rFonts w:ascii="Arial" w:hAnsi="Arial" w:cs="Arial"/>
          <w:b/>
          <w:sz w:val="20"/>
          <w:szCs w:val="20"/>
        </w:rPr>
      </w:pPr>
    </w:p>
    <w:p w14:paraId="0390C5B8" w14:textId="77777777" w:rsidR="00730B0F" w:rsidRDefault="00730B0F" w:rsidP="00730B0F">
      <w:pPr>
        <w:spacing w:after="0"/>
        <w:rPr>
          <w:rFonts w:ascii="Arial" w:hAnsi="Arial" w:cs="Arial"/>
          <w:b/>
          <w:bCs/>
          <w:sz w:val="24"/>
          <w:szCs w:val="24"/>
        </w:rPr>
      </w:pPr>
      <w:r>
        <w:rPr>
          <w:rFonts w:ascii="Arial" w:hAnsi="Arial" w:cs="Arial"/>
          <w:b/>
          <w:bCs/>
          <w:sz w:val="24"/>
          <w:szCs w:val="24"/>
        </w:rPr>
        <w:lastRenderedPageBreak/>
        <w:t>Questions:</w:t>
      </w:r>
    </w:p>
    <w:p w14:paraId="63FDD931" w14:textId="77777777" w:rsidR="00730B0F" w:rsidRPr="006E7495" w:rsidRDefault="00730B0F" w:rsidP="00730B0F">
      <w:pPr>
        <w:spacing w:after="0"/>
        <w:rPr>
          <w:bCs/>
          <w:sz w:val="24"/>
          <w:szCs w:val="24"/>
        </w:rPr>
      </w:pPr>
    </w:p>
    <w:p w14:paraId="1C82133B" w14:textId="5432A492" w:rsidR="00730B0F" w:rsidRPr="00223DD7" w:rsidRDefault="00730B0F" w:rsidP="00730B0F">
      <w:pPr>
        <w:pStyle w:val="ListParagraph"/>
        <w:numPr>
          <w:ilvl w:val="0"/>
          <w:numId w:val="29"/>
        </w:numPr>
        <w:spacing w:after="0" w:line="276" w:lineRule="auto"/>
        <w:rPr>
          <w:bCs/>
          <w:sz w:val="24"/>
          <w:szCs w:val="24"/>
        </w:rPr>
      </w:pPr>
      <w:r w:rsidRPr="00223DD7">
        <w:rPr>
          <w:bCs/>
          <w:sz w:val="24"/>
          <w:szCs w:val="24"/>
        </w:rPr>
        <w:t>Please confirm whether Halton Hills Hydro is in agreement with OEB staff’s calculations and values in the above</w:t>
      </w:r>
      <w:r w:rsidR="005B558E">
        <w:rPr>
          <w:bCs/>
          <w:sz w:val="24"/>
          <w:szCs w:val="24"/>
        </w:rPr>
        <w:t>-</w:t>
      </w:r>
      <w:r w:rsidRPr="00223DD7">
        <w:rPr>
          <w:bCs/>
          <w:sz w:val="24"/>
          <w:szCs w:val="24"/>
        </w:rPr>
        <w:t xml:space="preserve">noted Table </w:t>
      </w:r>
      <w:r>
        <w:rPr>
          <w:bCs/>
          <w:sz w:val="24"/>
          <w:szCs w:val="24"/>
        </w:rPr>
        <w:t>7</w:t>
      </w:r>
      <w:r w:rsidRPr="00223DD7">
        <w:rPr>
          <w:bCs/>
          <w:sz w:val="24"/>
          <w:szCs w:val="24"/>
        </w:rPr>
        <w:t>.</w:t>
      </w:r>
    </w:p>
    <w:p w14:paraId="45287D86" w14:textId="35E064FC" w:rsidR="00730B0F" w:rsidRPr="000A1BA4" w:rsidRDefault="00730B0F" w:rsidP="00730B0F">
      <w:pPr>
        <w:pStyle w:val="ListParagraph"/>
        <w:numPr>
          <w:ilvl w:val="0"/>
          <w:numId w:val="29"/>
        </w:numPr>
        <w:spacing w:after="0" w:line="276" w:lineRule="auto"/>
        <w:rPr>
          <w:bCs/>
          <w:sz w:val="24"/>
          <w:szCs w:val="24"/>
        </w:rPr>
      </w:pPr>
      <w:r w:rsidRPr="000A1BA4">
        <w:rPr>
          <w:bCs/>
          <w:sz w:val="24"/>
          <w:szCs w:val="24"/>
        </w:rPr>
        <w:t xml:space="preserve">If this is not the case, please explain, and update Table </w:t>
      </w:r>
      <w:r>
        <w:rPr>
          <w:bCs/>
          <w:sz w:val="24"/>
          <w:szCs w:val="24"/>
        </w:rPr>
        <w:t>7</w:t>
      </w:r>
      <w:r w:rsidRPr="000A1BA4">
        <w:rPr>
          <w:bCs/>
          <w:sz w:val="24"/>
          <w:szCs w:val="24"/>
        </w:rPr>
        <w:t>.</w:t>
      </w:r>
    </w:p>
    <w:p w14:paraId="3D645545" w14:textId="77777777" w:rsidR="00730B0F" w:rsidRPr="000A1BA4" w:rsidRDefault="00730B0F" w:rsidP="00730B0F">
      <w:pPr>
        <w:pStyle w:val="ListParagraph"/>
        <w:numPr>
          <w:ilvl w:val="0"/>
          <w:numId w:val="29"/>
        </w:numPr>
        <w:spacing w:after="0" w:line="276" w:lineRule="auto"/>
        <w:rPr>
          <w:bCs/>
          <w:sz w:val="24"/>
          <w:szCs w:val="24"/>
        </w:rPr>
      </w:pPr>
      <w:r w:rsidRPr="000A1BA4">
        <w:rPr>
          <w:bCs/>
          <w:sz w:val="24"/>
          <w:szCs w:val="24"/>
        </w:rPr>
        <w:t xml:space="preserve">Please update the </w:t>
      </w:r>
      <w:r>
        <w:rPr>
          <w:bCs/>
          <w:sz w:val="24"/>
          <w:szCs w:val="24"/>
        </w:rPr>
        <w:t>relevant evidence to resolve this difference.</w:t>
      </w:r>
    </w:p>
    <w:p w14:paraId="4D281EDE" w14:textId="77777777" w:rsidR="00730B0F" w:rsidRDefault="00730B0F" w:rsidP="00730B0F">
      <w:pPr>
        <w:pStyle w:val="ListParagraph"/>
        <w:numPr>
          <w:ilvl w:val="0"/>
          <w:numId w:val="29"/>
        </w:numPr>
        <w:spacing w:after="0" w:line="276" w:lineRule="auto"/>
        <w:rPr>
          <w:bCs/>
          <w:sz w:val="24"/>
          <w:szCs w:val="24"/>
        </w:rPr>
      </w:pPr>
      <w:r w:rsidRPr="000A1BA4">
        <w:rPr>
          <w:bCs/>
          <w:sz w:val="24"/>
          <w:szCs w:val="24"/>
        </w:rPr>
        <w:t xml:space="preserve">In the alternative, please explain why </w:t>
      </w:r>
      <w:r>
        <w:rPr>
          <w:bCs/>
          <w:sz w:val="24"/>
          <w:szCs w:val="24"/>
        </w:rPr>
        <w:t xml:space="preserve">Halton Hills </w:t>
      </w:r>
      <w:r w:rsidRPr="000A1BA4">
        <w:rPr>
          <w:bCs/>
          <w:sz w:val="24"/>
          <w:szCs w:val="24"/>
        </w:rPr>
        <w:t>Hydro is of the view that no changes are required.</w:t>
      </w:r>
    </w:p>
    <w:p w14:paraId="17350C95" w14:textId="77777777" w:rsidR="00730B0F" w:rsidRDefault="00730B0F" w:rsidP="00730B0F">
      <w:pPr>
        <w:pStyle w:val="ListParagraph"/>
        <w:numPr>
          <w:ilvl w:val="0"/>
          <w:numId w:val="29"/>
        </w:numPr>
        <w:spacing w:after="0" w:line="276" w:lineRule="auto"/>
        <w:rPr>
          <w:bCs/>
          <w:sz w:val="24"/>
          <w:szCs w:val="24"/>
        </w:rPr>
      </w:pPr>
      <w:r w:rsidRPr="00D713B4">
        <w:rPr>
          <w:bCs/>
          <w:sz w:val="24"/>
          <w:szCs w:val="24"/>
        </w:rPr>
        <w:t xml:space="preserve">Please explain why Halton Hills Hydro has </w:t>
      </w:r>
      <w:r>
        <w:rPr>
          <w:bCs/>
          <w:sz w:val="24"/>
          <w:szCs w:val="24"/>
        </w:rPr>
        <w:t xml:space="preserve">included the two above-noted references to a “reduction” in its </w:t>
      </w:r>
      <w:bookmarkStart w:id="11" w:name="_Hlk124341047"/>
      <w:r>
        <w:rPr>
          <w:bCs/>
          <w:sz w:val="24"/>
          <w:szCs w:val="24"/>
        </w:rPr>
        <w:t>explanation at cell B66 of the Tab Account 1588 Reasonability of the 2023 IRM GA Analysis Workform</w:t>
      </w:r>
      <w:bookmarkEnd w:id="11"/>
      <w:r>
        <w:rPr>
          <w:bCs/>
          <w:sz w:val="24"/>
          <w:szCs w:val="24"/>
        </w:rPr>
        <w:t>, as well as the Manager’s Summary, when Halton Hills Hydro has added these amounts and not subtracted them.</w:t>
      </w:r>
    </w:p>
    <w:p w14:paraId="6930731D" w14:textId="77777777" w:rsidR="00730B0F" w:rsidRDefault="00730B0F" w:rsidP="00730B0F">
      <w:pPr>
        <w:pStyle w:val="ListParagraph"/>
        <w:numPr>
          <w:ilvl w:val="0"/>
          <w:numId w:val="29"/>
        </w:numPr>
        <w:spacing w:after="0" w:line="276" w:lineRule="auto"/>
        <w:rPr>
          <w:bCs/>
          <w:sz w:val="24"/>
          <w:szCs w:val="24"/>
        </w:rPr>
      </w:pPr>
      <w:r>
        <w:rPr>
          <w:bCs/>
          <w:sz w:val="24"/>
          <w:szCs w:val="24"/>
        </w:rPr>
        <w:t>Please confirm that Halton Hills Hydro’s analysis should be revised to reflect reductions and not the additions that Halton Hills Hydro has included in its calculations. Please update the analysis. If this is not the case, please explain.</w:t>
      </w:r>
    </w:p>
    <w:p w14:paraId="02BD0837" w14:textId="503BCE0E" w:rsidR="00730B0F" w:rsidRDefault="00730B0F" w:rsidP="00730B0F">
      <w:pPr>
        <w:pStyle w:val="ListParagraph"/>
        <w:numPr>
          <w:ilvl w:val="0"/>
          <w:numId w:val="29"/>
        </w:numPr>
        <w:spacing w:after="0" w:line="276" w:lineRule="auto"/>
        <w:rPr>
          <w:bCs/>
          <w:sz w:val="24"/>
          <w:szCs w:val="24"/>
        </w:rPr>
      </w:pPr>
      <w:r>
        <w:rPr>
          <w:bCs/>
          <w:sz w:val="24"/>
          <w:szCs w:val="24"/>
        </w:rPr>
        <w:t xml:space="preserve">Please explain why </w:t>
      </w:r>
      <w:r w:rsidRPr="006027F4">
        <w:rPr>
          <w:bCs/>
          <w:sz w:val="24"/>
          <w:szCs w:val="24"/>
        </w:rPr>
        <w:t>Halton Hills Hydro in its above pro-forma adjustments</w:t>
      </w:r>
      <w:r>
        <w:rPr>
          <w:bCs/>
          <w:sz w:val="24"/>
          <w:szCs w:val="24"/>
        </w:rPr>
        <w:t xml:space="preserve"> in its explanation</w:t>
      </w:r>
      <w:r w:rsidRPr="006027F4">
        <w:rPr>
          <w:bCs/>
          <w:sz w:val="24"/>
          <w:szCs w:val="24"/>
        </w:rPr>
        <w:t xml:space="preserve">, </w:t>
      </w:r>
      <w:r>
        <w:rPr>
          <w:bCs/>
          <w:sz w:val="24"/>
          <w:szCs w:val="24"/>
        </w:rPr>
        <w:t xml:space="preserve">has not included all 2020 transactions and principal adjustments </w:t>
      </w:r>
      <w:r w:rsidRPr="006027F4">
        <w:rPr>
          <w:bCs/>
          <w:sz w:val="24"/>
          <w:szCs w:val="24"/>
        </w:rPr>
        <w:t>such as</w:t>
      </w:r>
      <w:r w:rsidR="0036463E">
        <w:rPr>
          <w:bCs/>
          <w:sz w:val="24"/>
          <w:szCs w:val="24"/>
        </w:rPr>
        <w:t xml:space="preserve"> the following and please update the analysis as required.</w:t>
      </w:r>
    </w:p>
    <w:p w14:paraId="28F0CFF1" w14:textId="77777777" w:rsidR="00730B0F" w:rsidRDefault="00730B0F" w:rsidP="00730B0F">
      <w:pPr>
        <w:pStyle w:val="ListParagraph"/>
        <w:numPr>
          <w:ilvl w:val="0"/>
          <w:numId w:val="32"/>
        </w:numPr>
        <w:spacing w:after="0" w:line="276" w:lineRule="auto"/>
        <w:rPr>
          <w:bCs/>
          <w:sz w:val="24"/>
          <w:szCs w:val="24"/>
        </w:rPr>
      </w:pPr>
      <w:r>
        <w:rPr>
          <w:bCs/>
          <w:sz w:val="24"/>
          <w:szCs w:val="24"/>
        </w:rPr>
        <w:t xml:space="preserve">A </w:t>
      </w:r>
      <w:r w:rsidRPr="002C3D57">
        <w:rPr>
          <w:bCs/>
          <w:sz w:val="24"/>
          <w:szCs w:val="24"/>
        </w:rPr>
        <w:t>debit of $392,257 for 2019 true-ups</w:t>
      </w:r>
    </w:p>
    <w:p w14:paraId="39661F9A" w14:textId="77777777" w:rsidR="00730B0F" w:rsidRDefault="00730B0F" w:rsidP="00730B0F">
      <w:pPr>
        <w:pStyle w:val="ListParagraph"/>
        <w:numPr>
          <w:ilvl w:val="0"/>
          <w:numId w:val="32"/>
        </w:numPr>
        <w:spacing w:after="0" w:line="276" w:lineRule="auto"/>
        <w:rPr>
          <w:bCs/>
          <w:sz w:val="24"/>
          <w:szCs w:val="24"/>
        </w:rPr>
      </w:pPr>
      <w:r>
        <w:rPr>
          <w:bCs/>
          <w:sz w:val="24"/>
          <w:szCs w:val="24"/>
        </w:rPr>
        <w:t xml:space="preserve">A </w:t>
      </w:r>
      <w:r w:rsidRPr="002C3D57">
        <w:rPr>
          <w:bCs/>
          <w:sz w:val="24"/>
          <w:szCs w:val="24"/>
        </w:rPr>
        <w:t>credit of $720,098 for additional 2019 true-ups</w:t>
      </w:r>
    </w:p>
    <w:p w14:paraId="1DD739A1" w14:textId="77777777" w:rsidR="00730B0F" w:rsidRDefault="00730B0F" w:rsidP="00730B0F">
      <w:pPr>
        <w:pStyle w:val="ListParagraph"/>
        <w:numPr>
          <w:ilvl w:val="0"/>
          <w:numId w:val="32"/>
        </w:numPr>
        <w:spacing w:after="0" w:line="276" w:lineRule="auto"/>
        <w:rPr>
          <w:bCs/>
          <w:sz w:val="24"/>
          <w:szCs w:val="24"/>
        </w:rPr>
      </w:pPr>
      <w:r>
        <w:rPr>
          <w:bCs/>
          <w:sz w:val="24"/>
          <w:szCs w:val="24"/>
        </w:rPr>
        <w:t>A</w:t>
      </w:r>
      <w:r w:rsidRPr="002C3D57">
        <w:rPr>
          <w:bCs/>
          <w:sz w:val="24"/>
          <w:szCs w:val="24"/>
        </w:rPr>
        <w:t xml:space="preserve"> debit of $79,927 for additional 2019 true-ups</w:t>
      </w:r>
    </w:p>
    <w:p w14:paraId="64CA916E" w14:textId="77777777" w:rsidR="00730B0F" w:rsidRPr="002C3D57" w:rsidRDefault="00730B0F" w:rsidP="00730B0F">
      <w:pPr>
        <w:pStyle w:val="ListParagraph"/>
        <w:numPr>
          <w:ilvl w:val="0"/>
          <w:numId w:val="32"/>
        </w:numPr>
        <w:spacing w:after="0" w:line="276" w:lineRule="auto"/>
        <w:rPr>
          <w:bCs/>
          <w:sz w:val="24"/>
          <w:szCs w:val="24"/>
        </w:rPr>
      </w:pPr>
      <w:r>
        <w:rPr>
          <w:bCs/>
          <w:sz w:val="24"/>
          <w:szCs w:val="24"/>
        </w:rPr>
        <w:t>O</w:t>
      </w:r>
      <w:r w:rsidRPr="002C3D57">
        <w:rPr>
          <w:bCs/>
          <w:sz w:val="24"/>
          <w:szCs w:val="24"/>
        </w:rPr>
        <w:t xml:space="preserve">ther revisions to the 2020 </w:t>
      </w:r>
      <w:r>
        <w:rPr>
          <w:bCs/>
          <w:sz w:val="24"/>
          <w:szCs w:val="24"/>
        </w:rPr>
        <w:t xml:space="preserve">transactions and </w:t>
      </w:r>
      <w:r w:rsidRPr="002C3D57">
        <w:rPr>
          <w:bCs/>
          <w:sz w:val="24"/>
          <w:szCs w:val="24"/>
        </w:rPr>
        <w:t>principal adjustments may need to be included in Halton Hills Hydro’s explanation summary, such as:</w:t>
      </w:r>
    </w:p>
    <w:p w14:paraId="4A3A0ECA" w14:textId="77777777" w:rsidR="00730B0F" w:rsidRDefault="00730B0F" w:rsidP="00730B0F">
      <w:pPr>
        <w:pStyle w:val="ListParagraph"/>
        <w:numPr>
          <w:ilvl w:val="1"/>
          <w:numId w:val="31"/>
        </w:numPr>
        <w:spacing w:after="0" w:line="276" w:lineRule="auto"/>
        <w:rPr>
          <w:bCs/>
          <w:sz w:val="24"/>
          <w:szCs w:val="24"/>
        </w:rPr>
      </w:pPr>
      <w:r w:rsidRPr="002C3D57">
        <w:rPr>
          <w:bCs/>
          <w:sz w:val="24"/>
          <w:szCs w:val="24"/>
        </w:rPr>
        <w:t>The 2020 principal adjustment debit of $349,978 to Account 1588</w:t>
      </w:r>
    </w:p>
    <w:p w14:paraId="30562F74" w14:textId="77777777" w:rsidR="00730B0F" w:rsidRDefault="00730B0F" w:rsidP="00730B0F">
      <w:pPr>
        <w:pStyle w:val="ListParagraph"/>
        <w:numPr>
          <w:ilvl w:val="1"/>
          <w:numId w:val="31"/>
        </w:numPr>
        <w:spacing w:after="0" w:line="276" w:lineRule="auto"/>
        <w:rPr>
          <w:bCs/>
          <w:sz w:val="24"/>
          <w:szCs w:val="24"/>
        </w:rPr>
      </w:pPr>
      <w:r w:rsidRPr="00F033D6">
        <w:rPr>
          <w:bCs/>
          <w:sz w:val="24"/>
          <w:szCs w:val="24"/>
        </w:rPr>
        <w:t xml:space="preserve">Any further revisions to the 2020 transactions and principal adjustments once reconciled to the amounts that </w:t>
      </w:r>
      <w:r>
        <w:rPr>
          <w:bCs/>
          <w:sz w:val="24"/>
          <w:szCs w:val="24"/>
        </w:rPr>
        <w:t>w</w:t>
      </w:r>
      <w:r w:rsidRPr="00F033D6">
        <w:rPr>
          <w:bCs/>
          <w:sz w:val="24"/>
          <w:szCs w:val="24"/>
        </w:rPr>
        <w:t xml:space="preserve">ere presented in the 2022 IRM proceeding </w:t>
      </w:r>
    </w:p>
    <w:p w14:paraId="75674756" w14:textId="77777777" w:rsidR="00730B0F" w:rsidRDefault="00730B0F" w:rsidP="00730B0F">
      <w:pPr>
        <w:pStyle w:val="ListParagraph"/>
        <w:numPr>
          <w:ilvl w:val="1"/>
          <w:numId w:val="31"/>
        </w:numPr>
        <w:spacing w:after="0" w:line="276" w:lineRule="auto"/>
        <w:rPr>
          <w:bCs/>
          <w:sz w:val="24"/>
          <w:szCs w:val="24"/>
        </w:rPr>
      </w:pPr>
      <w:r w:rsidRPr="00F033D6">
        <w:rPr>
          <w:bCs/>
          <w:sz w:val="24"/>
          <w:szCs w:val="24"/>
        </w:rPr>
        <w:t xml:space="preserve">Any further revisions to the 2020 principal adjustments once reconciled to the amounts </w:t>
      </w:r>
      <w:r>
        <w:rPr>
          <w:bCs/>
          <w:sz w:val="24"/>
          <w:szCs w:val="24"/>
        </w:rPr>
        <w:t xml:space="preserve">that </w:t>
      </w:r>
      <w:r w:rsidRPr="00F033D6">
        <w:rPr>
          <w:bCs/>
          <w:sz w:val="24"/>
          <w:szCs w:val="24"/>
        </w:rPr>
        <w:t xml:space="preserve">should be reversed based on the OEB-approved 2019 principal adjustments in the 2021 cost of service proceeding </w:t>
      </w:r>
    </w:p>
    <w:p w14:paraId="1628920D" w14:textId="77777777" w:rsidR="00730B0F" w:rsidRPr="00F033D6" w:rsidRDefault="00730B0F" w:rsidP="00730B0F">
      <w:pPr>
        <w:pStyle w:val="ListParagraph"/>
        <w:numPr>
          <w:ilvl w:val="1"/>
          <w:numId w:val="31"/>
        </w:numPr>
        <w:spacing w:after="0" w:line="276" w:lineRule="auto"/>
        <w:rPr>
          <w:bCs/>
          <w:sz w:val="24"/>
          <w:szCs w:val="24"/>
        </w:rPr>
      </w:pPr>
      <w:r>
        <w:rPr>
          <w:bCs/>
          <w:sz w:val="24"/>
          <w:szCs w:val="24"/>
        </w:rPr>
        <w:t xml:space="preserve">Other </w:t>
      </w:r>
    </w:p>
    <w:p w14:paraId="2D77AE1A" w14:textId="77777777" w:rsidR="00730B0F" w:rsidRDefault="00730B0F" w:rsidP="00730B0F">
      <w:pPr>
        <w:spacing w:after="0"/>
        <w:rPr>
          <w:rFonts w:ascii="Arial" w:hAnsi="Arial" w:cs="Arial"/>
          <w:b/>
          <w:bCs/>
          <w:sz w:val="24"/>
          <w:szCs w:val="24"/>
        </w:rPr>
      </w:pPr>
    </w:p>
    <w:p w14:paraId="635EE9D2" w14:textId="21285C3F" w:rsidR="00730B0F" w:rsidRDefault="00730B0F" w:rsidP="00730B0F">
      <w:pPr>
        <w:spacing w:after="0"/>
        <w:rPr>
          <w:rFonts w:ascii="Arial" w:hAnsi="Arial" w:cs="Arial"/>
          <w:b/>
          <w:bCs/>
          <w:sz w:val="24"/>
          <w:szCs w:val="24"/>
        </w:rPr>
      </w:pPr>
      <w:r w:rsidRPr="00AF740D">
        <w:rPr>
          <w:rFonts w:ascii="Arial" w:hAnsi="Arial" w:cs="Arial"/>
          <w:b/>
          <w:bCs/>
          <w:sz w:val="24"/>
          <w:szCs w:val="24"/>
        </w:rPr>
        <w:t xml:space="preserve">OEB Staff – </w:t>
      </w:r>
      <w:r>
        <w:rPr>
          <w:rFonts w:ascii="Arial" w:hAnsi="Arial" w:cs="Arial"/>
          <w:b/>
          <w:bCs/>
          <w:sz w:val="24"/>
          <w:szCs w:val="24"/>
        </w:rPr>
        <w:t>15</w:t>
      </w:r>
    </w:p>
    <w:p w14:paraId="4B3CF6FA" w14:textId="77777777" w:rsidR="00730B0F" w:rsidRPr="00AF740D" w:rsidRDefault="00730B0F" w:rsidP="00730B0F">
      <w:pPr>
        <w:spacing w:after="0"/>
        <w:rPr>
          <w:rFonts w:ascii="Arial" w:hAnsi="Arial" w:cs="Arial"/>
          <w:b/>
          <w:bCs/>
          <w:sz w:val="24"/>
          <w:szCs w:val="24"/>
        </w:rPr>
      </w:pPr>
    </w:p>
    <w:p w14:paraId="7CDBBEEA" w14:textId="77777777" w:rsidR="00730B0F" w:rsidRPr="005832EF" w:rsidRDefault="00730B0F" w:rsidP="00730B0F">
      <w:pPr>
        <w:spacing w:after="0"/>
        <w:rPr>
          <w:rFonts w:ascii="Arial" w:hAnsi="Arial" w:cs="Arial"/>
          <w:bCs/>
          <w:sz w:val="24"/>
          <w:szCs w:val="24"/>
        </w:rPr>
      </w:pPr>
      <w:r w:rsidRPr="005832EF">
        <w:rPr>
          <w:rFonts w:ascii="Arial" w:hAnsi="Arial" w:cs="Arial"/>
          <w:bCs/>
          <w:sz w:val="24"/>
          <w:szCs w:val="24"/>
        </w:rPr>
        <w:t>OEB staff notes that based on the responses to OEB staff</w:t>
      </w:r>
      <w:r>
        <w:rPr>
          <w:rFonts w:ascii="Arial" w:hAnsi="Arial" w:cs="Arial"/>
          <w:bCs/>
          <w:sz w:val="24"/>
          <w:szCs w:val="24"/>
        </w:rPr>
        <w:t>’s</w:t>
      </w:r>
      <w:r w:rsidRPr="005832EF">
        <w:rPr>
          <w:rFonts w:ascii="Arial" w:hAnsi="Arial" w:cs="Arial"/>
          <w:bCs/>
          <w:sz w:val="24"/>
          <w:szCs w:val="24"/>
        </w:rPr>
        <w:t xml:space="preserve"> questions, 2020 and 2021 Accounts 1588 and 1589 balances may need to be changed, including the transactions </w:t>
      </w:r>
      <w:r w:rsidRPr="005832EF">
        <w:rPr>
          <w:rFonts w:ascii="Arial" w:hAnsi="Arial" w:cs="Arial"/>
          <w:bCs/>
          <w:sz w:val="24"/>
          <w:szCs w:val="24"/>
        </w:rPr>
        <w:lastRenderedPageBreak/>
        <w:t>and principal adjustments. This may impact the threshold calculations in the GA Analysis Workform.</w:t>
      </w:r>
    </w:p>
    <w:p w14:paraId="15381F01" w14:textId="77777777" w:rsidR="00730B0F" w:rsidRDefault="00730B0F" w:rsidP="00730B0F">
      <w:pPr>
        <w:spacing w:after="0"/>
        <w:rPr>
          <w:bCs/>
          <w:sz w:val="24"/>
          <w:szCs w:val="24"/>
        </w:rPr>
      </w:pPr>
    </w:p>
    <w:p w14:paraId="250A36EB" w14:textId="77777777" w:rsidR="00730B0F" w:rsidRDefault="00730B0F" w:rsidP="00730B0F">
      <w:pPr>
        <w:spacing w:after="0"/>
        <w:rPr>
          <w:rFonts w:ascii="Arial" w:hAnsi="Arial" w:cs="Arial"/>
          <w:b/>
          <w:bCs/>
          <w:sz w:val="24"/>
          <w:szCs w:val="24"/>
        </w:rPr>
      </w:pPr>
      <w:r>
        <w:rPr>
          <w:rFonts w:ascii="Arial" w:hAnsi="Arial" w:cs="Arial"/>
          <w:b/>
          <w:bCs/>
          <w:sz w:val="24"/>
          <w:szCs w:val="24"/>
        </w:rPr>
        <w:t>Questions:</w:t>
      </w:r>
    </w:p>
    <w:p w14:paraId="13E988C6" w14:textId="77777777" w:rsidR="00730B0F" w:rsidRPr="00271024" w:rsidRDefault="00730B0F" w:rsidP="00730B0F">
      <w:pPr>
        <w:spacing w:after="0"/>
        <w:rPr>
          <w:bCs/>
          <w:sz w:val="24"/>
          <w:szCs w:val="24"/>
        </w:rPr>
      </w:pPr>
    </w:p>
    <w:p w14:paraId="0130DEA3" w14:textId="77777777" w:rsidR="00730B0F" w:rsidRDefault="00730B0F" w:rsidP="00730B0F">
      <w:pPr>
        <w:pStyle w:val="ListParagraph"/>
        <w:numPr>
          <w:ilvl w:val="0"/>
          <w:numId w:val="33"/>
        </w:numPr>
        <w:spacing w:after="0" w:line="276" w:lineRule="auto"/>
        <w:rPr>
          <w:bCs/>
          <w:sz w:val="24"/>
          <w:szCs w:val="24"/>
        </w:rPr>
      </w:pPr>
      <w:r w:rsidRPr="00AF740D">
        <w:rPr>
          <w:bCs/>
          <w:sz w:val="24"/>
          <w:szCs w:val="24"/>
        </w:rPr>
        <w:t xml:space="preserve">If changes are required </w:t>
      </w:r>
      <w:r>
        <w:rPr>
          <w:bCs/>
          <w:sz w:val="24"/>
          <w:szCs w:val="24"/>
        </w:rPr>
        <w:t xml:space="preserve">to Account 1588 </w:t>
      </w:r>
      <w:r w:rsidRPr="00AF740D">
        <w:rPr>
          <w:bCs/>
          <w:sz w:val="24"/>
          <w:szCs w:val="24"/>
        </w:rPr>
        <w:t>and the revised Account 1588 Reasonability Tab “Account 1588 as % of Account 4705”, cell G19 and cell G20, are greater than the threshold of +/- 1%, please explain.</w:t>
      </w:r>
    </w:p>
    <w:p w14:paraId="4AD9CA5D" w14:textId="77777777" w:rsidR="00730B0F" w:rsidRPr="00AF740D" w:rsidRDefault="00730B0F" w:rsidP="00730B0F">
      <w:pPr>
        <w:pStyle w:val="ListParagraph"/>
        <w:numPr>
          <w:ilvl w:val="0"/>
          <w:numId w:val="33"/>
        </w:numPr>
        <w:spacing w:after="0" w:line="276" w:lineRule="auto"/>
        <w:rPr>
          <w:bCs/>
          <w:sz w:val="24"/>
          <w:szCs w:val="24"/>
        </w:rPr>
      </w:pPr>
      <w:r w:rsidRPr="00AF740D">
        <w:rPr>
          <w:bCs/>
          <w:sz w:val="24"/>
          <w:szCs w:val="24"/>
        </w:rPr>
        <w:t xml:space="preserve">If changes are required </w:t>
      </w:r>
      <w:r>
        <w:rPr>
          <w:bCs/>
          <w:sz w:val="24"/>
          <w:szCs w:val="24"/>
        </w:rPr>
        <w:t xml:space="preserve">to Account 1589 </w:t>
      </w:r>
      <w:r w:rsidRPr="00AF740D">
        <w:rPr>
          <w:bCs/>
          <w:sz w:val="24"/>
          <w:szCs w:val="24"/>
        </w:rPr>
        <w:t>and the revised Tab GA 2020 and Tab GA 2021 cell</w:t>
      </w:r>
      <w:r>
        <w:rPr>
          <w:bCs/>
          <w:sz w:val="24"/>
          <w:szCs w:val="24"/>
        </w:rPr>
        <w:t>s</w:t>
      </w:r>
      <w:r w:rsidRPr="00AF740D">
        <w:rPr>
          <w:bCs/>
          <w:sz w:val="24"/>
          <w:szCs w:val="24"/>
        </w:rPr>
        <w:t xml:space="preserve"> C93 (i.e., Unresolved Difference as % of Expected GA Payments to IESO) are greater than the threshold of +/- 1%, please explain.</w:t>
      </w:r>
    </w:p>
    <w:p w14:paraId="20351FA4" w14:textId="77777777" w:rsidR="00730B0F" w:rsidRPr="00AF740D" w:rsidRDefault="00730B0F" w:rsidP="00730B0F">
      <w:pPr>
        <w:pStyle w:val="ListParagraph"/>
        <w:spacing w:after="0" w:line="276" w:lineRule="auto"/>
        <w:rPr>
          <w:bCs/>
          <w:sz w:val="24"/>
          <w:szCs w:val="24"/>
        </w:rPr>
      </w:pPr>
    </w:p>
    <w:p w14:paraId="5B240DC6" w14:textId="7882C80D" w:rsidR="00447E95" w:rsidRDefault="00447E95" w:rsidP="00447E95">
      <w:pPr>
        <w:spacing w:after="240"/>
        <w:rPr>
          <w:rFonts w:ascii="Arial" w:hAnsi="Arial" w:cs="Arial"/>
          <w:b/>
          <w:bCs/>
          <w:sz w:val="24"/>
          <w:szCs w:val="24"/>
        </w:rPr>
      </w:pPr>
      <w:r>
        <w:rPr>
          <w:rFonts w:ascii="Arial" w:hAnsi="Arial" w:cs="Arial"/>
          <w:b/>
          <w:bCs/>
          <w:sz w:val="24"/>
          <w:szCs w:val="24"/>
        </w:rPr>
        <w:t xml:space="preserve">OEB Staff – </w:t>
      </w:r>
      <w:r w:rsidR="00730B0F">
        <w:rPr>
          <w:rFonts w:ascii="Arial" w:hAnsi="Arial" w:cs="Arial"/>
          <w:b/>
          <w:bCs/>
          <w:sz w:val="24"/>
          <w:szCs w:val="24"/>
        </w:rPr>
        <w:t>16</w:t>
      </w:r>
    </w:p>
    <w:p w14:paraId="11313E19" w14:textId="77777777" w:rsidR="00447E95" w:rsidRDefault="00447E95" w:rsidP="00447E95">
      <w:pPr>
        <w:spacing w:after="0"/>
        <w:rPr>
          <w:rFonts w:ascii="Arial" w:hAnsi="Arial" w:cs="Arial"/>
          <w:b/>
          <w:bCs/>
          <w:sz w:val="24"/>
          <w:szCs w:val="24"/>
        </w:rPr>
      </w:pPr>
      <w:r>
        <w:rPr>
          <w:rFonts w:ascii="Arial" w:hAnsi="Arial" w:cs="Arial"/>
          <w:b/>
          <w:bCs/>
          <w:sz w:val="24"/>
          <w:szCs w:val="24"/>
        </w:rPr>
        <w:t>Ref: Manager’s Summary, page 13</w:t>
      </w:r>
    </w:p>
    <w:p w14:paraId="2927FE67" w14:textId="77777777" w:rsidR="00447E95" w:rsidRDefault="00447E95" w:rsidP="00447E95">
      <w:pPr>
        <w:spacing w:after="0"/>
        <w:rPr>
          <w:rFonts w:ascii="Arial" w:hAnsi="Arial" w:cs="Arial"/>
          <w:b/>
          <w:bCs/>
          <w:sz w:val="24"/>
          <w:szCs w:val="24"/>
        </w:rPr>
      </w:pPr>
    </w:p>
    <w:p w14:paraId="7E578D88" w14:textId="77777777" w:rsidR="00447E95" w:rsidRDefault="00447E95" w:rsidP="00447E95">
      <w:pPr>
        <w:spacing w:after="240"/>
        <w:rPr>
          <w:rFonts w:ascii="Arial" w:hAnsi="Arial" w:cs="Arial"/>
          <w:sz w:val="24"/>
          <w:szCs w:val="24"/>
        </w:rPr>
      </w:pPr>
      <w:r w:rsidRPr="00AB79A7">
        <w:rPr>
          <w:rFonts w:ascii="Arial" w:hAnsi="Arial" w:cs="Arial"/>
          <w:sz w:val="24"/>
          <w:szCs w:val="24"/>
        </w:rPr>
        <w:t xml:space="preserve">The 2021 CDM Guidelines </w:t>
      </w:r>
      <w:bookmarkEnd w:id="9"/>
      <w:r w:rsidRPr="00AB79A7">
        <w:rPr>
          <w:rFonts w:ascii="Arial" w:hAnsi="Arial" w:cs="Arial"/>
          <w:sz w:val="24"/>
          <w:szCs w:val="24"/>
        </w:rPr>
        <w:t xml:space="preserve">(section 8) indicates that “Distributors filing an application for 2023 rates should seek disposition of all outstanding LRAMVA balances related to previously established thresholds. Distributors not rebasing for 2023 rates who have complete information on eligible savings (i.e., needing only to account for persistence of savings in future years) may seek a rate adjustment on a prospective basis to address amounts that would otherwise be recorded in the LRAMVA for all years until their next rebasing application.” </w:t>
      </w:r>
      <w:r>
        <w:rPr>
          <w:rFonts w:ascii="Arial" w:hAnsi="Arial" w:cs="Arial"/>
          <w:sz w:val="24"/>
          <w:szCs w:val="24"/>
        </w:rPr>
        <w:t xml:space="preserve">Halton Hills Hydro states that it will not have </w:t>
      </w:r>
      <w:r w:rsidRPr="00BA66B4">
        <w:rPr>
          <w:rFonts w:ascii="Arial" w:hAnsi="Arial" w:cs="Arial"/>
          <w:sz w:val="24"/>
          <w:szCs w:val="24"/>
        </w:rPr>
        <w:t>prospective disposition amounts in future years</w:t>
      </w:r>
      <w:r>
        <w:rPr>
          <w:rFonts w:ascii="Arial" w:hAnsi="Arial" w:cs="Arial"/>
          <w:sz w:val="24"/>
          <w:szCs w:val="24"/>
        </w:rPr>
        <w:t>.</w:t>
      </w:r>
    </w:p>
    <w:p w14:paraId="7FDD8B9F" w14:textId="77777777" w:rsidR="00447E95" w:rsidRPr="00BA66B4" w:rsidRDefault="00447E95" w:rsidP="00447E95">
      <w:pPr>
        <w:spacing w:after="240"/>
        <w:rPr>
          <w:rFonts w:ascii="Arial" w:hAnsi="Arial" w:cs="Arial"/>
          <w:b/>
          <w:bCs/>
          <w:sz w:val="24"/>
          <w:szCs w:val="24"/>
        </w:rPr>
      </w:pPr>
      <w:r w:rsidRPr="00BA66B4">
        <w:rPr>
          <w:rFonts w:ascii="Arial" w:hAnsi="Arial" w:cs="Arial"/>
          <w:b/>
          <w:bCs/>
          <w:sz w:val="24"/>
          <w:szCs w:val="24"/>
        </w:rPr>
        <w:t>Question</w:t>
      </w:r>
      <w:r>
        <w:rPr>
          <w:rFonts w:ascii="Arial" w:hAnsi="Arial" w:cs="Arial"/>
          <w:b/>
          <w:bCs/>
          <w:sz w:val="24"/>
          <w:szCs w:val="24"/>
        </w:rPr>
        <w:t>s</w:t>
      </w:r>
      <w:r w:rsidRPr="00BA66B4">
        <w:rPr>
          <w:rFonts w:ascii="Arial" w:hAnsi="Arial" w:cs="Arial"/>
          <w:b/>
          <w:bCs/>
          <w:sz w:val="24"/>
          <w:szCs w:val="24"/>
        </w:rPr>
        <w:t>:</w:t>
      </w:r>
    </w:p>
    <w:p w14:paraId="71423E48" w14:textId="77777777" w:rsidR="00447E95" w:rsidRDefault="00447E95" w:rsidP="00447E95">
      <w:pPr>
        <w:pStyle w:val="ListParagraph"/>
        <w:numPr>
          <w:ilvl w:val="0"/>
          <w:numId w:val="16"/>
        </w:numPr>
        <w:spacing w:after="240" w:line="276" w:lineRule="auto"/>
        <w:ind w:left="714" w:hanging="357"/>
        <w:rPr>
          <w:sz w:val="24"/>
          <w:szCs w:val="24"/>
        </w:rPr>
      </w:pPr>
      <w:r>
        <w:rPr>
          <w:sz w:val="24"/>
          <w:szCs w:val="24"/>
        </w:rPr>
        <w:t>Please explain why Halton Hills Hydro will not have prospective disposition amounts in future years</w:t>
      </w:r>
    </w:p>
    <w:p w14:paraId="155C432D" w14:textId="77777777" w:rsidR="00447E95" w:rsidRDefault="00447E95" w:rsidP="00447E95">
      <w:pPr>
        <w:pStyle w:val="ListParagraph"/>
        <w:numPr>
          <w:ilvl w:val="0"/>
          <w:numId w:val="16"/>
        </w:numPr>
        <w:spacing w:after="240" w:line="276" w:lineRule="auto"/>
        <w:ind w:left="714" w:hanging="357"/>
        <w:rPr>
          <w:sz w:val="24"/>
          <w:szCs w:val="24"/>
        </w:rPr>
      </w:pPr>
      <w:r>
        <w:rPr>
          <w:sz w:val="24"/>
          <w:szCs w:val="24"/>
        </w:rPr>
        <w:t xml:space="preserve">Please confirm that if the disposition of the LRAMVA balance in this application is approved as filed, that </w:t>
      </w:r>
      <w:r w:rsidRPr="00AB79A7">
        <w:rPr>
          <w:sz w:val="24"/>
          <w:szCs w:val="24"/>
        </w:rPr>
        <w:t>the balance in the LRAMVA</w:t>
      </w:r>
      <w:r>
        <w:rPr>
          <w:sz w:val="24"/>
          <w:szCs w:val="24"/>
        </w:rPr>
        <w:t xml:space="preserve"> </w:t>
      </w:r>
      <w:r w:rsidRPr="00AB79A7">
        <w:rPr>
          <w:sz w:val="24"/>
          <w:szCs w:val="24"/>
        </w:rPr>
        <w:t xml:space="preserve">and any prospective LRAM-eligible amounts </w:t>
      </w:r>
      <w:r>
        <w:rPr>
          <w:sz w:val="24"/>
          <w:szCs w:val="24"/>
        </w:rPr>
        <w:t>will be zero.</w:t>
      </w:r>
    </w:p>
    <w:p w14:paraId="0F89C1EF" w14:textId="77777777" w:rsidR="00447E95" w:rsidRPr="008D7809" w:rsidRDefault="00447E95" w:rsidP="00447E95">
      <w:pPr>
        <w:pStyle w:val="ListParagraph"/>
        <w:spacing w:after="240" w:line="276" w:lineRule="auto"/>
        <w:ind w:left="714"/>
        <w:rPr>
          <w:sz w:val="24"/>
          <w:szCs w:val="24"/>
        </w:rPr>
      </w:pPr>
    </w:p>
    <w:p w14:paraId="32E1A439" w14:textId="05A33333" w:rsidR="00447E95" w:rsidRDefault="00447E95" w:rsidP="00447E95">
      <w:pPr>
        <w:spacing w:after="240"/>
        <w:rPr>
          <w:rFonts w:ascii="Arial" w:hAnsi="Arial" w:cs="Arial"/>
          <w:b/>
          <w:bCs/>
          <w:sz w:val="24"/>
          <w:szCs w:val="24"/>
        </w:rPr>
      </w:pPr>
      <w:r>
        <w:rPr>
          <w:rFonts w:ascii="Arial" w:hAnsi="Arial" w:cs="Arial"/>
          <w:b/>
          <w:bCs/>
          <w:sz w:val="24"/>
          <w:szCs w:val="24"/>
        </w:rPr>
        <w:t xml:space="preserve">OEB Staff – </w:t>
      </w:r>
      <w:r w:rsidR="00730B0F">
        <w:rPr>
          <w:rFonts w:ascii="Arial" w:hAnsi="Arial" w:cs="Arial"/>
          <w:b/>
          <w:bCs/>
          <w:sz w:val="24"/>
          <w:szCs w:val="24"/>
        </w:rPr>
        <w:t>17</w:t>
      </w:r>
    </w:p>
    <w:p w14:paraId="1565F39B" w14:textId="77777777" w:rsidR="00447E95" w:rsidRDefault="00447E95" w:rsidP="00447E95">
      <w:pPr>
        <w:spacing w:after="0"/>
        <w:rPr>
          <w:rFonts w:ascii="Arial" w:hAnsi="Arial" w:cs="Arial"/>
          <w:b/>
          <w:bCs/>
          <w:sz w:val="24"/>
          <w:szCs w:val="24"/>
        </w:rPr>
      </w:pPr>
      <w:r>
        <w:rPr>
          <w:rFonts w:ascii="Arial" w:hAnsi="Arial" w:cs="Arial"/>
          <w:b/>
          <w:bCs/>
          <w:sz w:val="24"/>
          <w:szCs w:val="24"/>
        </w:rPr>
        <w:t>Ref: Manager’s Summary, page 13</w:t>
      </w:r>
    </w:p>
    <w:p w14:paraId="033F2D12" w14:textId="77777777" w:rsidR="00447E95" w:rsidRDefault="00447E95" w:rsidP="00447E95">
      <w:pPr>
        <w:spacing w:after="0"/>
        <w:rPr>
          <w:rFonts w:ascii="Arial" w:hAnsi="Arial" w:cs="Arial"/>
          <w:sz w:val="24"/>
          <w:szCs w:val="24"/>
        </w:rPr>
      </w:pPr>
    </w:p>
    <w:p w14:paraId="29B0C203" w14:textId="77777777" w:rsidR="00447E95" w:rsidRPr="008D7809" w:rsidRDefault="00447E95" w:rsidP="00447E95">
      <w:pPr>
        <w:spacing w:after="240"/>
        <w:rPr>
          <w:rFonts w:ascii="Arial" w:hAnsi="Arial" w:cs="Arial"/>
          <w:sz w:val="24"/>
          <w:szCs w:val="24"/>
        </w:rPr>
      </w:pPr>
      <w:r>
        <w:rPr>
          <w:rFonts w:ascii="Arial" w:hAnsi="Arial" w:cs="Arial"/>
          <w:sz w:val="24"/>
          <w:szCs w:val="24"/>
        </w:rPr>
        <w:t>Halton Hills notes in its Manager’s Summary that “</w:t>
      </w:r>
      <w:r w:rsidRPr="008D7809">
        <w:rPr>
          <w:rFonts w:ascii="Arial" w:hAnsi="Arial" w:cs="Arial"/>
          <w:sz w:val="24"/>
          <w:szCs w:val="24"/>
        </w:rPr>
        <w:t>The LRAMVA amounts, by class, excluding 2011 to 2014 programs, are provided in 3-VECC-15, part f).</w:t>
      </w:r>
      <w:r>
        <w:rPr>
          <w:rFonts w:ascii="Arial" w:hAnsi="Arial" w:cs="Arial"/>
          <w:sz w:val="24"/>
          <w:szCs w:val="24"/>
        </w:rPr>
        <w:t xml:space="preserve"> </w:t>
      </w:r>
      <w:r w:rsidRPr="008D7809">
        <w:rPr>
          <w:rFonts w:ascii="Arial" w:hAnsi="Arial" w:cs="Arial"/>
          <w:sz w:val="24"/>
          <w:szCs w:val="24"/>
        </w:rPr>
        <w:t xml:space="preserve">Persistence of </w:t>
      </w:r>
      <w:r w:rsidRPr="008D7809">
        <w:rPr>
          <w:rFonts w:ascii="Arial" w:hAnsi="Arial" w:cs="Arial"/>
          <w:sz w:val="24"/>
          <w:szCs w:val="24"/>
        </w:rPr>
        <w:lastRenderedPageBreak/>
        <w:t>programs from 2011 to 2014 are consistently excluded in Table IRR-45 (3-VECC-15) and</w:t>
      </w:r>
      <w:r>
        <w:rPr>
          <w:rFonts w:ascii="Arial" w:hAnsi="Arial" w:cs="Arial"/>
          <w:sz w:val="24"/>
          <w:szCs w:val="24"/>
        </w:rPr>
        <w:t xml:space="preserve"> </w:t>
      </w:r>
      <w:r w:rsidRPr="008D7809">
        <w:rPr>
          <w:rFonts w:ascii="Arial" w:hAnsi="Arial" w:cs="Arial"/>
          <w:sz w:val="24"/>
          <w:szCs w:val="24"/>
        </w:rPr>
        <w:t>persistence calculations in the LRAMVA workform.</w:t>
      </w:r>
      <w:r>
        <w:rPr>
          <w:rFonts w:ascii="Arial" w:hAnsi="Arial" w:cs="Arial"/>
          <w:sz w:val="24"/>
          <w:szCs w:val="24"/>
        </w:rPr>
        <w:t>”</w:t>
      </w:r>
    </w:p>
    <w:p w14:paraId="7D0FC8F3" w14:textId="77777777" w:rsidR="00447E95" w:rsidRPr="00BA66B4" w:rsidRDefault="00447E95" w:rsidP="00447E95">
      <w:pPr>
        <w:spacing w:after="240"/>
        <w:rPr>
          <w:rFonts w:ascii="Arial" w:hAnsi="Arial" w:cs="Arial"/>
          <w:b/>
          <w:bCs/>
          <w:sz w:val="24"/>
          <w:szCs w:val="24"/>
        </w:rPr>
      </w:pPr>
      <w:r w:rsidRPr="00BA66B4">
        <w:rPr>
          <w:rFonts w:ascii="Arial" w:hAnsi="Arial" w:cs="Arial"/>
          <w:b/>
          <w:bCs/>
          <w:sz w:val="24"/>
          <w:szCs w:val="24"/>
        </w:rPr>
        <w:t>Question:</w:t>
      </w:r>
    </w:p>
    <w:p w14:paraId="619D1DA4" w14:textId="77777777" w:rsidR="00447E95" w:rsidRDefault="00447E95" w:rsidP="00447E95">
      <w:pPr>
        <w:pStyle w:val="ListParagraph"/>
        <w:numPr>
          <w:ilvl w:val="0"/>
          <w:numId w:val="17"/>
        </w:numPr>
        <w:spacing w:after="240" w:line="276" w:lineRule="auto"/>
        <w:rPr>
          <w:sz w:val="24"/>
          <w:szCs w:val="24"/>
        </w:rPr>
      </w:pPr>
      <w:r>
        <w:rPr>
          <w:sz w:val="24"/>
          <w:szCs w:val="24"/>
        </w:rPr>
        <w:t>Please explain what is meant by the above-noted statements, and provide the referenced materials, if necessary.</w:t>
      </w:r>
    </w:p>
    <w:p w14:paraId="63871716" w14:textId="77777777" w:rsidR="00447E95" w:rsidRPr="008D7809" w:rsidRDefault="00447E95" w:rsidP="00447E95">
      <w:pPr>
        <w:pStyle w:val="ListParagraph"/>
        <w:spacing w:after="240" w:line="276" w:lineRule="auto"/>
        <w:rPr>
          <w:sz w:val="24"/>
          <w:szCs w:val="24"/>
        </w:rPr>
      </w:pPr>
    </w:p>
    <w:p w14:paraId="508D8028" w14:textId="2989C0B4" w:rsidR="00447E95" w:rsidRDefault="00447E95" w:rsidP="00447E95">
      <w:pPr>
        <w:spacing w:after="240"/>
        <w:rPr>
          <w:rFonts w:ascii="Arial" w:hAnsi="Arial" w:cs="Arial"/>
          <w:b/>
          <w:bCs/>
          <w:sz w:val="24"/>
          <w:szCs w:val="24"/>
        </w:rPr>
      </w:pPr>
      <w:r>
        <w:rPr>
          <w:rFonts w:ascii="Arial" w:hAnsi="Arial" w:cs="Arial"/>
          <w:b/>
          <w:bCs/>
          <w:sz w:val="24"/>
          <w:szCs w:val="24"/>
        </w:rPr>
        <w:t xml:space="preserve">OEB Staff – </w:t>
      </w:r>
      <w:r w:rsidR="00730B0F">
        <w:rPr>
          <w:rFonts w:ascii="Arial" w:hAnsi="Arial" w:cs="Arial"/>
          <w:b/>
          <w:bCs/>
          <w:sz w:val="24"/>
          <w:szCs w:val="24"/>
        </w:rPr>
        <w:t>18</w:t>
      </w:r>
    </w:p>
    <w:p w14:paraId="5F7A5E37" w14:textId="77777777" w:rsidR="00447E95" w:rsidRDefault="00447E95" w:rsidP="00447E95">
      <w:pPr>
        <w:spacing w:after="0"/>
        <w:rPr>
          <w:rFonts w:ascii="Arial" w:hAnsi="Arial" w:cs="Arial"/>
          <w:b/>
          <w:bCs/>
          <w:sz w:val="24"/>
          <w:szCs w:val="24"/>
        </w:rPr>
      </w:pPr>
      <w:r>
        <w:rPr>
          <w:rFonts w:ascii="Arial" w:hAnsi="Arial" w:cs="Arial"/>
          <w:b/>
          <w:bCs/>
          <w:sz w:val="24"/>
          <w:szCs w:val="24"/>
        </w:rPr>
        <w:t>Ref: Manager’s Summary, page 12</w:t>
      </w:r>
    </w:p>
    <w:p w14:paraId="747D3C18" w14:textId="77777777" w:rsidR="00447E95" w:rsidRDefault="00447E95" w:rsidP="00447E95">
      <w:pPr>
        <w:spacing w:after="0"/>
        <w:rPr>
          <w:rFonts w:ascii="Arial" w:hAnsi="Arial" w:cs="Arial"/>
          <w:b/>
          <w:bCs/>
          <w:sz w:val="24"/>
          <w:szCs w:val="24"/>
        </w:rPr>
      </w:pPr>
      <w:r>
        <w:rPr>
          <w:rFonts w:ascii="Arial" w:hAnsi="Arial" w:cs="Arial"/>
          <w:b/>
          <w:bCs/>
          <w:sz w:val="24"/>
          <w:szCs w:val="24"/>
        </w:rPr>
        <w:t>Ref: LRAMVA Workform, Tab 5 and Tab 7</w:t>
      </w:r>
    </w:p>
    <w:p w14:paraId="037755F0" w14:textId="77777777" w:rsidR="00447E95" w:rsidRDefault="00447E95" w:rsidP="00447E95">
      <w:pPr>
        <w:spacing w:after="0"/>
        <w:rPr>
          <w:rFonts w:ascii="Arial" w:hAnsi="Arial" w:cs="Arial"/>
          <w:b/>
          <w:bCs/>
          <w:sz w:val="24"/>
          <w:szCs w:val="24"/>
        </w:rPr>
      </w:pPr>
    </w:p>
    <w:p w14:paraId="14289D59" w14:textId="77777777" w:rsidR="00447E95" w:rsidRPr="00AC1457" w:rsidRDefault="00447E95" w:rsidP="00447E95">
      <w:pPr>
        <w:spacing w:after="0"/>
        <w:rPr>
          <w:rFonts w:ascii="Arial" w:hAnsi="Arial" w:cs="Arial"/>
          <w:sz w:val="24"/>
          <w:szCs w:val="24"/>
        </w:rPr>
      </w:pPr>
      <w:r w:rsidRPr="00AC1457">
        <w:rPr>
          <w:rFonts w:ascii="Arial" w:hAnsi="Arial" w:cs="Arial"/>
          <w:sz w:val="24"/>
          <w:szCs w:val="24"/>
        </w:rPr>
        <w:t>Halton Hills Hydro states</w:t>
      </w:r>
      <w:r>
        <w:rPr>
          <w:rFonts w:ascii="Arial" w:hAnsi="Arial" w:cs="Arial"/>
          <w:sz w:val="24"/>
          <w:szCs w:val="24"/>
        </w:rPr>
        <w:t xml:space="preserve"> in its Manager Summary</w:t>
      </w:r>
      <w:r w:rsidRPr="00AC1457">
        <w:rPr>
          <w:rFonts w:ascii="Arial" w:hAnsi="Arial" w:cs="Arial"/>
          <w:sz w:val="24"/>
          <w:szCs w:val="24"/>
        </w:rPr>
        <w:t xml:space="preserve"> that the 2019 and 2020 retrofit savings were provided by Halton Hills Hydro’s consultant </w:t>
      </w:r>
      <w:proofErr w:type="spellStart"/>
      <w:r w:rsidRPr="00AC1457">
        <w:rPr>
          <w:rFonts w:ascii="Arial" w:hAnsi="Arial" w:cs="Arial"/>
          <w:sz w:val="24"/>
          <w:szCs w:val="24"/>
        </w:rPr>
        <w:t>Aladaco</w:t>
      </w:r>
      <w:proofErr w:type="spellEnd"/>
      <w:r w:rsidRPr="00AC1457">
        <w:rPr>
          <w:rFonts w:ascii="Arial" w:hAnsi="Arial" w:cs="Arial"/>
          <w:sz w:val="24"/>
          <w:szCs w:val="24"/>
        </w:rPr>
        <w:t xml:space="preserve">. OEB staff </w:t>
      </w:r>
      <w:r>
        <w:rPr>
          <w:rFonts w:ascii="Arial" w:hAnsi="Arial" w:cs="Arial"/>
          <w:sz w:val="24"/>
          <w:szCs w:val="24"/>
        </w:rPr>
        <w:t>is</w:t>
      </w:r>
      <w:r w:rsidRPr="00AC1457">
        <w:rPr>
          <w:rFonts w:ascii="Arial" w:hAnsi="Arial" w:cs="Arial"/>
          <w:sz w:val="24"/>
          <w:szCs w:val="24"/>
        </w:rPr>
        <w:t xml:space="preserve"> unable to confirm the </w:t>
      </w:r>
      <w:r>
        <w:rPr>
          <w:rFonts w:ascii="Arial" w:hAnsi="Arial" w:cs="Arial"/>
          <w:sz w:val="24"/>
          <w:szCs w:val="24"/>
        </w:rPr>
        <w:t xml:space="preserve">source and calculation of the </w:t>
      </w:r>
      <w:r w:rsidRPr="00AC1457">
        <w:rPr>
          <w:rFonts w:ascii="Arial" w:hAnsi="Arial" w:cs="Arial"/>
          <w:sz w:val="24"/>
          <w:szCs w:val="24"/>
        </w:rPr>
        <w:t>retrofit savings data in tab 5 of the LRAMVA workform.</w:t>
      </w:r>
    </w:p>
    <w:p w14:paraId="75292BE8" w14:textId="77777777" w:rsidR="00447E95" w:rsidRDefault="00447E95" w:rsidP="00447E95">
      <w:pPr>
        <w:spacing w:after="0"/>
        <w:rPr>
          <w:rFonts w:ascii="Arial" w:hAnsi="Arial" w:cs="Arial"/>
          <w:b/>
          <w:bCs/>
          <w:sz w:val="24"/>
          <w:szCs w:val="24"/>
        </w:rPr>
      </w:pPr>
    </w:p>
    <w:p w14:paraId="4786558C" w14:textId="77777777" w:rsidR="00447E95" w:rsidRPr="00BA66B4" w:rsidRDefault="00447E95" w:rsidP="00447E95">
      <w:pPr>
        <w:spacing w:after="240"/>
        <w:rPr>
          <w:rFonts w:ascii="Arial" w:hAnsi="Arial" w:cs="Arial"/>
          <w:b/>
          <w:bCs/>
          <w:sz w:val="24"/>
          <w:szCs w:val="24"/>
        </w:rPr>
      </w:pPr>
      <w:r w:rsidRPr="00BA66B4">
        <w:rPr>
          <w:rFonts w:ascii="Arial" w:hAnsi="Arial" w:cs="Arial"/>
          <w:b/>
          <w:bCs/>
          <w:sz w:val="24"/>
          <w:szCs w:val="24"/>
        </w:rPr>
        <w:t>Question:</w:t>
      </w:r>
    </w:p>
    <w:p w14:paraId="078CB5DA" w14:textId="77777777" w:rsidR="00447E95" w:rsidRPr="000975C1" w:rsidRDefault="00447E95" w:rsidP="00447E95">
      <w:pPr>
        <w:pStyle w:val="ListParagraph"/>
        <w:numPr>
          <w:ilvl w:val="0"/>
          <w:numId w:val="18"/>
        </w:numPr>
        <w:spacing w:after="0" w:line="276" w:lineRule="auto"/>
        <w:ind w:left="714" w:hanging="357"/>
        <w:rPr>
          <w:b/>
          <w:bCs/>
          <w:sz w:val="24"/>
          <w:szCs w:val="24"/>
        </w:rPr>
      </w:pPr>
      <w:r w:rsidRPr="000975C1">
        <w:rPr>
          <w:sz w:val="24"/>
          <w:szCs w:val="24"/>
        </w:rPr>
        <w:t xml:space="preserve">Please clarify and provide the source of the retrofit savings for 2019 and 2020 in Tab 5 of the LRAMVA workform and as referenced in Tab 7 of the retrofit savings (e.g. the 2019 </w:t>
      </w:r>
      <w:proofErr w:type="spellStart"/>
      <w:r w:rsidRPr="000975C1">
        <w:rPr>
          <w:sz w:val="24"/>
          <w:szCs w:val="24"/>
        </w:rPr>
        <w:t>Aladaco</w:t>
      </w:r>
      <w:proofErr w:type="spellEnd"/>
      <w:r w:rsidRPr="000975C1">
        <w:rPr>
          <w:sz w:val="24"/>
          <w:szCs w:val="24"/>
        </w:rPr>
        <w:t xml:space="preserve"> Report and the 2020 </w:t>
      </w:r>
      <w:proofErr w:type="spellStart"/>
      <w:r w:rsidRPr="000975C1">
        <w:rPr>
          <w:sz w:val="24"/>
          <w:szCs w:val="24"/>
        </w:rPr>
        <w:t>Aladaco</w:t>
      </w:r>
      <w:proofErr w:type="spellEnd"/>
      <w:r w:rsidRPr="000975C1">
        <w:rPr>
          <w:sz w:val="24"/>
          <w:szCs w:val="24"/>
        </w:rPr>
        <w:t xml:space="preserve"> Report).</w:t>
      </w:r>
      <w:r w:rsidRPr="000975C1" w:rsidDel="000975C1">
        <w:rPr>
          <w:sz w:val="24"/>
          <w:szCs w:val="24"/>
        </w:rPr>
        <w:t xml:space="preserve"> </w:t>
      </w:r>
    </w:p>
    <w:p w14:paraId="3C292571" w14:textId="77777777" w:rsidR="00447E95" w:rsidRDefault="00447E95" w:rsidP="00447E95">
      <w:pPr>
        <w:spacing w:after="0" w:line="240" w:lineRule="auto"/>
        <w:rPr>
          <w:rFonts w:ascii="Arial" w:hAnsi="Arial" w:cs="Arial"/>
          <w:sz w:val="24"/>
          <w:szCs w:val="24"/>
        </w:rPr>
      </w:pPr>
    </w:p>
    <w:p w14:paraId="118E3134" w14:textId="77777777" w:rsidR="00447E95" w:rsidRDefault="00447E95" w:rsidP="00447E95">
      <w:pPr>
        <w:spacing w:after="240" w:line="240" w:lineRule="auto"/>
        <w:rPr>
          <w:rFonts w:ascii="Arial" w:hAnsi="Arial" w:cs="Arial"/>
          <w:b/>
          <w:bCs/>
          <w:sz w:val="24"/>
          <w:szCs w:val="24"/>
        </w:rPr>
      </w:pPr>
    </w:p>
    <w:p w14:paraId="17024081" w14:textId="77777777" w:rsidR="00447E95" w:rsidRPr="00AB79A7" w:rsidRDefault="00447E95" w:rsidP="00447E95">
      <w:pPr>
        <w:rPr>
          <w:lang w:val="en-US"/>
        </w:rPr>
      </w:pPr>
    </w:p>
    <w:p w14:paraId="11E18B65" w14:textId="77777777" w:rsidR="00310403" w:rsidRPr="00723862" w:rsidRDefault="00310403" w:rsidP="00310403">
      <w:pPr>
        <w:spacing w:after="240" w:line="240" w:lineRule="auto"/>
        <w:rPr>
          <w:rFonts w:ascii="Arial" w:hAnsi="Arial" w:cs="Arial"/>
          <w:sz w:val="24"/>
          <w:szCs w:val="24"/>
        </w:rPr>
      </w:pPr>
    </w:p>
    <w:sectPr w:rsidR="00310403" w:rsidRPr="00723862" w:rsidSect="0092685E">
      <w:headerReference w:type="default" r:id="rId15"/>
      <w:footerReference w:type="default" r:id="rId16"/>
      <w:footerReference w:type="first" r:id="rId17"/>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33E" w14:textId="77777777" w:rsidR="001C638D" w:rsidRDefault="001C638D" w:rsidP="003E6FB1">
      <w:pPr>
        <w:spacing w:after="0" w:line="240" w:lineRule="auto"/>
      </w:pPr>
      <w:r>
        <w:separator/>
      </w:r>
    </w:p>
  </w:endnote>
  <w:endnote w:type="continuationSeparator" w:id="0">
    <w:p w14:paraId="6F6D2D98" w14:textId="77777777" w:rsidR="001C638D" w:rsidRDefault="001C638D"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45997"/>
      <w:docPartObj>
        <w:docPartGallery w:val="Page Numbers (Bottom of Page)"/>
        <w:docPartUnique/>
      </w:docPartObj>
    </w:sdtPr>
    <w:sdtEndPr>
      <w:rPr>
        <w:noProof/>
      </w:rPr>
    </w:sdtEndPr>
    <w:sdtContent>
      <w:p w14:paraId="7A641DC2" w14:textId="4D740248" w:rsidR="00E953D0" w:rsidRDefault="00E953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1D785" w14:textId="77777777" w:rsidR="00E953D0" w:rsidRDefault="00E95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1B7035">
      <w:trPr>
        <w:trHeight w:val="521"/>
      </w:trPr>
      <w:tc>
        <w:tcPr>
          <w:tcW w:w="6237" w:type="dxa"/>
        </w:tcPr>
        <w:p w14:paraId="26B693DF" w14:textId="77777777" w:rsidR="00386C9B" w:rsidRDefault="00386C9B" w:rsidP="00386C9B">
          <w:pPr>
            <w:spacing w:after="80"/>
            <w:rPr>
              <w:rFonts w:ascii="Arial" w:hAnsi="Arial" w:cs="Arial"/>
              <w:color w:val="212121"/>
              <w:sz w:val="16"/>
              <w:shd w:val="clear" w:color="auto" w:fill="FFFFFF"/>
            </w:rPr>
          </w:pPr>
          <w:r w:rsidRPr="007A637D">
            <w:rPr>
              <w:rFonts w:ascii="Arial" w:hAnsi="Arial" w:cs="Arial"/>
              <w:color w:val="212121"/>
              <w:sz w:val="16"/>
              <w:shd w:val="clear" w:color="auto" w:fill="FFFFFF"/>
            </w:rPr>
            <w:t>2300 Yonge Street, 27</w:t>
          </w:r>
          <w:r w:rsidRPr="007A637D">
            <w:rPr>
              <w:rFonts w:ascii="Arial" w:hAnsi="Arial" w:cs="Arial"/>
              <w:color w:val="212121"/>
              <w:sz w:val="16"/>
              <w:shd w:val="clear" w:color="auto" w:fill="FFFFFF"/>
              <w:vertAlign w:val="superscript"/>
            </w:rPr>
            <w:t>th</w:t>
          </w:r>
          <w:r w:rsidRPr="007A637D">
            <w:rPr>
              <w:rFonts w:ascii="Arial" w:hAnsi="Arial" w:cs="Arial"/>
              <w:color w:val="212121"/>
              <w:sz w:val="16"/>
              <w:shd w:val="clear" w:color="auto" w:fill="FFFFFF"/>
            </w:rPr>
            <w:t xml:space="preserve"> floor, P.O. Box 2319</w:t>
          </w:r>
          <w:r w:rsidRPr="007A637D">
            <w:rPr>
              <w:rFonts w:ascii="Arial" w:hAnsi="Arial" w:cs="Arial"/>
              <w:color w:val="212121"/>
              <w:sz w:val="16"/>
            </w:rPr>
            <w:t xml:space="preserve">, </w:t>
          </w:r>
          <w:r w:rsidRPr="007A637D">
            <w:rPr>
              <w:rFonts w:ascii="Arial" w:hAnsi="Arial" w:cs="Arial"/>
              <w:color w:val="212121"/>
              <w:sz w:val="16"/>
              <w:shd w:val="clear" w:color="auto" w:fill="FFFFFF"/>
            </w:rPr>
            <w:t>Toronto, ON, M4P 1E4</w:t>
          </w:r>
        </w:p>
        <w:p w14:paraId="231EE25A" w14:textId="45538FE7" w:rsidR="00386C9B" w:rsidRPr="007A637D" w:rsidRDefault="00386C9B" w:rsidP="00386C9B">
          <w:pPr>
            <w:spacing w:line="276" w:lineRule="auto"/>
            <w:rPr>
              <w:rFonts w:ascii="Arial" w:hAnsi="Arial" w:cs="Arial"/>
              <w:color w:val="212121"/>
              <w:sz w:val="16"/>
              <w:shd w:val="clear" w:color="auto" w:fill="FFFFFF"/>
            </w:rPr>
          </w:pPr>
          <w:r w:rsidRPr="00D840F5">
            <w:rPr>
              <w:rFonts w:ascii="Arial" w:hAnsi="Arial" w:cs="Arial"/>
              <w:color w:val="212121"/>
              <w:sz w:val="16"/>
              <w:shd w:val="clear" w:color="auto" w:fill="FFFFFF"/>
            </w:rPr>
            <w:t>2300, rue Yonge, 27</w:t>
          </w:r>
          <w:r w:rsidRPr="009C000B">
            <w:rPr>
              <w:rFonts w:ascii="Arial" w:hAnsi="Arial" w:cs="Arial"/>
              <w:color w:val="212121"/>
              <w:sz w:val="16"/>
              <w:shd w:val="clear" w:color="auto" w:fill="FFFFFF"/>
              <w:vertAlign w:val="superscript"/>
            </w:rPr>
            <w:t>e</w:t>
          </w:r>
          <w:r w:rsidRPr="00D840F5">
            <w:rPr>
              <w:rFonts w:ascii="Arial" w:hAnsi="Arial" w:cs="Arial"/>
              <w:color w:val="212121"/>
              <w:sz w:val="16"/>
              <w:shd w:val="clear" w:color="auto" w:fill="FFFFFF"/>
            </w:rPr>
            <w:t> étage, C.P. 2319, Toronto (Ontario) M4P 1E4</w:t>
          </w:r>
        </w:p>
      </w:tc>
      <w:tc>
        <w:tcPr>
          <w:tcW w:w="2977" w:type="dxa"/>
        </w:tcPr>
        <w:p w14:paraId="577423D2" w14:textId="77777777" w:rsidR="00386C9B" w:rsidRPr="007A637D" w:rsidRDefault="00386C9B" w:rsidP="00386C9B">
          <w:pPr>
            <w:spacing w:after="80"/>
            <w:rPr>
              <w:rFonts w:ascii="Arial" w:hAnsi="Arial" w:cs="Arial"/>
              <w:color w:val="212121"/>
              <w:sz w:val="16"/>
              <w:shd w:val="clear" w:color="auto" w:fill="FFFFFF"/>
            </w:rPr>
          </w:pPr>
          <w:r w:rsidRPr="007A637D">
            <w:rPr>
              <w:rFonts w:ascii="Arial" w:hAnsi="Arial" w:cs="Arial"/>
              <w:b/>
              <w:color w:val="212121"/>
              <w:sz w:val="16"/>
              <w:shd w:val="clear" w:color="auto" w:fill="FFFFFF"/>
            </w:rPr>
            <w:t>T</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416-481-1967</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1-888-632-6273</w:t>
          </w:r>
          <w:r w:rsidRPr="007A637D">
            <w:rPr>
              <w:rFonts w:ascii="Arial" w:hAnsi="Arial" w:cs="Arial"/>
              <w:color w:val="212121"/>
              <w:sz w:val="16"/>
              <w:shd w:val="clear" w:color="auto" w:fill="FFFFFF"/>
            </w:rPr>
            <w:t xml:space="preserve">    </w:t>
          </w:r>
        </w:p>
        <w:p w14:paraId="54B66CD2" w14:textId="1D8F0B3A" w:rsidR="00386C9B" w:rsidRPr="007A637D" w:rsidRDefault="00386C9B" w:rsidP="00386C9B">
          <w:pPr>
            <w:spacing w:line="276" w:lineRule="auto"/>
            <w:rPr>
              <w:rFonts w:ascii="Arial" w:hAnsi="Arial" w:cs="Arial"/>
              <w:color w:val="212121"/>
              <w:sz w:val="16"/>
              <w:shd w:val="clear" w:color="auto" w:fill="FFFFFF"/>
            </w:rPr>
          </w:pPr>
          <w:r w:rsidRPr="007A637D">
            <w:rPr>
              <w:rFonts w:ascii="Arial" w:hAnsi="Arial" w:cs="Arial"/>
              <w:b/>
              <w:color w:val="212121"/>
              <w:sz w:val="16"/>
              <w:shd w:val="clear" w:color="auto" w:fill="FFFFFF"/>
            </w:rPr>
            <w:t>F</w:t>
          </w:r>
          <w:r w:rsidRPr="007A637D">
            <w:rPr>
              <w:rFonts w:ascii="Arial" w:hAnsi="Arial" w:cs="Arial"/>
              <w:color w:val="212121"/>
              <w:sz w:val="16"/>
              <w:shd w:val="clear" w:color="auto" w:fill="FFFFFF"/>
            </w:rPr>
            <w:t xml:space="preserve"> 416-440-7656</w:t>
          </w:r>
          <w:r>
            <w:rPr>
              <w:rFonts w:ascii="Arial" w:hAnsi="Arial" w:cs="Arial"/>
              <w:color w:val="212121"/>
              <w:sz w:val="16"/>
              <w:shd w:val="clear" w:color="auto" w:fill="FFFFFF"/>
            </w:rPr>
            <w:t xml:space="preserve">    </w:t>
          </w:r>
          <w:r w:rsidRPr="000D197C">
            <w:rPr>
              <w:rFonts w:ascii="Arial" w:hAnsi="Arial" w:cs="Arial"/>
              <w:b/>
              <w:color w:val="404040" w:themeColor="text1" w:themeTint="BF"/>
              <w:sz w:val="18"/>
              <w:shd w:val="clear" w:color="auto" w:fill="FFFFFF"/>
            </w:rPr>
            <w:t>OEB.ca</w:t>
          </w:r>
        </w:p>
      </w:tc>
    </w:tr>
  </w:tbl>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F5EC" w14:textId="77777777" w:rsidR="001C638D" w:rsidRDefault="001C638D" w:rsidP="003E6FB1">
      <w:pPr>
        <w:spacing w:after="0" w:line="240" w:lineRule="auto"/>
      </w:pPr>
      <w:r>
        <w:separator/>
      </w:r>
    </w:p>
  </w:footnote>
  <w:footnote w:type="continuationSeparator" w:id="0">
    <w:p w14:paraId="54CAD0CC" w14:textId="77777777" w:rsidR="001C638D" w:rsidRDefault="001C638D" w:rsidP="003E6FB1">
      <w:pPr>
        <w:spacing w:after="0" w:line="240" w:lineRule="auto"/>
      </w:pPr>
      <w:r>
        <w:continuationSeparator/>
      </w:r>
    </w:p>
  </w:footnote>
  <w:footnote w:id="1">
    <w:p w14:paraId="03A72DF3" w14:textId="77777777" w:rsidR="00E03B6B" w:rsidRPr="0007721A" w:rsidRDefault="00E03B6B" w:rsidP="00E03B6B">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Pr>
          <w:rFonts w:ascii="Arial" w:hAnsi="Arial" w:cs="Arial"/>
        </w:rPr>
        <w:t xml:space="preserve">OEB Letter, </w:t>
      </w:r>
      <w:r w:rsidRPr="0007721A">
        <w:rPr>
          <w:rFonts w:ascii="Arial" w:hAnsi="Arial" w:cs="Arial"/>
          <w:lang w:val="en-US"/>
        </w:rPr>
        <w:t>202</w:t>
      </w:r>
      <w:r>
        <w:rPr>
          <w:rFonts w:ascii="Arial" w:hAnsi="Arial" w:cs="Arial"/>
          <w:lang w:val="en-US"/>
        </w:rPr>
        <w:t>3</w:t>
      </w:r>
      <w:r w:rsidRPr="0007721A">
        <w:rPr>
          <w:rFonts w:ascii="Arial" w:hAnsi="Arial" w:cs="Arial"/>
          <w:lang w:val="en-US"/>
        </w:rPr>
        <w:t xml:space="preserve"> </w:t>
      </w:r>
      <w:r>
        <w:rPr>
          <w:rFonts w:ascii="Arial" w:hAnsi="Arial" w:cs="Arial"/>
          <w:lang w:val="en-US"/>
        </w:rPr>
        <w:t>I</w:t>
      </w:r>
      <w:r w:rsidRPr="0007721A">
        <w:rPr>
          <w:rFonts w:ascii="Arial" w:hAnsi="Arial" w:cs="Arial"/>
          <w:lang w:val="en-US"/>
        </w:rPr>
        <w:t xml:space="preserve">nflation </w:t>
      </w:r>
      <w:r>
        <w:rPr>
          <w:rFonts w:ascii="Arial" w:hAnsi="Arial" w:cs="Arial"/>
          <w:lang w:val="en-US"/>
        </w:rPr>
        <w:t>parameters, issued October 20, 2022</w:t>
      </w:r>
    </w:p>
  </w:footnote>
  <w:footnote w:id="2">
    <w:p w14:paraId="3F9A672B" w14:textId="77777777" w:rsidR="00E03B6B" w:rsidRPr="0006764F" w:rsidRDefault="00E03B6B" w:rsidP="00E03B6B">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w:t>
      </w:r>
      <w:r>
        <w:rPr>
          <w:rFonts w:ascii="Arial" w:hAnsi="Arial" w:cs="Arial"/>
          <w:lang w:val="en-US"/>
        </w:rPr>
        <w:t>2-0221</w:t>
      </w:r>
      <w:r w:rsidRPr="0006764F">
        <w:rPr>
          <w:rFonts w:ascii="Arial" w:hAnsi="Arial" w:cs="Arial"/>
          <w:lang w:val="en-US"/>
        </w:rPr>
        <w:t xml:space="preserve">, Decision and Order, issued </w:t>
      </w:r>
      <w:r>
        <w:rPr>
          <w:rFonts w:ascii="Arial" w:hAnsi="Arial" w:cs="Arial"/>
          <w:lang w:val="en-US"/>
        </w:rPr>
        <w:t>November 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2797" w14:textId="66EF925E" w:rsidR="00E972EF" w:rsidRPr="00E972EF" w:rsidRDefault="00F54927" w:rsidP="00E972EF">
    <w:pPr>
      <w:pStyle w:val="Default"/>
      <w:jc w:val="right"/>
      <w:rPr>
        <w:rFonts w:ascii="Arial" w:hAnsi="Arial" w:cs="Arial"/>
        <w:sz w:val="20"/>
        <w:szCs w:val="20"/>
      </w:rPr>
    </w:pPr>
    <w:r>
      <w:rPr>
        <w:rFonts w:ascii="Arial" w:hAnsi="Arial" w:cs="Arial"/>
        <w:bCs/>
        <w:sz w:val="20"/>
        <w:szCs w:val="20"/>
      </w:rPr>
      <w:t>Halton Hills</w:t>
    </w:r>
    <w:r w:rsidR="00BE5625">
      <w:rPr>
        <w:rFonts w:ascii="Arial" w:hAnsi="Arial" w:cs="Arial"/>
        <w:bCs/>
        <w:sz w:val="20"/>
        <w:szCs w:val="20"/>
      </w:rPr>
      <w:t xml:space="preserve"> Hydro </w:t>
    </w:r>
    <w:r w:rsidR="00447E95">
      <w:rPr>
        <w:rFonts w:ascii="Arial" w:hAnsi="Arial" w:cs="Arial"/>
        <w:bCs/>
        <w:sz w:val="20"/>
        <w:szCs w:val="20"/>
      </w:rPr>
      <w:t>Inc.</w:t>
    </w:r>
  </w:p>
  <w:p w14:paraId="44028EC4" w14:textId="02E8BFAB"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 xml:space="preserve">OEB Staff </w:t>
    </w:r>
    <w:r w:rsidR="00E953D0">
      <w:rPr>
        <w:rFonts w:ascii="Arial" w:hAnsi="Arial" w:cs="Arial"/>
        <w:sz w:val="20"/>
        <w:szCs w:val="20"/>
      </w:rPr>
      <w:t>Questions</w:t>
    </w:r>
  </w:p>
  <w:p w14:paraId="312BD6E9" w14:textId="23BFA285" w:rsidR="00E972EF" w:rsidRDefault="00E972EF" w:rsidP="00E972EF">
    <w:pPr>
      <w:pStyle w:val="Default"/>
      <w:jc w:val="right"/>
      <w:rPr>
        <w:rFonts w:ascii="Arial" w:hAnsi="Arial" w:cs="Arial"/>
        <w:sz w:val="20"/>
        <w:szCs w:val="20"/>
      </w:rPr>
    </w:pPr>
    <w:r w:rsidRPr="00E972EF">
      <w:rPr>
        <w:rFonts w:ascii="Arial" w:hAnsi="Arial" w:cs="Arial"/>
        <w:sz w:val="20"/>
        <w:szCs w:val="20"/>
      </w:rPr>
      <w:t>EB-202</w:t>
    </w:r>
    <w:r w:rsidR="003D2595">
      <w:rPr>
        <w:rFonts w:ascii="Arial" w:hAnsi="Arial" w:cs="Arial"/>
        <w:sz w:val="20"/>
        <w:szCs w:val="20"/>
      </w:rPr>
      <w:t>2</w:t>
    </w:r>
    <w:r w:rsidRPr="00E972EF">
      <w:rPr>
        <w:rFonts w:ascii="Arial" w:hAnsi="Arial" w:cs="Arial"/>
        <w:sz w:val="20"/>
        <w:szCs w:val="20"/>
      </w:rPr>
      <w:t>-</w:t>
    </w:r>
    <w:r w:rsidR="007D0C2D">
      <w:rPr>
        <w:rFonts w:ascii="Arial" w:hAnsi="Arial" w:cs="Arial"/>
        <w:sz w:val="20"/>
        <w:szCs w:val="20"/>
      </w:rPr>
      <w:t>00</w:t>
    </w:r>
    <w:r w:rsidR="008E24C5">
      <w:rPr>
        <w:rFonts w:ascii="Arial" w:hAnsi="Arial" w:cs="Arial"/>
        <w:sz w:val="20"/>
        <w:szCs w:val="20"/>
      </w:rPr>
      <w:t>3</w:t>
    </w:r>
    <w:r w:rsidR="00BE5625">
      <w:rPr>
        <w:rFonts w:ascii="Arial" w:hAnsi="Arial" w:cs="Arial"/>
        <w:sz w:val="20"/>
        <w:szCs w:val="20"/>
      </w:rPr>
      <w:t>6</w:t>
    </w:r>
  </w:p>
  <w:p w14:paraId="09CA9E7D" w14:textId="0783F6CF" w:rsidR="008E24C5" w:rsidRPr="00E972EF" w:rsidRDefault="008E24C5" w:rsidP="00E972EF">
    <w:pPr>
      <w:pStyle w:val="Default"/>
      <w:jc w:val="right"/>
      <w:rPr>
        <w:rFonts w:ascii="Arial" w:hAnsi="Arial" w:cs="Arial"/>
        <w:sz w:val="20"/>
        <w:szCs w:val="20"/>
      </w:rPr>
    </w:pPr>
    <w:r>
      <w:rPr>
        <w:rFonts w:ascii="Arial" w:hAnsi="Arial" w:cs="Arial"/>
        <w:sz w:val="20"/>
        <w:szCs w:val="20"/>
      </w:rPr>
      <w:t>January 13, 2023</w:t>
    </w:r>
  </w:p>
  <w:p w14:paraId="5A870A6C" w14:textId="75D97385" w:rsidR="007F7A36" w:rsidRPr="00E972EF" w:rsidRDefault="007F7A36" w:rsidP="00E972EF">
    <w:pPr>
      <w:pStyle w:val="Header"/>
      <w:jc w:val="righ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FA9"/>
    <w:multiLevelType w:val="hybridMultilevel"/>
    <w:tmpl w:val="CF744820"/>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07B87"/>
    <w:multiLevelType w:val="hybridMultilevel"/>
    <w:tmpl w:val="715A0C20"/>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01694"/>
    <w:multiLevelType w:val="hybridMultilevel"/>
    <w:tmpl w:val="9856BC5E"/>
    <w:lvl w:ilvl="0" w:tplc="09B00368">
      <w:start w:val="1"/>
      <w:numFmt w:val="lowerLetter"/>
      <w:lvlText w:val="%1)"/>
      <w:lvlJc w:val="left"/>
      <w:pPr>
        <w:ind w:left="720" w:hanging="360"/>
      </w:pPr>
      <w:rPr>
        <w:rFonts w:ascii="Arial" w:hAnsi="Arial"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9408A1"/>
    <w:multiLevelType w:val="hybridMultilevel"/>
    <w:tmpl w:val="8E4470B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E5AFD"/>
    <w:multiLevelType w:val="hybridMultilevel"/>
    <w:tmpl w:val="E6002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C5454"/>
    <w:multiLevelType w:val="hybridMultilevel"/>
    <w:tmpl w:val="BC465A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2B4BEB"/>
    <w:multiLevelType w:val="hybridMultilevel"/>
    <w:tmpl w:val="849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21267"/>
    <w:multiLevelType w:val="hybridMultilevel"/>
    <w:tmpl w:val="9EFE1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4E2D"/>
    <w:multiLevelType w:val="hybridMultilevel"/>
    <w:tmpl w:val="7BCE35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F57659"/>
    <w:multiLevelType w:val="hybridMultilevel"/>
    <w:tmpl w:val="8BC6B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72226"/>
    <w:multiLevelType w:val="hybridMultilevel"/>
    <w:tmpl w:val="774077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9D11E3"/>
    <w:multiLevelType w:val="hybridMultilevel"/>
    <w:tmpl w:val="BC465A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8352D"/>
    <w:multiLevelType w:val="hybridMultilevel"/>
    <w:tmpl w:val="8E4470BE"/>
    <w:lvl w:ilvl="0" w:tplc="B94AF9F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F5E3A"/>
    <w:multiLevelType w:val="hybridMultilevel"/>
    <w:tmpl w:val="E6889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1BD0"/>
    <w:multiLevelType w:val="hybridMultilevel"/>
    <w:tmpl w:val="7BCE3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E106F"/>
    <w:multiLevelType w:val="hybridMultilevel"/>
    <w:tmpl w:val="7BCE35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8560E4"/>
    <w:multiLevelType w:val="hybridMultilevel"/>
    <w:tmpl w:val="20BAF418"/>
    <w:lvl w:ilvl="0" w:tplc="EAAECEC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D630A"/>
    <w:multiLevelType w:val="hybridMultilevel"/>
    <w:tmpl w:val="7174FA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DF0DAB"/>
    <w:multiLevelType w:val="hybridMultilevel"/>
    <w:tmpl w:val="7174FA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3F6666"/>
    <w:multiLevelType w:val="hybridMultilevel"/>
    <w:tmpl w:val="E60026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424D1"/>
    <w:multiLevelType w:val="hybridMultilevel"/>
    <w:tmpl w:val="02F0EBB6"/>
    <w:lvl w:ilvl="0" w:tplc="40382B2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1B09"/>
    <w:multiLevelType w:val="hybridMultilevel"/>
    <w:tmpl w:val="9B56D6AA"/>
    <w:lvl w:ilvl="0" w:tplc="D4F0B8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D3ABF"/>
    <w:multiLevelType w:val="hybridMultilevel"/>
    <w:tmpl w:val="7BCE35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0E7873"/>
    <w:multiLevelType w:val="hybridMultilevel"/>
    <w:tmpl w:val="5FA0029E"/>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4" w15:restartNumberingAfterBreak="0">
    <w:nsid w:val="54DC3DA0"/>
    <w:multiLevelType w:val="hybridMultilevel"/>
    <w:tmpl w:val="A2DA2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20872"/>
    <w:multiLevelType w:val="hybridMultilevel"/>
    <w:tmpl w:val="54E2F6B6"/>
    <w:lvl w:ilvl="0" w:tplc="04090001">
      <w:start w:val="1"/>
      <w:numFmt w:val="bullet"/>
      <w:lvlText w:val=""/>
      <w:lvlJc w:val="left"/>
      <w:pPr>
        <w:ind w:left="1511" w:hanging="360"/>
      </w:pPr>
      <w:rPr>
        <w:rFonts w:ascii="Symbol" w:hAnsi="Symbol" w:hint="default"/>
      </w:rPr>
    </w:lvl>
    <w:lvl w:ilvl="1" w:tplc="04090003">
      <w:start w:val="1"/>
      <w:numFmt w:val="bullet"/>
      <w:lvlText w:val="o"/>
      <w:lvlJc w:val="left"/>
      <w:pPr>
        <w:ind w:left="2231" w:hanging="360"/>
      </w:pPr>
      <w:rPr>
        <w:rFonts w:ascii="Courier New" w:hAnsi="Courier New" w:cs="Courier New" w:hint="default"/>
      </w:rPr>
    </w:lvl>
    <w:lvl w:ilvl="2" w:tplc="04090005">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26"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74EBF"/>
    <w:multiLevelType w:val="hybridMultilevel"/>
    <w:tmpl w:val="774077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AB1D25"/>
    <w:multiLevelType w:val="hybridMultilevel"/>
    <w:tmpl w:val="A92CB0F2"/>
    <w:lvl w:ilvl="0" w:tplc="0409001B">
      <w:start w:val="1"/>
      <w:numFmt w:val="lowerRoman"/>
      <w:lvlText w:val="%1."/>
      <w:lvlJc w:val="right"/>
      <w:pPr>
        <w:ind w:left="1511" w:hanging="360"/>
      </w:pPr>
      <w:rPr>
        <w:rFonts w:hint="default"/>
      </w:rPr>
    </w:lvl>
    <w:lvl w:ilvl="1" w:tplc="FFFFFFFF">
      <w:start w:val="1"/>
      <w:numFmt w:val="bullet"/>
      <w:lvlText w:val="o"/>
      <w:lvlJc w:val="left"/>
      <w:pPr>
        <w:ind w:left="2231" w:hanging="360"/>
      </w:pPr>
      <w:rPr>
        <w:rFonts w:ascii="Courier New" w:hAnsi="Courier New" w:cs="Courier New" w:hint="default"/>
      </w:rPr>
    </w:lvl>
    <w:lvl w:ilvl="2" w:tplc="FFFFFFFF" w:tentative="1">
      <w:start w:val="1"/>
      <w:numFmt w:val="bullet"/>
      <w:lvlText w:val=""/>
      <w:lvlJc w:val="left"/>
      <w:pPr>
        <w:ind w:left="2951" w:hanging="360"/>
      </w:pPr>
      <w:rPr>
        <w:rFonts w:ascii="Wingdings" w:hAnsi="Wingdings" w:hint="default"/>
      </w:rPr>
    </w:lvl>
    <w:lvl w:ilvl="3" w:tplc="FFFFFFFF" w:tentative="1">
      <w:start w:val="1"/>
      <w:numFmt w:val="bullet"/>
      <w:lvlText w:val=""/>
      <w:lvlJc w:val="left"/>
      <w:pPr>
        <w:ind w:left="3671" w:hanging="360"/>
      </w:pPr>
      <w:rPr>
        <w:rFonts w:ascii="Symbol" w:hAnsi="Symbol" w:hint="default"/>
      </w:rPr>
    </w:lvl>
    <w:lvl w:ilvl="4" w:tplc="FFFFFFFF" w:tentative="1">
      <w:start w:val="1"/>
      <w:numFmt w:val="bullet"/>
      <w:lvlText w:val="o"/>
      <w:lvlJc w:val="left"/>
      <w:pPr>
        <w:ind w:left="4391" w:hanging="360"/>
      </w:pPr>
      <w:rPr>
        <w:rFonts w:ascii="Courier New" w:hAnsi="Courier New" w:cs="Courier New" w:hint="default"/>
      </w:rPr>
    </w:lvl>
    <w:lvl w:ilvl="5" w:tplc="FFFFFFFF" w:tentative="1">
      <w:start w:val="1"/>
      <w:numFmt w:val="bullet"/>
      <w:lvlText w:val=""/>
      <w:lvlJc w:val="left"/>
      <w:pPr>
        <w:ind w:left="5111" w:hanging="360"/>
      </w:pPr>
      <w:rPr>
        <w:rFonts w:ascii="Wingdings" w:hAnsi="Wingdings" w:hint="default"/>
      </w:rPr>
    </w:lvl>
    <w:lvl w:ilvl="6" w:tplc="FFFFFFFF" w:tentative="1">
      <w:start w:val="1"/>
      <w:numFmt w:val="bullet"/>
      <w:lvlText w:val=""/>
      <w:lvlJc w:val="left"/>
      <w:pPr>
        <w:ind w:left="5831" w:hanging="360"/>
      </w:pPr>
      <w:rPr>
        <w:rFonts w:ascii="Symbol" w:hAnsi="Symbol" w:hint="default"/>
      </w:rPr>
    </w:lvl>
    <w:lvl w:ilvl="7" w:tplc="FFFFFFFF" w:tentative="1">
      <w:start w:val="1"/>
      <w:numFmt w:val="bullet"/>
      <w:lvlText w:val="o"/>
      <w:lvlJc w:val="left"/>
      <w:pPr>
        <w:ind w:left="6551" w:hanging="360"/>
      </w:pPr>
      <w:rPr>
        <w:rFonts w:ascii="Courier New" w:hAnsi="Courier New" w:cs="Courier New" w:hint="default"/>
      </w:rPr>
    </w:lvl>
    <w:lvl w:ilvl="8" w:tplc="FFFFFFFF" w:tentative="1">
      <w:start w:val="1"/>
      <w:numFmt w:val="bullet"/>
      <w:lvlText w:val=""/>
      <w:lvlJc w:val="left"/>
      <w:pPr>
        <w:ind w:left="7271" w:hanging="360"/>
      </w:pPr>
      <w:rPr>
        <w:rFonts w:ascii="Wingdings" w:hAnsi="Wingdings" w:hint="default"/>
      </w:rPr>
    </w:lvl>
  </w:abstractNum>
  <w:abstractNum w:abstractNumId="29" w15:restartNumberingAfterBreak="0">
    <w:nsid w:val="73D5090E"/>
    <w:multiLevelType w:val="hybridMultilevel"/>
    <w:tmpl w:val="7BCE35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263791"/>
    <w:multiLevelType w:val="hybridMultilevel"/>
    <w:tmpl w:val="3BF44E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30076"/>
    <w:multiLevelType w:val="hybridMultilevel"/>
    <w:tmpl w:val="5C628F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F82838"/>
    <w:multiLevelType w:val="hybridMultilevel"/>
    <w:tmpl w:val="6DFCC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18"/>
  </w:num>
  <w:num w:numId="4">
    <w:abstractNumId w:val="7"/>
  </w:num>
  <w:num w:numId="5">
    <w:abstractNumId w:val="17"/>
  </w:num>
  <w:num w:numId="6">
    <w:abstractNumId w:val="12"/>
  </w:num>
  <w:num w:numId="7">
    <w:abstractNumId w:val="3"/>
  </w:num>
  <w:num w:numId="8">
    <w:abstractNumId w:val="32"/>
  </w:num>
  <w:num w:numId="9">
    <w:abstractNumId w:val="16"/>
  </w:num>
  <w:num w:numId="10">
    <w:abstractNumId w:val="20"/>
  </w:num>
  <w:num w:numId="11">
    <w:abstractNumId w:val="1"/>
  </w:num>
  <w:num w:numId="12">
    <w:abstractNumId w:val="21"/>
  </w:num>
  <w:num w:numId="13">
    <w:abstractNumId w:val="24"/>
  </w:num>
  <w:num w:numId="14">
    <w:abstractNumId w:val="4"/>
  </w:num>
  <w:num w:numId="15">
    <w:abstractNumId w:val="19"/>
  </w:num>
  <w:num w:numId="16">
    <w:abstractNumId w:val="5"/>
  </w:num>
  <w:num w:numId="17">
    <w:abstractNumId w:val="11"/>
  </w:num>
  <w:num w:numId="18">
    <w:abstractNumId w:val="2"/>
  </w:num>
  <w:num w:numId="19">
    <w:abstractNumId w:val="14"/>
  </w:num>
  <w:num w:numId="20">
    <w:abstractNumId w:val="29"/>
  </w:num>
  <w:num w:numId="21">
    <w:abstractNumId w:val="8"/>
  </w:num>
  <w:num w:numId="22">
    <w:abstractNumId w:val="31"/>
  </w:num>
  <w:num w:numId="23">
    <w:abstractNumId w:val="9"/>
  </w:num>
  <w:num w:numId="24">
    <w:abstractNumId w:val="0"/>
  </w:num>
  <w:num w:numId="25">
    <w:abstractNumId w:val="15"/>
  </w:num>
  <w:num w:numId="26">
    <w:abstractNumId w:val="22"/>
  </w:num>
  <w:num w:numId="27">
    <w:abstractNumId w:val="27"/>
  </w:num>
  <w:num w:numId="28">
    <w:abstractNumId w:val="6"/>
  </w:num>
  <w:num w:numId="29">
    <w:abstractNumId w:val="30"/>
  </w:num>
  <w:num w:numId="30">
    <w:abstractNumId w:val="23"/>
  </w:num>
  <w:num w:numId="31">
    <w:abstractNumId w:val="25"/>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0AFD"/>
    <w:rsid w:val="00002C39"/>
    <w:rsid w:val="00011C43"/>
    <w:rsid w:val="000357DD"/>
    <w:rsid w:val="0004013E"/>
    <w:rsid w:val="0005432B"/>
    <w:rsid w:val="00056137"/>
    <w:rsid w:val="00060371"/>
    <w:rsid w:val="00060650"/>
    <w:rsid w:val="00077806"/>
    <w:rsid w:val="000976B1"/>
    <w:rsid w:val="000A587B"/>
    <w:rsid w:val="000A741A"/>
    <w:rsid w:val="000A741D"/>
    <w:rsid w:val="000B1425"/>
    <w:rsid w:val="000B691F"/>
    <w:rsid w:val="001132B0"/>
    <w:rsid w:val="00134247"/>
    <w:rsid w:val="001502AC"/>
    <w:rsid w:val="00151B77"/>
    <w:rsid w:val="00155E59"/>
    <w:rsid w:val="0016029C"/>
    <w:rsid w:val="00171205"/>
    <w:rsid w:val="00174FDD"/>
    <w:rsid w:val="00186A27"/>
    <w:rsid w:val="00191E56"/>
    <w:rsid w:val="001A299F"/>
    <w:rsid w:val="001B1659"/>
    <w:rsid w:val="001C638D"/>
    <w:rsid w:val="001E4888"/>
    <w:rsid w:val="001F27AE"/>
    <w:rsid w:val="001F68BB"/>
    <w:rsid w:val="0020016B"/>
    <w:rsid w:val="00202697"/>
    <w:rsid w:val="00220F52"/>
    <w:rsid w:val="002311F4"/>
    <w:rsid w:val="00251A9D"/>
    <w:rsid w:val="00252892"/>
    <w:rsid w:val="0026068D"/>
    <w:rsid w:val="002748DC"/>
    <w:rsid w:val="00275C98"/>
    <w:rsid w:val="00285E0A"/>
    <w:rsid w:val="00296661"/>
    <w:rsid w:val="00297B64"/>
    <w:rsid w:val="002A018E"/>
    <w:rsid w:val="002D1296"/>
    <w:rsid w:val="002D152C"/>
    <w:rsid w:val="002D7BD6"/>
    <w:rsid w:val="002E257A"/>
    <w:rsid w:val="002E4CED"/>
    <w:rsid w:val="002F5A20"/>
    <w:rsid w:val="00302C8B"/>
    <w:rsid w:val="00304F3E"/>
    <w:rsid w:val="00306824"/>
    <w:rsid w:val="00310403"/>
    <w:rsid w:val="00317A65"/>
    <w:rsid w:val="00327A6D"/>
    <w:rsid w:val="0036463E"/>
    <w:rsid w:val="003721AA"/>
    <w:rsid w:val="00386888"/>
    <w:rsid w:val="00386C9B"/>
    <w:rsid w:val="003B548F"/>
    <w:rsid w:val="003C1978"/>
    <w:rsid w:val="003D2595"/>
    <w:rsid w:val="003D519B"/>
    <w:rsid w:val="003E6FB1"/>
    <w:rsid w:val="003F4E95"/>
    <w:rsid w:val="003F518A"/>
    <w:rsid w:val="00400E91"/>
    <w:rsid w:val="00412DC6"/>
    <w:rsid w:val="0042762F"/>
    <w:rsid w:val="00436778"/>
    <w:rsid w:val="00444831"/>
    <w:rsid w:val="00447E95"/>
    <w:rsid w:val="00451157"/>
    <w:rsid w:val="00463668"/>
    <w:rsid w:val="004A3BD3"/>
    <w:rsid w:val="004A541F"/>
    <w:rsid w:val="004C04A7"/>
    <w:rsid w:val="004C1176"/>
    <w:rsid w:val="004C393A"/>
    <w:rsid w:val="004D4376"/>
    <w:rsid w:val="004E0113"/>
    <w:rsid w:val="004E3A90"/>
    <w:rsid w:val="00510429"/>
    <w:rsid w:val="00540F21"/>
    <w:rsid w:val="00566E89"/>
    <w:rsid w:val="005A0210"/>
    <w:rsid w:val="005A265E"/>
    <w:rsid w:val="005A2845"/>
    <w:rsid w:val="005B02A3"/>
    <w:rsid w:val="005B558E"/>
    <w:rsid w:val="005D140B"/>
    <w:rsid w:val="005D35BB"/>
    <w:rsid w:val="005D4787"/>
    <w:rsid w:val="005E5C59"/>
    <w:rsid w:val="00607BEA"/>
    <w:rsid w:val="00613789"/>
    <w:rsid w:val="00622F74"/>
    <w:rsid w:val="006276C3"/>
    <w:rsid w:val="00664483"/>
    <w:rsid w:val="00677925"/>
    <w:rsid w:val="00680B8B"/>
    <w:rsid w:val="00686A8A"/>
    <w:rsid w:val="006A17E5"/>
    <w:rsid w:val="006A5646"/>
    <w:rsid w:val="006C455E"/>
    <w:rsid w:val="006E321F"/>
    <w:rsid w:val="006F51C2"/>
    <w:rsid w:val="007174CF"/>
    <w:rsid w:val="00723862"/>
    <w:rsid w:val="00726619"/>
    <w:rsid w:val="00730B0F"/>
    <w:rsid w:val="00732B48"/>
    <w:rsid w:val="00732C88"/>
    <w:rsid w:val="00746080"/>
    <w:rsid w:val="0074636D"/>
    <w:rsid w:val="00764F5C"/>
    <w:rsid w:val="0076585D"/>
    <w:rsid w:val="00795EAA"/>
    <w:rsid w:val="007D0C2D"/>
    <w:rsid w:val="007D4EEA"/>
    <w:rsid w:val="007D570A"/>
    <w:rsid w:val="007D7202"/>
    <w:rsid w:val="007F7A36"/>
    <w:rsid w:val="00804CA2"/>
    <w:rsid w:val="00823A42"/>
    <w:rsid w:val="00824400"/>
    <w:rsid w:val="008339F4"/>
    <w:rsid w:val="00844910"/>
    <w:rsid w:val="00857D12"/>
    <w:rsid w:val="00866976"/>
    <w:rsid w:val="00891A89"/>
    <w:rsid w:val="008E24C5"/>
    <w:rsid w:val="008E617F"/>
    <w:rsid w:val="008F2470"/>
    <w:rsid w:val="008F3209"/>
    <w:rsid w:val="00911BB7"/>
    <w:rsid w:val="00913609"/>
    <w:rsid w:val="00917F24"/>
    <w:rsid w:val="00926537"/>
    <w:rsid w:val="0092685E"/>
    <w:rsid w:val="0093085F"/>
    <w:rsid w:val="009309EA"/>
    <w:rsid w:val="009526D0"/>
    <w:rsid w:val="00962BBA"/>
    <w:rsid w:val="009665CB"/>
    <w:rsid w:val="0098797D"/>
    <w:rsid w:val="009936CD"/>
    <w:rsid w:val="009C69E3"/>
    <w:rsid w:val="009D593B"/>
    <w:rsid w:val="009E362D"/>
    <w:rsid w:val="00A35B21"/>
    <w:rsid w:val="00A62F0F"/>
    <w:rsid w:val="00A77CAF"/>
    <w:rsid w:val="00A92598"/>
    <w:rsid w:val="00A932B7"/>
    <w:rsid w:val="00AA06D9"/>
    <w:rsid w:val="00AA1385"/>
    <w:rsid w:val="00AA7FA8"/>
    <w:rsid w:val="00AC00C4"/>
    <w:rsid w:val="00AC0246"/>
    <w:rsid w:val="00AC28CE"/>
    <w:rsid w:val="00AF6D74"/>
    <w:rsid w:val="00AF79EE"/>
    <w:rsid w:val="00B10530"/>
    <w:rsid w:val="00B13A14"/>
    <w:rsid w:val="00B173B5"/>
    <w:rsid w:val="00B25576"/>
    <w:rsid w:val="00B76A5B"/>
    <w:rsid w:val="00B87D63"/>
    <w:rsid w:val="00B958CA"/>
    <w:rsid w:val="00BA3EA1"/>
    <w:rsid w:val="00BB3714"/>
    <w:rsid w:val="00BD2E33"/>
    <w:rsid w:val="00BE5405"/>
    <w:rsid w:val="00BE5625"/>
    <w:rsid w:val="00BE749A"/>
    <w:rsid w:val="00C25800"/>
    <w:rsid w:val="00C340D3"/>
    <w:rsid w:val="00C34B4B"/>
    <w:rsid w:val="00C35242"/>
    <w:rsid w:val="00C441BE"/>
    <w:rsid w:val="00C636B8"/>
    <w:rsid w:val="00C675C0"/>
    <w:rsid w:val="00C702F3"/>
    <w:rsid w:val="00C71519"/>
    <w:rsid w:val="00CB7DE2"/>
    <w:rsid w:val="00CC2698"/>
    <w:rsid w:val="00CE212E"/>
    <w:rsid w:val="00CF1F73"/>
    <w:rsid w:val="00D14C9D"/>
    <w:rsid w:val="00D31333"/>
    <w:rsid w:val="00D34E9B"/>
    <w:rsid w:val="00D4115C"/>
    <w:rsid w:val="00D424CF"/>
    <w:rsid w:val="00D472EF"/>
    <w:rsid w:val="00D52723"/>
    <w:rsid w:val="00D56BA0"/>
    <w:rsid w:val="00D74CAB"/>
    <w:rsid w:val="00D861AF"/>
    <w:rsid w:val="00D95218"/>
    <w:rsid w:val="00DA260C"/>
    <w:rsid w:val="00DC3FF9"/>
    <w:rsid w:val="00DD483C"/>
    <w:rsid w:val="00DE6D8D"/>
    <w:rsid w:val="00E01E71"/>
    <w:rsid w:val="00E03B6B"/>
    <w:rsid w:val="00E128DB"/>
    <w:rsid w:val="00E328DF"/>
    <w:rsid w:val="00E42495"/>
    <w:rsid w:val="00E53A48"/>
    <w:rsid w:val="00E542B6"/>
    <w:rsid w:val="00E55074"/>
    <w:rsid w:val="00E86E5E"/>
    <w:rsid w:val="00E953D0"/>
    <w:rsid w:val="00E972EF"/>
    <w:rsid w:val="00EA0919"/>
    <w:rsid w:val="00EA2100"/>
    <w:rsid w:val="00EA2C4A"/>
    <w:rsid w:val="00EB280B"/>
    <w:rsid w:val="00EB5375"/>
    <w:rsid w:val="00EC0B3B"/>
    <w:rsid w:val="00EC1AAA"/>
    <w:rsid w:val="00EC1BB2"/>
    <w:rsid w:val="00ED7CF6"/>
    <w:rsid w:val="00F05863"/>
    <w:rsid w:val="00F17699"/>
    <w:rsid w:val="00F20DED"/>
    <w:rsid w:val="00F26542"/>
    <w:rsid w:val="00F36EB6"/>
    <w:rsid w:val="00F37496"/>
    <w:rsid w:val="00F40168"/>
    <w:rsid w:val="00F43A03"/>
    <w:rsid w:val="00F54927"/>
    <w:rsid w:val="00F650D9"/>
    <w:rsid w:val="00F70A1E"/>
    <w:rsid w:val="00F8134C"/>
    <w:rsid w:val="00F859F3"/>
    <w:rsid w:val="00F91C9A"/>
    <w:rsid w:val="00F92CC9"/>
    <w:rsid w:val="00F95CD1"/>
    <w:rsid w:val="00F969D7"/>
    <w:rsid w:val="00FE0FAC"/>
    <w:rsid w:val="00FE1C56"/>
    <w:rsid w:val="00FF0C85"/>
    <w:rsid w:val="00FF58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ListParagraph">
    <w:name w:val="List Paragraph"/>
    <w:basedOn w:val="Normal"/>
    <w:uiPriority w:val="34"/>
    <w:qFormat/>
    <w:rsid w:val="00E03B6B"/>
    <w:pPr>
      <w:spacing w:after="160" w:line="259" w:lineRule="auto"/>
      <w:ind w:left="720"/>
      <w:contextualSpacing/>
    </w:pPr>
    <w:rPr>
      <w:rFonts w:ascii="Arial" w:hAnsi="Arial" w:cs="Arial"/>
    </w:rPr>
  </w:style>
  <w:style w:type="paragraph" w:styleId="FootnoteText">
    <w:name w:val="footnote text"/>
    <w:basedOn w:val="Normal"/>
    <w:link w:val="FootnoteTextChar"/>
    <w:uiPriority w:val="99"/>
    <w:semiHidden/>
    <w:unhideWhenUsed/>
    <w:rsid w:val="00E03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B6B"/>
    <w:rPr>
      <w:sz w:val="20"/>
      <w:szCs w:val="20"/>
    </w:rPr>
  </w:style>
  <w:style w:type="character" w:styleId="FootnoteReference">
    <w:name w:val="footnote reference"/>
    <w:basedOn w:val="DefaultParagraphFont"/>
    <w:uiPriority w:val="99"/>
    <w:unhideWhenUsed/>
    <w:rsid w:val="00E03B6B"/>
    <w:rPr>
      <w:vertAlign w:val="superscript"/>
    </w:rPr>
  </w:style>
  <w:style w:type="paragraph" w:styleId="Revision">
    <w:name w:val="Revision"/>
    <w:hidden/>
    <w:uiPriority w:val="99"/>
    <w:semiHidden/>
    <w:rsid w:val="00732B48"/>
    <w:pPr>
      <w:spacing w:after="0" w:line="240" w:lineRule="auto"/>
    </w:pPr>
  </w:style>
  <w:style w:type="character" w:styleId="CommentReference">
    <w:name w:val="annotation reference"/>
    <w:basedOn w:val="DefaultParagraphFont"/>
    <w:uiPriority w:val="99"/>
    <w:semiHidden/>
    <w:unhideWhenUsed/>
    <w:rsid w:val="00732B48"/>
    <w:rPr>
      <w:sz w:val="16"/>
      <w:szCs w:val="16"/>
    </w:rPr>
  </w:style>
  <w:style w:type="paragraph" w:styleId="CommentText">
    <w:name w:val="annotation text"/>
    <w:basedOn w:val="Normal"/>
    <w:link w:val="CommentTextChar"/>
    <w:uiPriority w:val="99"/>
    <w:unhideWhenUsed/>
    <w:rsid w:val="00732B48"/>
    <w:pPr>
      <w:spacing w:line="240" w:lineRule="auto"/>
    </w:pPr>
    <w:rPr>
      <w:sz w:val="20"/>
      <w:szCs w:val="20"/>
    </w:rPr>
  </w:style>
  <w:style w:type="character" w:customStyle="1" w:styleId="CommentTextChar">
    <w:name w:val="Comment Text Char"/>
    <w:basedOn w:val="DefaultParagraphFont"/>
    <w:link w:val="CommentText"/>
    <w:uiPriority w:val="99"/>
    <w:rsid w:val="00732B48"/>
    <w:rPr>
      <w:sz w:val="20"/>
      <w:szCs w:val="20"/>
    </w:rPr>
  </w:style>
  <w:style w:type="paragraph" w:styleId="CommentSubject">
    <w:name w:val="annotation subject"/>
    <w:basedOn w:val="CommentText"/>
    <w:next w:val="CommentText"/>
    <w:link w:val="CommentSubjectChar"/>
    <w:uiPriority w:val="99"/>
    <w:semiHidden/>
    <w:unhideWhenUsed/>
    <w:rsid w:val="00732B48"/>
    <w:rPr>
      <w:b/>
      <w:bCs/>
    </w:rPr>
  </w:style>
  <w:style w:type="character" w:customStyle="1" w:styleId="CommentSubjectChar">
    <w:name w:val="Comment Subject Char"/>
    <w:basedOn w:val="CommentTextChar"/>
    <w:link w:val="CommentSubject"/>
    <w:uiPriority w:val="99"/>
    <w:semiHidden/>
    <w:rsid w:val="00732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1431">
      <w:bodyDiv w:val="1"/>
      <w:marLeft w:val="0"/>
      <w:marRight w:val="0"/>
      <w:marTop w:val="0"/>
      <w:marBottom w:val="0"/>
      <w:divBdr>
        <w:top w:val="none" w:sz="0" w:space="0" w:color="auto"/>
        <w:left w:val="none" w:sz="0" w:space="0" w:color="auto"/>
        <w:bottom w:val="none" w:sz="0" w:space="0" w:color="auto"/>
        <w:right w:val="none" w:sz="0" w:space="0" w:color="auto"/>
      </w:divBdr>
    </w:div>
    <w:div w:id="1768382061">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8E922.55E3EC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6.png@01D8E922.55E3EC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Birgit Armstrong</cp:lastModifiedBy>
  <cp:revision>4</cp:revision>
  <cp:lastPrinted>2018-01-26T00:21:00Z</cp:lastPrinted>
  <dcterms:created xsi:type="dcterms:W3CDTF">2023-01-13T20:41:00Z</dcterms:created>
  <dcterms:modified xsi:type="dcterms:W3CDTF">2023-01-13T20:48:00Z</dcterms:modified>
</cp:coreProperties>
</file>