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21A7" w14:textId="77777777" w:rsidR="00EE1491" w:rsidRDefault="00EE1491" w:rsidP="00EE1491">
      <w:pPr>
        <w:pStyle w:val="Default"/>
        <w:jc w:val="right"/>
        <w:rPr>
          <w:rFonts w:ascii="Arial" w:hAnsi="Arial" w:cs="Arial"/>
          <w:sz w:val="22"/>
          <w:szCs w:val="22"/>
        </w:rPr>
      </w:pPr>
      <w:r>
        <w:rPr>
          <w:rFonts w:ascii="Arial" w:hAnsi="Arial" w:cs="Arial"/>
          <w:bCs/>
          <w:sz w:val="22"/>
          <w:szCs w:val="22"/>
        </w:rPr>
        <w:t>Hydro 2000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1B218278"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8C593F">
        <w:rPr>
          <w:rFonts w:ascii="Arial" w:hAnsi="Arial" w:cs="Arial"/>
          <w:sz w:val="22"/>
          <w:szCs w:val="22"/>
        </w:rPr>
        <w:t>0038</w:t>
      </w:r>
    </w:p>
    <w:p w14:paraId="09979AD6" w14:textId="7415ABF0" w:rsidR="00EE1491" w:rsidRDefault="00EE1491" w:rsidP="00EE1491">
      <w:pPr>
        <w:pStyle w:val="Default"/>
        <w:jc w:val="center"/>
        <w:rPr>
          <w:rFonts w:ascii="Arial" w:hAnsi="Arial" w:cs="Arial"/>
          <w:b/>
          <w:bCs/>
          <w:sz w:val="28"/>
          <w:szCs w:val="28"/>
        </w:rPr>
      </w:pPr>
      <w:r>
        <w:rPr>
          <w:rFonts w:ascii="Arial" w:hAnsi="Arial" w:cs="Arial"/>
          <w:b/>
          <w:bCs/>
          <w:sz w:val="28"/>
          <w:szCs w:val="28"/>
        </w:rPr>
        <w:t>Hydro 2000 Inc.</w:t>
      </w:r>
    </w:p>
    <w:p w14:paraId="7AB7C1BA" w14:textId="77777777" w:rsidR="00EE1491" w:rsidRDefault="00EE1491" w:rsidP="00EE1491">
      <w:pPr>
        <w:spacing w:after="0" w:line="240" w:lineRule="auto"/>
        <w:jc w:val="center"/>
        <w:rPr>
          <w:rFonts w:ascii="Arial" w:hAnsi="Arial" w:cs="Arial"/>
          <w:b/>
          <w:bCs/>
          <w:sz w:val="28"/>
          <w:szCs w:val="28"/>
        </w:rPr>
      </w:pPr>
      <w:r>
        <w:rPr>
          <w:rFonts w:ascii="Arial" w:hAnsi="Arial" w:cs="Arial"/>
          <w:b/>
          <w:bCs/>
          <w:sz w:val="28"/>
          <w:szCs w:val="28"/>
        </w:rPr>
        <w:t xml:space="preserve">OEB Staff Questions </w:t>
      </w:r>
    </w:p>
    <w:p w14:paraId="7E721C61" w14:textId="77777777" w:rsidR="00EE1491" w:rsidRPr="00D57E8C" w:rsidRDefault="00EE1491" w:rsidP="00EE1491">
      <w:pPr>
        <w:pStyle w:val="Default"/>
        <w:jc w:val="center"/>
        <w:rPr>
          <w:rFonts w:ascii="Arial" w:hAnsi="Arial" w:cs="Arial"/>
          <w:sz w:val="28"/>
          <w:szCs w:val="28"/>
        </w:rPr>
      </w:pPr>
    </w:p>
    <w:p w14:paraId="33D6510D" w14:textId="17883693"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EE1491">
        <w:rPr>
          <w:rFonts w:ascii="Arial" w:hAnsi="Arial" w:cs="Arial"/>
          <w:b/>
          <w:bCs/>
          <w:sz w:val="28"/>
          <w:szCs w:val="28"/>
        </w:rPr>
        <w:t>0038</w:t>
      </w:r>
    </w:p>
    <w:p w14:paraId="2A0CB1B0" w14:textId="2EB21702" w:rsid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EE1491" w:rsidRPr="00EE1491">
        <w:rPr>
          <w:rFonts w:ascii="Arial" w:eastAsia="Calibri" w:hAnsi="Arial" w:cs="Arial"/>
          <w:sz w:val="24"/>
          <w:szCs w:val="24"/>
        </w:rPr>
        <w:t>Hydro 2000 Inc.</w:t>
      </w:r>
      <w:r w:rsidR="008C593F">
        <w:rPr>
          <w:rFonts w:ascii="Arial" w:eastAsia="Calibri" w:hAnsi="Arial" w:cs="Arial"/>
          <w:sz w:val="24"/>
          <w:szCs w:val="24"/>
        </w:rPr>
        <w:t xml:space="preserve"> (Hydro 2000)</w:t>
      </w:r>
      <w:r w:rsidR="00EE1491">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0129852B" w14:textId="18DA0AF1" w:rsidR="008C593F" w:rsidRDefault="008C593F" w:rsidP="00AB251C">
      <w:pPr>
        <w:autoSpaceDE w:val="0"/>
        <w:autoSpaceDN w:val="0"/>
        <w:adjustRightInd w:val="0"/>
        <w:spacing w:after="240" w:line="240" w:lineRule="auto"/>
        <w:rPr>
          <w:rFonts w:ascii="Arial" w:eastAsia="Calibri" w:hAnsi="Arial" w:cs="Arial"/>
          <w:sz w:val="24"/>
          <w:szCs w:val="24"/>
        </w:rPr>
      </w:pPr>
    </w:p>
    <w:p w14:paraId="7FE26E14" w14:textId="07E4B376" w:rsidR="008C593F" w:rsidRPr="00E86F26" w:rsidRDefault="008C593F" w:rsidP="00AB251C">
      <w:pPr>
        <w:autoSpaceDE w:val="0"/>
        <w:autoSpaceDN w:val="0"/>
        <w:adjustRightInd w:val="0"/>
        <w:spacing w:after="240" w:line="240" w:lineRule="auto"/>
        <w:rPr>
          <w:rFonts w:ascii="Arial" w:eastAsia="Calibri" w:hAnsi="Arial" w:cs="Arial"/>
          <w:sz w:val="24"/>
          <w:szCs w:val="24"/>
        </w:rPr>
      </w:pPr>
      <w:r w:rsidRPr="008C593F">
        <w:rPr>
          <w:rFonts w:ascii="Arial" w:eastAsia="Calibri" w:hAnsi="Arial" w:cs="Arial"/>
          <w:sz w:val="24"/>
          <w:szCs w:val="24"/>
        </w:rPr>
        <w:t>Please also note, OEB staff has made the following generic updates in Hydro 2000’s Rate Generator Model and attached it to these OEB staff questions:</w:t>
      </w:r>
    </w:p>
    <w:bookmarkEnd w:id="0"/>
    <w:p w14:paraId="4EFB3C00" w14:textId="77777777" w:rsidR="00FC4782" w:rsidRDefault="00FC4782" w:rsidP="00FC4782">
      <w:pPr>
        <w:spacing w:after="240"/>
        <w:rPr>
          <w:rFonts w:ascii="Arial" w:hAnsi="Arial" w:cs="Arial"/>
          <w:b/>
          <w:sz w:val="24"/>
          <w:szCs w:val="24"/>
        </w:rPr>
      </w:pPr>
      <w:r>
        <w:rPr>
          <w:rFonts w:ascii="Arial" w:hAnsi="Arial" w:cs="Arial"/>
          <w:b/>
          <w:sz w:val="24"/>
          <w:szCs w:val="24"/>
        </w:rPr>
        <w:t>Staff Question-</w:t>
      </w:r>
      <w:r>
        <w:rPr>
          <w:rFonts w:ascii="Arial" w:hAnsi="Arial" w:cs="Arial"/>
          <w:b/>
          <w:sz w:val="24"/>
          <w:szCs w:val="24"/>
        </w:rPr>
        <w:t xml:space="preserve"> </w:t>
      </w:r>
      <w:r>
        <w:rPr>
          <w:rFonts w:ascii="Arial" w:hAnsi="Arial" w:cs="Arial"/>
          <w:b/>
          <w:sz w:val="24"/>
          <w:szCs w:val="24"/>
        </w:rPr>
        <w:t>1</w:t>
      </w:r>
      <w:r w:rsidRPr="00FC4782">
        <w:rPr>
          <w:rFonts w:ascii="Arial" w:hAnsi="Arial" w:cs="Arial"/>
          <w:b/>
          <w:sz w:val="24"/>
          <w:szCs w:val="24"/>
        </w:rPr>
        <w:t xml:space="preserve"> </w:t>
      </w:r>
    </w:p>
    <w:p w14:paraId="016630F5" w14:textId="305ABA13" w:rsidR="00FC4782" w:rsidRDefault="00FC4782" w:rsidP="00FC4782">
      <w:pPr>
        <w:spacing w:after="240"/>
        <w:rPr>
          <w:rFonts w:ascii="Arial" w:hAnsi="Arial" w:cs="Arial"/>
          <w:b/>
          <w:sz w:val="24"/>
          <w:szCs w:val="24"/>
        </w:rPr>
      </w:pPr>
      <w:r w:rsidRPr="00DC5F29">
        <w:rPr>
          <w:rFonts w:ascii="Arial" w:hAnsi="Arial" w:cs="Arial"/>
          <w:b/>
          <w:sz w:val="24"/>
          <w:szCs w:val="24"/>
        </w:rPr>
        <w:t>Ref</w:t>
      </w:r>
      <w:r>
        <w:rPr>
          <w:rFonts w:ascii="Arial" w:hAnsi="Arial" w:cs="Arial"/>
          <w:b/>
          <w:sz w:val="24"/>
          <w:szCs w:val="24"/>
        </w:rPr>
        <w:t xml:space="preserve"> 1</w:t>
      </w:r>
      <w:r w:rsidRPr="00DC5F29">
        <w:rPr>
          <w:rFonts w:ascii="Arial" w:hAnsi="Arial" w:cs="Arial"/>
          <w:b/>
          <w:sz w:val="24"/>
          <w:szCs w:val="24"/>
        </w:rPr>
        <w:t>:</w:t>
      </w:r>
      <w:r>
        <w:rPr>
          <w:rFonts w:ascii="Arial" w:hAnsi="Arial" w:cs="Arial"/>
          <w:b/>
          <w:sz w:val="24"/>
          <w:szCs w:val="24"/>
        </w:rPr>
        <w:t xml:space="preserve"> Rate Generator Model, Tab </w:t>
      </w:r>
      <w:r>
        <w:rPr>
          <w:rFonts w:ascii="Arial" w:hAnsi="Arial" w:cs="Arial"/>
          <w:b/>
          <w:sz w:val="24"/>
          <w:szCs w:val="24"/>
        </w:rPr>
        <w:t>1</w:t>
      </w:r>
    </w:p>
    <w:p w14:paraId="3224E345" w14:textId="5CA2BE5C" w:rsidR="00BA13F9" w:rsidRDefault="00FC4782" w:rsidP="00FC4782">
      <w:pPr>
        <w:spacing w:after="240"/>
        <w:rPr>
          <w:rFonts w:ascii="Arial" w:hAnsi="Arial" w:cs="Arial"/>
          <w:bCs/>
          <w:sz w:val="24"/>
          <w:szCs w:val="24"/>
        </w:rPr>
      </w:pPr>
      <w:r w:rsidRPr="00332F53">
        <w:rPr>
          <w:rFonts w:ascii="Arial" w:hAnsi="Arial" w:cs="Arial"/>
          <w:bCs/>
          <w:sz w:val="24"/>
          <w:szCs w:val="24"/>
        </w:rPr>
        <w:t xml:space="preserve">OEB staff notes that Tab </w:t>
      </w:r>
      <w:r>
        <w:rPr>
          <w:rFonts w:ascii="Arial" w:hAnsi="Arial" w:cs="Arial"/>
          <w:bCs/>
          <w:sz w:val="24"/>
          <w:szCs w:val="24"/>
        </w:rPr>
        <w:t>1, Cell 18</w:t>
      </w:r>
      <w:r w:rsidRPr="00332F53">
        <w:rPr>
          <w:rFonts w:ascii="Arial" w:hAnsi="Arial" w:cs="Arial"/>
          <w:bCs/>
          <w:sz w:val="24"/>
          <w:szCs w:val="24"/>
        </w:rPr>
        <w:t xml:space="preserve"> of the Rate Generator Model has not been completed.</w:t>
      </w:r>
    </w:p>
    <w:p w14:paraId="43280B0E" w14:textId="70044F9A" w:rsidR="00BA13F9" w:rsidRDefault="00BA13F9" w:rsidP="00BA13F9">
      <w:pPr>
        <w:pStyle w:val="ListParagraph"/>
        <w:numPr>
          <w:ilvl w:val="0"/>
          <w:numId w:val="29"/>
        </w:numPr>
        <w:spacing w:after="360" w:line="240" w:lineRule="auto"/>
        <w:rPr>
          <w:rFonts w:ascii="Arial" w:hAnsi="Arial" w:cs="Arial"/>
          <w:sz w:val="24"/>
          <w:szCs w:val="24"/>
        </w:rPr>
      </w:pPr>
      <w:r w:rsidRPr="00F759F6">
        <w:rPr>
          <w:rFonts w:ascii="Arial" w:hAnsi="Arial" w:cs="Arial"/>
          <w:sz w:val="24"/>
          <w:szCs w:val="24"/>
        </w:rPr>
        <w:t xml:space="preserve">Please confirm that Hydro 2000 </w:t>
      </w:r>
      <w:r>
        <w:rPr>
          <w:rFonts w:ascii="Arial" w:hAnsi="Arial" w:cs="Arial"/>
          <w:sz w:val="24"/>
          <w:szCs w:val="24"/>
        </w:rPr>
        <w:t>fills out application EB# in Tab 1, Cell 18</w:t>
      </w:r>
      <w:r w:rsidRPr="00F759F6">
        <w:rPr>
          <w:rFonts w:ascii="Arial" w:hAnsi="Arial" w:cs="Arial"/>
          <w:sz w:val="24"/>
          <w:szCs w:val="24"/>
        </w:rPr>
        <w:t>.</w:t>
      </w:r>
    </w:p>
    <w:p w14:paraId="68A80DEB" w14:textId="122AE8B6" w:rsidR="00BA13F9" w:rsidRDefault="00BA13F9" w:rsidP="00BA13F9">
      <w:pPr>
        <w:pStyle w:val="ListParagraph"/>
        <w:spacing w:after="360" w:line="240" w:lineRule="auto"/>
        <w:rPr>
          <w:rFonts w:ascii="Arial" w:hAnsi="Arial" w:cs="Arial"/>
          <w:sz w:val="24"/>
          <w:szCs w:val="24"/>
        </w:rPr>
      </w:pPr>
    </w:p>
    <w:p w14:paraId="132E36A8" w14:textId="77777777" w:rsidR="00BA13F9" w:rsidRPr="00BA13F9" w:rsidRDefault="00BA13F9" w:rsidP="00BA13F9">
      <w:pPr>
        <w:pStyle w:val="ListParagraph"/>
        <w:spacing w:after="360" w:line="240" w:lineRule="auto"/>
        <w:rPr>
          <w:rFonts w:ascii="Arial" w:hAnsi="Arial" w:cs="Arial"/>
          <w:sz w:val="24"/>
          <w:szCs w:val="24"/>
        </w:rPr>
      </w:pPr>
    </w:p>
    <w:p w14:paraId="7CFAFC4F" w14:textId="66FF7D97" w:rsidR="00D57E8C" w:rsidRDefault="00D57E8C" w:rsidP="00AB251C">
      <w:pPr>
        <w:spacing w:after="240"/>
        <w:rPr>
          <w:rFonts w:ascii="Arial" w:hAnsi="Arial" w:cs="Arial"/>
          <w:b/>
          <w:sz w:val="24"/>
          <w:szCs w:val="24"/>
        </w:rPr>
      </w:pPr>
      <w:r>
        <w:rPr>
          <w:rFonts w:ascii="Arial" w:hAnsi="Arial" w:cs="Arial"/>
          <w:b/>
          <w:sz w:val="24"/>
          <w:szCs w:val="24"/>
        </w:rPr>
        <w:t>Staff Question-</w:t>
      </w:r>
      <w:r w:rsidR="00FC4782">
        <w:rPr>
          <w:rFonts w:ascii="Arial" w:hAnsi="Arial" w:cs="Arial"/>
          <w:b/>
          <w:sz w:val="24"/>
          <w:szCs w:val="24"/>
        </w:rPr>
        <w:t xml:space="preserve"> 2</w:t>
      </w:r>
    </w:p>
    <w:p w14:paraId="6E56DBCA" w14:textId="6CD30F8B" w:rsidR="00BE494D" w:rsidRDefault="00BE494D" w:rsidP="00E424AB">
      <w:pPr>
        <w:spacing w:after="0" w:line="240" w:lineRule="auto"/>
        <w:rPr>
          <w:rFonts w:ascii="Arial" w:hAnsi="Arial" w:cs="Arial"/>
          <w:b/>
          <w:bCs/>
          <w:sz w:val="24"/>
          <w:szCs w:val="24"/>
        </w:rPr>
      </w:pPr>
      <w:r>
        <w:rPr>
          <w:rFonts w:ascii="Arial" w:hAnsi="Arial" w:cs="Arial"/>
          <w:b/>
          <w:bCs/>
          <w:sz w:val="24"/>
          <w:szCs w:val="24"/>
        </w:rPr>
        <w:t xml:space="preserve">Ref 1: IRM Rate Generator Tab </w:t>
      </w:r>
      <w:r w:rsidRPr="00E424AB">
        <w:rPr>
          <w:rFonts w:ascii="Arial" w:hAnsi="Arial" w:cs="Arial"/>
          <w:b/>
          <w:bCs/>
          <w:sz w:val="24"/>
          <w:szCs w:val="24"/>
        </w:rPr>
        <w:t>17 and Tab 20 – Regulatory Charges</w:t>
      </w:r>
    </w:p>
    <w:p w14:paraId="153AD56A" w14:textId="77777777" w:rsidR="00BE494D" w:rsidRDefault="00BE494D" w:rsidP="00BE494D">
      <w:pPr>
        <w:spacing w:after="240" w:line="240" w:lineRule="auto"/>
        <w:rPr>
          <w:rFonts w:ascii="Arial" w:hAnsi="Arial" w:cs="Arial"/>
          <w:b/>
          <w:bCs/>
          <w:sz w:val="24"/>
          <w:szCs w:val="24"/>
        </w:rPr>
      </w:pPr>
      <w:r>
        <w:rPr>
          <w:rFonts w:ascii="Arial" w:hAnsi="Arial" w:cs="Arial"/>
          <w:b/>
          <w:bCs/>
          <w:sz w:val="24"/>
          <w:szCs w:val="24"/>
        </w:rPr>
        <w:t>Ref 2: Decision and Order, EB-2022-0269</w:t>
      </w:r>
    </w:p>
    <w:p w14:paraId="0D19EEE5" w14:textId="77777777" w:rsidR="00BE494D" w:rsidRDefault="00BE494D" w:rsidP="00BE494D">
      <w:pPr>
        <w:spacing w:after="240" w:line="240" w:lineRule="auto"/>
        <w:rPr>
          <w:rFonts w:ascii="Arial" w:hAnsi="Arial" w:cs="Arial"/>
          <w:sz w:val="24"/>
          <w:szCs w:val="24"/>
        </w:rPr>
      </w:pPr>
      <w:r w:rsidRPr="00DE2DD9">
        <w:rPr>
          <w:rFonts w:ascii="Arial" w:hAnsi="Arial" w:cs="Arial"/>
          <w:sz w:val="24"/>
          <w:szCs w:val="24"/>
        </w:rPr>
        <w:t xml:space="preserve">OEB staff has </w:t>
      </w:r>
      <w:r>
        <w:rPr>
          <w:rFonts w:ascii="Arial" w:hAnsi="Arial" w:cs="Arial"/>
          <w:sz w:val="24"/>
          <w:szCs w:val="24"/>
        </w:rPr>
        <w:t xml:space="preserve">made the </w:t>
      </w:r>
      <w:r w:rsidRPr="00D3059A">
        <w:rPr>
          <w:rFonts w:ascii="Arial" w:hAnsi="Arial" w:cs="Arial"/>
          <w:sz w:val="24"/>
          <w:szCs w:val="24"/>
        </w:rPr>
        <w:t>following</w:t>
      </w:r>
      <w:r>
        <w:rPr>
          <w:rFonts w:ascii="Arial" w:hAnsi="Arial" w:cs="Arial"/>
          <w:sz w:val="24"/>
          <w:szCs w:val="24"/>
        </w:rPr>
        <w:t xml:space="preserve"> updates to Tab 17 of the rate generator:</w:t>
      </w:r>
    </w:p>
    <w:p w14:paraId="36EE8130" w14:textId="59D2FFF1" w:rsidR="00BE494D" w:rsidRDefault="00BE494D" w:rsidP="00BE494D">
      <w:pPr>
        <w:spacing w:after="240" w:line="240" w:lineRule="auto"/>
        <w:rPr>
          <w:rFonts w:ascii="Arial" w:hAnsi="Arial" w:cs="Arial"/>
          <w:sz w:val="24"/>
          <w:szCs w:val="24"/>
        </w:rPr>
      </w:pPr>
      <w:r w:rsidRPr="00BA234A">
        <w:rPr>
          <w:rFonts w:ascii="Arial" w:hAnsi="Arial" w:cs="Arial"/>
          <w:noProof/>
          <w:sz w:val="24"/>
          <w:szCs w:val="24"/>
        </w:rPr>
        <w:lastRenderedPageBreak/>
        <w:drawing>
          <wp:inline distT="0" distB="0" distL="0" distR="0" wp14:anchorId="76DED88A" wp14:editId="5E26189F">
            <wp:extent cx="5943600" cy="1683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83385"/>
                    </a:xfrm>
                    <a:prstGeom prst="rect">
                      <a:avLst/>
                    </a:prstGeom>
                  </pic:spPr>
                </pic:pic>
              </a:graphicData>
            </a:graphic>
          </wp:inline>
        </w:drawing>
      </w:r>
    </w:p>
    <w:p w14:paraId="50E9A411" w14:textId="6A05A804" w:rsidR="00E424AB" w:rsidRDefault="00E424AB" w:rsidP="00E424AB">
      <w:pPr>
        <w:pStyle w:val="ListParagraph"/>
        <w:numPr>
          <w:ilvl w:val="0"/>
          <w:numId w:val="35"/>
        </w:numPr>
        <w:spacing w:after="360" w:line="240" w:lineRule="auto"/>
        <w:rPr>
          <w:rFonts w:ascii="Arial" w:hAnsi="Arial" w:cs="Arial"/>
          <w:sz w:val="24"/>
          <w:szCs w:val="24"/>
        </w:rPr>
      </w:pPr>
      <w:r w:rsidRPr="00F759F6">
        <w:rPr>
          <w:rFonts w:ascii="Arial" w:hAnsi="Arial" w:cs="Arial"/>
          <w:sz w:val="24"/>
          <w:szCs w:val="24"/>
        </w:rPr>
        <w:t xml:space="preserve">Please confirm </w:t>
      </w:r>
      <w:r>
        <w:rPr>
          <w:rFonts w:ascii="Arial" w:hAnsi="Arial" w:cs="Arial"/>
          <w:sz w:val="24"/>
          <w:szCs w:val="24"/>
        </w:rPr>
        <w:t>the accuracy of the updates.</w:t>
      </w:r>
    </w:p>
    <w:p w14:paraId="0EB1AA94" w14:textId="77777777" w:rsidR="00E424AB" w:rsidRDefault="00E424AB" w:rsidP="00BE494D">
      <w:pPr>
        <w:spacing w:after="240" w:line="240" w:lineRule="auto"/>
        <w:rPr>
          <w:rFonts w:ascii="Arial" w:hAnsi="Arial" w:cs="Arial"/>
          <w:sz w:val="24"/>
          <w:szCs w:val="24"/>
        </w:rPr>
      </w:pPr>
    </w:p>
    <w:p w14:paraId="199770BE" w14:textId="0D368365" w:rsidR="00FC4782" w:rsidRDefault="00FC4782" w:rsidP="00FC4782">
      <w:pPr>
        <w:spacing w:after="240"/>
        <w:rPr>
          <w:rFonts w:ascii="Arial" w:hAnsi="Arial" w:cs="Arial"/>
          <w:b/>
          <w:sz w:val="24"/>
          <w:szCs w:val="24"/>
        </w:rPr>
      </w:pPr>
      <w:r>
        <w:rPr>
          <w:rFonts w:ascii="Arial" w:hAnsi="Arial" w:cs="Arial"/>
          <w:b/>
          <w:sz w:val="24"/>
          <w:szCs w:val="24"/>
        </w:rPr>
        <w:t xml:space="preserve">Staff Question- </w:t>
      </w:r>
      <w:r>
        <w:rPr>
          <w:rFonts w:ascii="Arial" w:hAnsi="Arial" w:cs="Arial"/>
          <w:b/>
          <w:sz w:val="24"/>
          <w:szCs w:val="24"/>
        </w:rPr>
        <w:t>3</w:t>
      </w:r>
    </w:p>
    <w:p w14:paraId="267D892D" w14:textId="2FF3BAF5" w:rsidR="00D3059A" w:rsidRDefault="00D3059A" w:rsidP="00D3059A">
      <w:pPr>
        <w:spacing w:after="0" w:line="240" w:lineRule="auto"/>
        <w:rPr>
          <w:rFonts w:ascii="Arial" w:hAnsi="Arial" w:cs="Arial"/>
          <w:b/>
          <w:bCs/>
          <w:sz w:val="24"/>
          <w:szCs w:val="24"/>
        </w:rPr>
      </w:pPr>
      <w:r w:rsidRPr="00D25FDF">
        <w:rPr>
          <w:rFonts w:ascii="Arial" w:hAnsi="Arial" w:cs="Arial"/>
          <w:b/>
          <w:bCs/>
          <w:sz w:val="24"/>
          <w:szCs w:val="24"/>
        </w:rPr>
        <w:t>Ref</w:t>
      </w:r>
      <w:r>
        <w:rPr>
          <w:rFonts w:ascii="Arial" w:hAnsi="Arial" w:cs="Arial"/>
          <w:b/>
          <w:bCs/>
          <w:sz w:val="24"/>
          <w:szCs w:val="24"/>
        </w:rPr>
        <w:t xml:space="preserve"> 1</w:t>
      </w:r>
      <w:r w:rsidRPr="00D25FDF">
        <w:rPr>
          <w:rFonts w:ascii="Arial" w:hAnsi="Arial" w:cs="Arial"/>
          <w:b/>
          <w:bCs/>
          <w:sz w:val="24"/>
          <w:szCs w:val="24"/>
        </w:rPr>
        <w:t xml:space="preserve">: IRM Rate Generator </w:t>
      </w:r>
      <w:r w:rsidR="00BA13F9">
        <w:rPr>
          <w:rFonts w:ascii="Arial" w:hAnsi="Arial" w:cs="Arial"/>
          <w:b/>
          <w:bCs/>
          <w:sz w:val="24"/>
          <w:szCs w:val="24"/>
        </w:rPr>
        <w:t>Tab 11</w:t>
      </w:r>
      <w:r w:rsidR="00E424AB">
        <w:rPr>
          <w:rFonts w:ascii="Arial" w:hAnsi="Arial" w:cs="Arial"/>
          <w:b/>
          <w:bCs/>
          <w:sz w:val="24"/>
          <w:szCs w:val="24"/>
        </w:rPr>
        <w:t xml:space="preserve"> </w:t>
      </w:r>
      <w:r w:rsidRPr="00D25FDF">
        <w:rPr>
          <w:rFonts w:ascii="Arial" w:hAnsi="Arial" w:cs="Arial"/>
          <w:b/>
          <w:bCs/>
          <w:sz w:val="24"/>
          <w:szCs w:val="24"/>
        </w:rPr>
        <w:t xml:space="preserve">– </w:t>
      </w:r>
      <w:r>
        <w:rPr>
          <w:rFonts w:ascii="Arial" w:hAnsi="Arial" w:cs="Arial"/>
          <w:b/>
          <w:bCs/>
          <w:sz w:val="24"/>
          <w:szCs w:val="24"/>
        </w:rPr>
        <w:t>Retail Service Transmission Rates (RTSRs)</w:t>
      </w:r>
    </w:p>
    <w:p w14:paraId="39043E18" w14:textId="77777777" w:rsidR="00D3059A" w:rsidRDefault="00D3059A" w:rsidP="00D3059A">
      <w:pPr>
        <w:spacing w:after="0" w:line="240" w:lineRule="auto"/>
        <w:rPr>
          <w:rFonts w:ascii="Arial" w:hAnsi="Arial" w:cs="Arial"/>
          <w:sz w:val="24"/>
          <w:szCs w:val="24"/>
        </w:rPr>
      </w:pPr>
      <w:r>
        <w:rPr>
          <w:rFonts w:ascii="Arial" w:hAnsi="Arial" w:cs="Arial"/>
          <w:b/>
          <w:bCs/>
          <w:sz w:val="24"/>
          <w:szCs w:val="24"/>
        </w:rPr>
        <w:t>Ref 2: Decision and Order, EB-2021-0110</w:t>
      </w:r>
    </w:p>
    <w:p w14:paraId="72CEE1C7" w14:textId="77777777" w:rsidR="00D3059A" w:rsidRDefault="00D3059A" w:rsidP="00D3059A">
      <w:pPr>
        <w:spacing w:after="240" w:line="240" w:lineRule="auto"/>
        <w:rPr>
          <w:rFonts w:ascii="Arial" w:hAnsi="Arial" w:cs="Arial"/>
          <w:sz w:val="24"/>
          <w:szCs w:val="24"/>
        </w:rPr>
      </w:pPr>
    </w:p>
    <w:p w14:paraId="05B87EF1" w14:textId="77777777" w:rsidR="00D3059A" w:rsidRDefault="00D3059A" w:rsidP="00D3059A">
      <w:pPr>
        <w:spacing w:after="240" w:line="240" w:lineRule="auto"/>
        <w:rPr>
          <w:rFonts w:ascii="Arial" w:hAnsi="Arial" w:cs="Arial"/>
          <w:sz w:val="24"/>
          <w:szCs w:val="24"/>
        </w:rPr>
      </w:pPr>
      <w:r>
        <w:rPr>
          <w:rFonts w:ascii="Arial" w:hAnsi="Arial" w:cs="Arial"/>
          <w:sz w:val="24"/>
          <w:szCs w:val="24"/>
        </w:rPr>
        <w:t>OEB staff made the following updates to Tab 11 of the rate generator model:</w:t>
      </w:r>
    </w:p>
    <w:p w14:paraId="11EA898B" w14:textId="77777777" w:rsidR="00D3059A" w:rsidRPr="00D25FDF" w:rsidRDefault="00D3059A" w:rsidP="00D3059A">
      <w:pPr>
        <w:spacing w:after="24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DAB507E" wp14:editId="603BD80D">
                <wp:simplePos x="0" y="0"/>
                <wp:positionH relativeFrom="column">
                  <wp:posOffset>5394740</wp:posOffset>
                </wp:positionH>
                <wp:positionV relativeFrom="paragraph">
                  <wp:posOffset>344673</wp:posOffset>
                </wp:positionV>
                <wp:extent cx="746760" cy="685800"/>
                <wp:effectExtent l="0" t="0" r="15240" b="19050"/>
                <wp:wrapNone/>
                <wp:docPr id="2" name="Oval 2"/>
                <wp:cNvGraphicFramePr/>
                <a:graphic xmlns:a="http://schemas.openxmlformats.org/drawingml/2006/main">
                  <a:graphicData uri="http://schemas.microsoft.com/office/word/2010/wordprocessingShape">
                    <wps:wsp>
                      <wps:cNvSpPr/>
                      <wps:spPr>
                        <a:xfrm>
                          <a:off x="0" y="0"/>
                          <a:ext cx="746760" cy="685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80EAB" id="Oval 2" o:spid="_x0000_s1026" style="position:absolute;margin-left:424.8pt;margin-top:27.15pt;width:58.8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" filled="f" strokecolor="red" strokeweight="2p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2DC4250" wp14:editId="06E8DDDE">
                <wp:simplePos x="0" y="0"/>
                <wp:positionH relativeFrom="column">
                  <wp:posOffset>5227335</wp:posOffset>
                </wp:positionH>
                <wp:positionV relativeFrom="paragraph">
                  <wp:posOffset>1368065</wp:posOffset>
                </wp:positionV>
                <wp:extent cx="746760" cy="685800"/>
                <wp:effectExtent l="0" t="0" r="15240" b="19050"/>
                <wp:wrapNone/>
                <wp:docPr id="6" name="Oval 6"/>
                <wp:cNvGraphicFramePr/>
                <a:graphic xmlns:a="http://schemas.openxmlformats.org/drawingml/2006/main">
                  <a:graphicData uri="http://schemas.microsoft.com/office/word/2010/wordprocessingShape">
                    <wps:wsp>
                      <wps:cNvSpPr/>
                      <wps:spPr>
                        <a:xfrm>
                          <a:off x="0" y="0"/>
                          <a:ext cx="746760" cy="685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CC86BE" id="Oval 6" o:spid="_x0000_s1026" style="position:absolute;margin-left:411.6pt;margin-top:107.7pt;width:58.8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" filled="f" strokecolor="red" strokeweight="2pt"/>
            </w:pict>
          </mc:Fallback>
        </mc:AlternateContent>
      </w:r>
      <w:r w:rsidRPr="00706A8A">
        <w:rPr>
          <w:rFonts w:ascii="Arial" w:hAnsi="Arial" w:cs="Arial"/>
          <w:noProof/>
          <w:sz w:val="24"/>
          <w:szCs w:val="24"/>
        </w:rPr>
        <w:drawing>
          <wp:inline distT="0" distB="0" distL="0" distR="0" wp14:anchorId="2E944938" wp14:editId="09C9AC55">
            <wp:extent cx="5943600" cy="9315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31545"/>
                    </a:xfrm>
                    <a:prstGeom prst="rect">
                      <a:avLst/>
                    </a:prstGeom>
                  </pic:spPr>
                </pic:pic>
              </a:graphicData>
            </a:graphic>
          </wp:inline>
        </w:drawing>
      </w:r>
      <w:r w:rsidRPr="00D25FDF">
        <w:rPr>
          <w:rFonts w:ascii="Arial" w:hAnsi="Arial" w:cs="Arial"/>
          <w:noProof/>
          <w:sz w:val="24"/>
          <w:szCs w:val="24"/>
        </w:rPr>
        <w:drawing>
          <wp:inline distT="0" distB="0" distL="0" distR="0" wp14:anchorId="18E4FB31" wp14:editId="23855720">
            <wp:extent cx="594360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10615"/>
                    </a:xfrm>
                    <a:prstGeom prst="rect">
                      <a:avLst/>
                    </a:prstGeom>
                  </pic:spPr>
                </pic:pic>
              </a:graphicData>
            </a:graphic>
          </wp:inline>
        </w:drawing>
      </w:r>
    </w:p>
    <w:p w14:paraId="325A7459" w14:textId="77777777" w:rsidR="00E424AB" w:rsidRDefault="00E424AB" w:rsidP="00E424AB">
      <w:pPr>
        <w:pStyle w:val="ListParagraph"/>
        <w:numPr>
          <w:ilvl w:val="0"/>
          <w:numId w:val="36"/>
        </w:numPr>
        <w:spacing w:after="360" w:line="240" w:lineRule="auto"/>
        <w:rPr>
          <w:rFonts w:ascii="Arial" w:hAnsi="Arial" w:cs="Arial"/>
          <w:sz w:val="24"/>
          <w:szCs w:val="24"/>
        </w:rPr>
      </w:pPr>
      <w:r w:rsidRPr="00F759F6">
        <w:rPr>
          <w:rFonts w:ascii="Arial" w:hAnsi="Arial" w:cs="Arial"/>
          <w:sz w:val="24"/>
          <w:szCs w:val="24"/>
        </w:rPr>
        <w:t xml:space="preserve">Please confirm </w:t>
      </w:r>
      <w:r>
        <w:rPr>
          <w:rFonts w:ascii="Arial" w:hAnsi="Arial" w:cs="Arial"/>
          <w:sz w:val="24"/>
          <w:szCs w:val="24"/>
        </w:rPr>
        <w:t>the accuracy of the updates.</w:t>
      </w:r>
    </w:p>
    <w:p w14:paraId="7B029F60" w14:textId="77777777" w:rsidR="00D3059A" w:rsidRDefault="00D3059A" w:rsidP="00AB251C">
      <w:pPr>
        <w:spacing w:after="240"/>
        <w:rPr>
          <w:rFonts w:ascii="Arial" w:hAnsi="Arial" w:cs="Arial"/>
          <w:b/>
          <w:sz w:val="24"/>
          <w:szCs w:val="24"/>
        </w:rPr>
      </w:pPr>
    </w:p>
    <w:p w14:paraId="611B0973" w14:textId="3C3F90F3" w:rsidR="00FC4782" w:rsidRPr="00FC4782" w:rsidRDefault="00FC4782" w:rsidP="00FC4782">
      <w:pPr>
        <w:spacing w:after="240"/>
        <w:rPr>
          <w:rFonts w:ascii="Arial" w:hAnsi="Arial" w:cs="Arial"/>
          <w:b/>
          <w:sz w:val="24"/>
          <w:szCs w:val="24"/>
        </w:rPr>
      </w:pPr>
      <w:r>
        <w:rPr>
          <w:rFonts w:ascii="Arial" w:hAnsi="Arial" w:cs="Arial"/>
          <w:b/>
          <w:sz w:val="24"/>
          <w:szCs w:val="24"/>
        </w:rPr>
        <w:t xml:space="preserve">Staff Question- </w:t>
      </w:r>
      <w:r>
        <w:rPr>
          <w:rFonts w:ascii="Arial" w:hAnsi="Arial" w:cs="Arial"/>
          <w:b/>
          <w:sz w:val="24"/>
          <w:szCs w:val="24"/>
        </w:rPr>
        <w:t>4</w:t>
      </w:r>
    </w:p>
    <w:p w14:paraId="6546754A" w14:textId="77777777" w:rsidR="00FC4782" w:rsidRDefault="00FC4782" w:rsidP="00FC4782">
      <w:pPr>
        <w:pStyle w:val="ListParagraph"/>
        <w:spacing w:after="360" w:line="240" w:lineRule="auto"/>
        <w:ind w:left="0"/>
        <w:rPr>
          <w:rFonts w:ascii="Arial" w:hAnsi="Arial" w:cs="Arial"/>
          <w:b/>
          <w:bCs/>
          <w:sz w:val="24"/>
          <w:szCs w:val="24"/>
        </w:rPr>
      </w:pPr>
      <w:r w:rsidRPr="00EE7855">
        <w:rPr>
          <w:rFonts w:ascii="Arial" w:hAnsi="Arial" w:cs="Arial"/>
          <w:b/>
          <w:bCs/>
          <w:sz w:val="24"/>
          <w:szCs w:val="24"/>
        </w:rPr>
        <w:t xml:space="preserve">Ref 1: </w:t>
      </w:r>
      <w:r>
        <w:rPr>
          <w:rFonts w:ascii="Arial" w:hAnsi="Arial" w:cs="Arial"/>
          <w:b/>
          <w:bCs/>
          <w:sz w:val="24"/>
          <w:szCs w:val="24"/>
        </w:rPr>
        <w:t>Manager Summary, p. 12</w:t>
      </w:r>
    </w:p>
    <w:p w14:paraId="5B0E8307" w14:textId="77777777" w:rsidR="00FC4782" w:rsidRDefault="00FC4782" w:rsidP="00FC4782">
      <w:pPr>
        <w:spacing w:after="360" w:line="240" w:lineRule="auto"/>
        <w:rPr>
          <w:rFonts w:ascii="Arial" w:hAnsi="Arial" w:cs="Arial"/>
          <w:sz w:val="24"/>
          <w:szCs w:val="24"/>
        </w:rPr>
      </w:pPr>
      <w:r w:rsidRPr="00F759F6">
        <w:rPr>
          <w:rFonts w:ascii="Arial" w:hAnsi="Arial" w:cs="Arial"/>
          <w:sz w:val="24"/>
          <w:szCs w:val="24"/>
        </w:rPr>
        <w:t xml:space="preserve">Hydro 2000 states the following </w:t>
      </w:r>
      <w:r>
        <w:rPr>
          <w:rFonts w:ascii="Arial" w:hAnsi="Arial" w:cs="Arial"/>
          <w:sz w:val="24"/>
          <w:szCs w:val="24"/>
        </w:rPr>
        <w:t xml:space="preserve">in Reference 1 </w:t>
      </w:r>
      <w:r w:rsidRPr="00F759F6">
        <w:rPr>
          <w:rFonts w:ascii="Arial" w:hAnsi="Arial" w:cs="Arial"/>
          <w:sz w:val="24"/>
          <w:szCs w:val="24"/>
        </w:rPr>
        <w:t>regarding the disposition threshold for the Group 1 deferral and variance accounts: “Since the threshold was met, Hydro 2000 is therefore not seeking disposal of its deferral and variance account in this proceeding.”</w:t>
      </w:r>
      <w:r>
        <w:rPr>
          <w:rFonts w:ascii="Arial" w:hAnsi="Arial" w:cs="Arial"/>
          <w:sz w:val="24"/>
          <w:szCs w:val="24"/>
        </w:rPr>
        <w:t xml:space="preserve"> </w:t>
      </w:r>
    </w:p>
    <w:p w14:paraId="56C59A01" w14:textId="77777777" w:rsidR="00FC4782" w:rsidRDefault="00FC4782" w:rsidP="00FC4782">
      <w:pPr>
        <w:spacing w:after="360" w:line="240" w:lineRule="auto"/>
        <w:rPr>
          <w:rFonts w:ascii="Arial" w:hAnsi="Arial" w:cs="Arial"/>
          <w:sz w:val="24"/>
          <w:szCs w:val="24"/>
        </w:rPr>
      </w:pPr>
      <w:r w:rsidRPr="00F759F6">
        <w:rPr>
          <w:rFonts w:ascii="Arial" w:hAnsi="Arial" w:cs="Arial"/>
          <w:sz w:val="24"/>
          <w:szCs w:val="24"/>
        </w:rPr>
        <w:lastRenderedPageBreak/>
        <w:t xml:space="preserve">OEB staff notes this </w:t>
      </w:r>
      <w:r>
        <w:rPr>
          <w:rFonts w:ascii="Arial" w:hAnsi="Arial" w:cs="Arial"/>
          <w:sz w:val="24"/>
          <w:szCs w:val="24"/>
        </w:rPr>
        <w:t>is a typo</w:t>
      </w:r>
      <w:r w:rsidRPr="00F759F6">
        <w:rPr>
          <w:rFonts w:ascii="Arial" w:hAnsi="Arial" w:cs="Arial"/>
          <w:sz w:val="24"/>
          <w:szCs w:val="24"/>
        </w:rPr>
        <w:t xml:space="preserve"> because the rest of the application indicates otherwise. </w:t>
      </w:r>
    </w:p>
    <w:p w14:paraId="75B1F8DE" w14:textId="77777777" w:rsidR="00FC4782" w:rsidRPr="00D87FB1" w:rsidRDefault="00FC4782" w:rsidP="00FC4782">
      <w:pPr>
        <w:spacing w:after="360" w:line="240" w:lineRule="auto"/>
        <w:rPr>
          <w:rFonts w:ascii="Arial" w:hAnsi="Arial" w:cs="Arial"/>
          <w:b/>
          <w:bCs/>
          <w:sz w:val="24"/>
          <w:szCs w:val="24"/>
          <w:u w:val="single"/>
        </w:rPr>
      </w:pPr>
      <w:r w:rsidRPr="00D87FB1">
        <w:rPr>
          <w:rFonts w:ascii="Arial" w:hAnsi="Arial" w:cs="Arial"/>
          <w:b/>
          <w:bCs/>
          <w:sz w:val="24"/>
          <w:szCs w:val="24"/>
          <w:u w:val="single"/>
        </w:rPr>
        <w:t>Question(s):</w:t>
      </w:r>
    </w:p>
    <w:p w14:paraId="47A55B0D" w14:textId="77777777" w:rsidR="00FC4782" w:rsidRDefault="00FC4782" w:rsidP="00E424AB">
      <w:pPr>
        <w:pStyle w:val="ListParagraph"/>
        <w:numPr>
          <w:ilvl w:val="0"/>
          <w:numId w:val="37"/>
        </w:numPr>
        <w:spacing w:after="360" w:line="240" w:lineRule="auto"/>
        <w:rPr>
          <w:rFonts w:ascii="Arial" w:hAnsi="Arial" w:cs="Arial"/>
          <w:sz w:val="24"/>
          <w:szCs w:val="24"/>
        </w:rPr>
      </w:pPr>
      <w:r w:rsidRPr="00F759F6">
        <w:rPr>
          <w:rFonts w:ascii="Arial" w:hAnsi="Arial" w:cs="Arial"/>
          <w:sz w:val="24"/>
          <w:szCs w:val="24"/>
        </w:rPr>
        <w:t xml:space="preserve">Please confirm that Hydro 2000 is seeking </w:t>
      </w:r>
      <w:r>
        <w:rPr>
          <w:rFonts w:ascii="Arial" w:hAnsi="Arial" w:cs="Arial"/>
          <w:sz w:val="24"/>
          <w:szCs w:val="24"/>
        </w:rPr>
        <w:t xml:space="preserve">the </w:t>
      </w:r>
      <w:r w:rsidRPr="00F759F6">
        <w:rPr>
          <w:rFonts w:ascii="Arial" w:hAnsi="Arial" w:cs="Arial"/>
          <w:sz w:val="24"/>
          <w:szCs w:val="24"/>
        </w:rPr>
        <w:t xml:space="preserve">disposal of its Group 1 deferral and variance account </w:t>
      </w:r>
      <w:r>
        <w:rPr>
          <w:rFonts w:ascii="Arial" w:hAnsi="Arial" w:cs="Arial"/>
          <w:sz w:val="24"/>
          <w:szCs w:val="24"/>
        </w:rPr>
        <w:t xml:space="preserve">on a final basis </w:t>
      </w:r>
      <w:r w:rsidRPr="00F759F6">
        <w:rPr>
          <w:rFonts w:ascii="Arial" w:hAnsi="Arial" w:cs="Arial"/>
          <w:sz w:val="24"/>
          <w:szCs w:val="24"/>
        </w:rPr>
        <w:t>in this proceeding.</w:t>
      </w:r>
    </w:p>
    <w:p w14:paraId="2DA2EC0C" w14:textId="77777777" w:rsidR="00FC4782" w:rsidRPr="00F86B9A" w:rsidRDefault="00FC4782" w:rsidP="00FC4782">
      <w:pPr>
        <w:pStyle w:val="ListParagraph"/>
        <w:spacing w:after="360" w:line="240" w:lineRule="auto"/>
        <w:rPr>
          <w:rFonts w:ascii="Arial" w:hAnsi="Arial" w:cs="Arial"/>
          <w:sz w:val="24"/>
          <w:szCs w:val="24"/>
        </w:rPr>
      </w:pPr>
    </w:p>
    <w:p w14:paraId="5E465888" w14:textId="104570A8" w:rsidR="00FC4782" w:rsidRDefault="00FC4782" w:rsidP="00FC4782">
      <w:pPr>
        <w:pStyle w:val="ListParagraph"/>
        <w:spacing w:after="360" w:line="240" w:lineRule="auto"/>
        <w:rPr>
          <w:rFonts w:ascii="Arial" w:hAnsi="Arial" w:cs="Arial"/>
          <w:sz w:val="24"/>
          <w:szCs w:val="24"/>
        </w:rPr>
      </w:pPr>
    </w:p>
    <w:p w14:paraId="36C3D8E2" w14:textId="517096DD" w:rsidR="00FC4782" w:rsidRPr="00FC4782" w:rsidRDefault="00FC4782" w:rsidP="00FC4782">
      <w:pPr>
        <w:spacing w:after="360" w:line="240" w:lineRule="auto"/>
        <w:rPr>
          <w:rFonts w:ascii="Arial" w:hAnsi="Arial" w:cs="Arial"/>
          <w:sz w:val="24"/>
          <w:szCs w:val="24"/>
        </w:rPr>
      </w:pPr>
      <w:r>
        <w:rPr>
          <w:rFonts w:ascii="Arial" w:hAnsi="Arial" w:cs="Arial"/>
          <w:b/>
          <w:sz w:val="24"/>
          <w:szCs w:val="24"/>
        </w:rPr>
        <w:t>Staff Question-</w:t>
      </w:r>
      <w:r>
        <w:rPr>
          <w:rFonts w:ascii="Arial" w:hAnsi="Arial" w:cs="Arial"/>
          <w:b/>
          <w:sz w:val="24"/>
          <w:szCs w:val="24"/>
        </w:rPr>
        <w:t xml:space="preserve"> 5</w:t>
      </w:r>
    </w:p>
    <w:p w14:paraId="3FF48393" w14:textId="77777777" w:rsidR="00FC4782" w:rsidRDefault="00FC4782" w:rsidP="00FC4782">
      <w:pPr>
        <w:spacing w:after="360" w:line="240" w:lineRule="auto"/>
        <w:rPr>
          <w:rFonts w:ascii="Arial" w:hAnsi="Arial" w:cs="Arial"/>
          <w:b/>
          <w:bCs/>
          <w:sz w:val="24"/>
          <w:szCs w:val="24"/>
        </w:rPr>
      </w:pPr>
      <w:r w:rsidRPr="00FC4782">
        <w:rPr>
          <w:rFonts w:ascii="Arial" w:hAnsi="Arial" w:cs="Arial"/>
          <w:b/>
          <w:bCs/>
          <w:sz w:val="24"/>
          <w:szCs w:val="24"/>
        </w:rPr>
        <w:t>Ref 1: Manager Summary, p. 14</w:t>
      </w:r>
    </w:p>
    <w:p w14:paraId="54D99470" w14:textId="255B706B" w:rsidR="00FC4782" w:rsidRPr="00FC4782" w:rsidRDefault="00FC4782" w:rsidP="00FC4782">
      <w:pPr>
        <w:spacing w:after="360" w:line="240" w:lineRule="auto"/>
        <w:rPr>
          <w:rFonts w:ascii="Arial" w:hAnsi="Arial" w:cs="Arial"/>
          <w:b/>
          <w:bCs/>
          <w:sz w:val="24"/>
          <w:szCs w:val="24"/>
        </w:rPr>
      </w:pPr>
      <w:r w:rsidRPr="00157C33">
        <w:rPr>
          <w:rFonts w:ascii="Arial" w:hAnsi="Arial" w:cs="Arial"/>
          <w:b/>
          <w:bCs/>
          <w:sz w:val="24"/>
          <w:szCs w:val="24"/>
        </w:rPr>
        <w:t>Ref 2</w:t>
      </w:r>
      <w:r>
        <w:rPr>
          <w:rFonts w:ascii="Arial" w:hAnsi="Arial" w:cs="Arial"/>
          <w:b/>
          <w:bCs/>
          <w:sz w:val="24"/>
          <w:szCs w:val="24"/>
        </w:rPr>
        <w:t>: 2023 IRM Rate Generator Model</w:t>
      </w:r>
    </w:p>
    <w:p w14:paraId="3A2078BD" w14:textId="77777777" w:rsidR="00FC4782" w:rsidRDefault="00FC4782" w:rsidP="00FC4782">
      <w:pPr>
        <w:pStyle w:val="ListParagraph"/>
        <w:spacing w:after="360" w:line="240" w:lineRule="auto"/>
        <w:ind w:left="0"/>
        <w:rPr>
          <w:rFonts w:ascii="Arial" w:hAnsi="Arial" w:cs="Arial"/>
          <w:b/>
          <w:bCs/>
          <w:sz w:val="24"/>
          <w:szCs w:val="24"/>
        </w:rPr>
      </w:pPr>
    </w:p>
    <w:p w14:paraId="0AC4B24C" w14:textId="77777777"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Hydro 2000 states the following in Reference 1 regarding the disposition period for the Group 1 deferral and variance accounts: “The proposed rate riders sought for recovery or refund of balances proposed for disposition over the default period of two years.”</w:t>
      </w:r>
    </w:p>
    <w:p w14:paraId="36F8B399" w14:textId="77777777" w:rsidR="00FC4782" w:rsidRDefault="00FC4782" w:rsidP="00FC4782">
      <w:pPr>
        <w:pStyle w:val="ListParagraph"/>
        <w:spacing w:after="360" w:line="240" w:lineRule="auto"/>
        <w:ind w:left="0"/>
        <w:rPr>
          <w:rFonts w:ascii="Arial" w:hAnsi="Arial" w:cs="Arial"/>
          <w:sz w:val="24"/>
          <w:szCs w:val="24"/>
        </w:rPr>
      </w:pPr>
    </w:p>
    <w:p w14:paraId="7E0ED1F0" w14:textId="77777777"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 xml:space="preserve">OEB staff finds this statement conflicts with the proposed </w:t>
      </w:r>
      <w:proofErr w:type="gramStart"/>
      <w:r>
        <w:rPr>
          <w:rFonts w:ascii="Arial" w:hAnsi="Arial" w:cs="Arial"/>
          <w:sz w:val="24"/>
          <w:szCs w:val="24"/>
        </w:rPr>
        <w:t>and also</w:t>
      </w:r>
      <w:proofErr w:type="gramEnd"/>
      <w:r>
        <w:rPr>
          <w:rFonts w:ascii="Arial" w:hAnsi="Arial" w:cs="Arial"/>
          <w:sz w:val="24"/>
          <w:szCs w:val="24"/>
        </w:rPr>
        <w:t xml:space="preserve"> default rate rider recovery period of 12 months indicated in Reference 2. </w:t>
      </w:r>
    </w:p>
    <w:p w14:paraId="1998F0D5" w14:textId="77777777" w:rsidR="00FC4782" w:rsidRDefault="00FC4782" w:rsidP="00FC4782">
      <w:pPr>
        <w:pStyle w:val="ListParagraph"/>
        <w:spacing w:after="360" w:line="240" w:lineRule="auto"/>
        <w:ind w:left="0"/>
        <w:rPr>
          <w:rFonts w:ascii="Arial" w:hAnsi="Arial" w:cs="Arial"/>
          <w:sz w:val="24"/>
          <w:szCs w:val="24"/>
        </w:rPr>
      </w:pPr>
    </w:p>
    <w:p w14:paraId="1B5BCC9C" w14:textId="77777777" w:rsidR="00FC4782" w:rsidRPr="009645C1" w:rsidRDefault="00FC4782" w:rsidP="00FC4782">
      <w:pPr>
        <w:pStyle w:val="ListParagraph"/>
        <w:spacing w:after="360" w:line="240" w:lineRule="auto"/>
        <w:ind w:left="0"/>
        <w:rPr>
          <w:rFonts w:ascii="Arial" w:hAnsi="Arial" w:cs="Arial"/>
          <w:b/>
          <w:bCs/>
          <w:sz w:val="24"/>
          <w:szCs w:val="24"/>
          <w:u w:val="single"/>
        </w:rPr>
      </w:pPr>
      <w:r w:rsidRPr="009645C1">
        <w:rPr>
          <w:rFonts w:ascii="Arial" w:hAnsi="Arial" w:cs="Arial"/>
          <w:b/>
          <w:bCs/>
          <w:sz w:val="24"/>
          <w:szCs w:val="24"/>
          <w:u w:val="single"/>
        </w:rPr>
        <w:t>Question(s):</w:t>
      </w:r>
    </w:p>
    <w:p w14:paraId="2BC53D1D" w14:textId="77777777" w:rsidR="00FC4782" w:rsidRDefault="00FC4782" w:rsidP="00FC4782">
      <w:pPr>
        <w:pStyle w:val="ListParagraph"/>
        <w:rPr>
          <w:rFonts w:ascii="Arial" w:hAnsi="Arial" w:cs="Arial"/>
          <w:sz w:val="24"/>
          <w:szCs w:val="24"/>
        </w:rPr>
      </w:pPr>
    </w:p>
    <w:p w14:paraId="48C63D1A" w14:textId="77777777" w:rsidR="00FC4782" w:rsidRDefault="00FC4782" w:rsidP="00FC4782">
      <w:pPr>
        <w:pStyle w:val="ListParagraph"/>
        <w:numPr>
          <w:ilvl w:val="0"/>
          <w:numId w:val="32"/>
        </w:numPr>
        <w:spacing w:after="360" w:line="240" w:lineRule="auto"/>
        <w:rPr>
          <w:rFonts w:ascii="Arial" w:hAnsi="Arial" w:cs="Arial"/>
          <w:sz w:val="24"/>
          <w:szCs w:val="24"/>
        </w:rPr>
      </w:pPr>
      <w:r w:rsidRPr="008F12C8">
        <w:rPr>
          <w:rFonts w:ascii="Arial" w:hAnsi="Arial" w:cs="Arial"/>
          <w:sz w:val="24"/>
          <w:szCs w:val="24"/>
        </w:rPr>
        <w:t xml:space="preserve">Please confirm </w:t>
      </w:r>
      <w:r>
        <w:rPr>
          <w:rFonts w:ascii="Arial" w:hAnsi="Arial" w:cs="Arial"/>
          <w:sz w:val="24"/>
          <w:szCs w:val="24"/>
        </w:rPr>
        <w:t xml:space="preserve">that </w:t>
      </w:r>
      <w:r w:rsidRPr="008F12C8">
        <w:rPr>
          <w:rFonts w:ascii="Arial" w:hAnsi="Arial" w:cs="Arial"/>
          <w:sz w:val="24"/>
          <w:szCs w:val="24"/>
        </w:rPr>
        <w:t>the recovery period for the disposition of the Group 1 deferral and variance accounts</w:t>
      </w:r>
      <w:r>
        <w:rPr>
          <w:rFonts w:ascii="Arial" w:hAnsi="Arial" w:cs="Arial"/>
          <w:sz w:val="24"/>
          <w:szCs w:val="24"/>
        </w:rPr>
        <w:t xml:space="preserve"> is a default 12-month period</w:t>
      </w:r>
      <w:r w:rsidRPr="008F12C8">
        <w:rPr>
          <w:rFonts w:ascii="Arial" w:hAnsi="Arial" w:cs="Arial"/>
          <w:sz w:val="24"/>
          <w:szCs w:val="24"/>
        </w:rPr>
        <w:t>.</w:t>
      </w:r>
    </w:p>
    <w:p w14:paraId="7822F7CB" w14:textId="77777777" w:rsidR="00FC4782" w:rsidRDefault="00FC4782" w:rsidP="00FC4782">
      <w:pPr>
        <w:pStyle w:val="ListParagraph"/>
        <w:spacing w:after="360" w:line="240" w:lineRule="auto"/>
        <w:rPr>
          <w:rFonts w:ascii="Arial" w:hAnsi="Arial" w:cs="Arial"/>
          <w:sz w:val="24"/>
          <w:szCs w:val="24"/>
        </w:rPr>
      </w:pPr>
    </w:p>
    <w:p w14:paraId="70890F6B" w14:textId="77777777" w:rsidR="00FC4782" w:rsidRPr="008F12C8" w:rsidRDefault="00FC4782" w:rsidP="00FC4782">
      <w:pPr>
        <w:pStyle w:val="ListParagraph"/>
        <w:spacing w:after="360" w:line="240" w:lineRule="auto"/>
        <w:rPr>
          <w:rFonts w:ascii="Arial" w:hAnsi="Arial" w:cs="Arial"/>
          <w:sz w:val="24"/>
          <w:szCs w:val="24"/>
        </w:rPr>
      </w:pPr>
    </w:p>
    <w:p w14:paraId="552172A2" w14:textId="003CE4F0" w:rsidR="00FC4782" w:rsidRPr="00FC4782" w:rsidRDefault="00FC4782" w:rsidP="00FC4782">
      <w:pPr>
        <w:spacing w:after="360" w:line="240" w:lineRule="auto"/>
        <w:rPr>
          <w:rFonts w:ascii="Arial" w:hAnsi="Arial" w:cs="Arial"/>
          <w:sz w:val="24"/>
          <w:szCs w:val="24"/>
        </w:rPr>
      </w:pPr>
      <w:r>
        <w:rPr>
          <w:rFonts w:ascii="Arial" w:hAnsi="Arial" w:cs="Arial"/>
          <w:b/>
          <w:sz w:val="24"/>
          <w:szCs w:val="24"/>
        </w:rPr>
        <w:t>Staff Question-</w:t>
      </w:r>
      <w:r>
        <w:rPr>
          <w:rFonts w:ascii="Arial" w:hAnsi="Arial" w:cs="Arial"/>
          <w:b/>
          <w:sz w:val="24"/>
          <w:szCs w:val="24"/>
        </w:rPr>
        <w:t xml:space="preserve"> 6</w:t>
      </w:r>
    </w:p>
    <w:p w14:paraId="7F3786F1" w14:textId="77777777" w:rsidR="00FC4782" w:rsidRDefault="00FC4782" w:rsidP="00FC4782">
      <w:pPr>
        <w:pStyle w:val="ListParagraph"/>
        <w:spacing w:after="360" w:line="240" w:lineRule="auto"/>
        <w:ind w:left="0"/>
        <w:rPr>
          <w:rFonts w:ascii="Arial" w:hAnsi="Arial" w:cs="Arial"/>
          <w:b/>
          <w:bCs/>
          <w:sz w:val="24"/>
          <w:szCs w:val="24"/>
        </w:rPr>
      </w:pPr>
      <w:r w:rsidRPr="00C35DFD">
        <w:rPr>
          <w:rFonts w:ascii="Arial" w:hAnsi="Arial" w:cs="Arial"/>
          <w:b/>
          <w:bCs/>
          <w:sz w:val="24"/>
          <w:szCs w:val="24"/>
        </w:rPr>
        <w:t xml:space="preserve">Ref 1: 2023 GA Analysis </w:t>
      </w:r>
      <w:proofErr w:type="spellStart"/>
      <w:r w:rsidRPr="00C35DFD">
        <w:rPr>
          <w:rFonts w:ascii="Arial" w:hAnsi="Arial" w:cs="Arial"/>
          <w:b/>
          <w:bCs/>
          <w:sz w:val="24"/>
          <w:szCs w:val="24"/>
        </w:rPr>
        <w:t>Workform</w:t>
      </w:r>
      <w:proofErr w:type="spellEnd"/>
    </w:p>
    <w:p w14:paraId="1040C071" w14:textId="77777777" w:rsidR="00FC4782" w:rsidRPr="00C35DFD" w:rsidRDefault="00FC4782" w:rsidP="00FC4782">
      <w:pPr>
        <w:pStyle w:val="ListParagraph"/>
        <w:spacing w:after="360" w:line="240" w:lineRule="auto"/>
        <w:ind w:left="0"/>
        <w:rPr>
          <w:rFonts w:ascii="Arial" w:hAnsi="Arial" w:cs="Arial"/>
          <w:b/>
          <w:bCs/>
          <w:sz w:val="24"/>
          <w:szCs w:val="24"/>
        </w:rPr>
      </w:pPr>
      <w:r>
        <w:rPr>
          <w:rFonts w:ascii="Arial" w:hAnsi="Arial" w:cs="Arial"/>
          <w:b/>
          <w:bCs/>
          <w:sz w:val="24"/>
          <w:szCs w:val="24"/>
        </w:rPr>
        <w:t>Ref 2: 2023 IRM Rate Generator Model</w:t>
      </w:r>
    </w:p>
    <w:p w14:paraId="6D192E41" w14:textId="77777777" w:rsidR="00FC4782" w:rsidRDefault="00FC4782" w:rsidP="00FC4782">
      <w:pPr>
        <w:pStyle w:val="ListParagraph"/>
        <w:spacing w:after="360" w:line="240" w:lineRule="auto"/>
        <w:ind w:left="0"/>
        <w:rPr>
          <w:rFonts w:ascii="Arial" w:hAnsi="Arial" w:cs="Arial"/>
          <w:sz w:val="24"/>
          <w:szCs w:val="24"/>
        </w:rPr>
      </w:pPr>
    </w:p>
    <w:p w14:paraId="1F237051" w14:textId="706EFE28" w:rsidR="00FC4782" w:rsidRDefault="00FC4782" w:rsidP="00FC4782">
      <w:pPr>
        <w:pStyle w:val="ListParagraph"/>
        <w:spacing w:after="360" w:line="240" w:lineRule="auto"/>
        <w:ind w:left="0"/>
        <w:rPr>
          <w:rFonts w:ascii="Arial" w:hAnsi="Arial" w:cs="Arial"/>
          <w:sz w:val="24"/>
          <w:szCs w:val="24"/>
        </w:rPr>
      </w:pPr>
      <w:r w:rsidRPr="00AF719C">
        <w:rPr>
          <w:rFonts w:ascii="Arial" w:hAnsi="Arial" w:cs="Arial"/>
          <w:sz w:val="24"/>
          <w:szCs w:val="24"/>
        </w:rPr>
        <w:t xml:space="preserve">OEB staff finds the net change in principal balance in the GL stated in </w:t>
      </w:r>
      <w:r>
        <w:rPr>
          <w:rFonts w:ascii="Arial" w:hAnsi="Arial" w:cs="Arial"/>
          <w:sz w:val="24"/>
          <w:szCs w:val="24"/>
        </w:rPr>
        <w:t xml:space="preserve">Reference 1 Tab </w:t>
      </w:r>
      <w:r w:rsidRPr="00AF719C">
        <w:rPr>
          <w:rFonts w:ascii="Arial" w:hAnsi="Arial" w:cs="Arial"/>
          <w:sz w:val="24"/>
          <w:szCs w:val="24"/>
        </w:rPr>
        <w:t>GA 202</w:t>
      </w:r>
      <w:r>
        <w:rPr>
          <w:rFonts w:ascii="Arial" w:hAnsi="Arial" w:cs="Arial"/>
          <w:sz w:val="24"/>
          <w:szCs w:val="24"/>
        </w:rPr>
        <w:t>1 cell C75</w:t>
      </w:r>
      <w:r w:rsidRPr="00AF719C">
        <w:rPr>
          <w:rFonts w:ascii="Arial" w:hAnsi="Arial" w:cs="Arial"/>
          <w:sz w:val="24"/>
          <w:szCs w:val="24"/>
        </w:rPr>
        <w:t xml:space="preserve"> (</w:t>
      </w:r>
      <w:r>
        <w:rPr>
          <w:rFonts w:ascii="Arial" w:hAnsi="Arial" w:cs="Arial"/>
          <w:sz w:val="24"/>
          <w:szCs w:val="24"/>
        </w:rPr>
        <w:t xml:space="preserve">a credit balance of </w:t>
      </w:r>
      <w:r w:rsidRPr="00AF719C">
        <w:rPr>
          <w:rFonts w:ascii="Arial" w:hAnsi="Arial" w:cs="Arial"/>
          <w:sz w:val="24"/>
          <w:szCs w:val="24"/>
        </w:rPr>
        <w:t>$</w:t>
      </w:r>
      <w:r>
        <w:rPr>
          <w:rFonts w:ascii="Arial" w:hAnsi="Arial" w:cs="Arial"/>
          <w:sz w:val="24"/>
          <w:szCs w:val="24"/>
        </w:rPr>
        <w:t>2,460</w:t>
      </w:r>
      <w:r w:rsidRPr="00AF719C">
        <w:rPr>
          <w:rFonts w:ascii="Arial" w:hAnsi="Arial" w:cs="Arial"/>
          <w:sz w:val="24"/>
          <w:szCs w:val="24"/>
        </w:rPr>
        <w:t>) does not agree to the transactions during 202</w:t>
      </w:r>
      <w:r>
        <w:rPr>
          <w:rFonts w:ascii="Arial" w:hAnsi="Arial" w:cs="Arial"/>
          <w:sz w:val="24"/>
          <w:szCs w:val="24"/>
        </w:rPr>
        <w:t>1</w:t>
      </w:r>
      <w:r w:rsidRPr="00AF719C">
        <w:rPr>
          <w:rFonts w:ascii="Arial" w:hAnsi="Arial" w:cs="Arial"/>
          <w:sz w:val="24"/>
          <w:szCs w:val="24"/>
        </w:rPr>
        <w:t xml:space="preserve"> amount of $</w:t>
      </w:r>
      <w:r>
        <w:rPr>
          <w:rFonts w:ascii="Arial" w:hAnsi="Arial" w:cs="Arial"/>
          <w:sz w:val="24"/>
          <w:szCs w:val="24"/>
        </w:rPr>
        <w:t>1,550</w:t>
      </w:r>
      <w:r w:rsidRPr="00AF719C">
        <w:rPr>
          <w:rFonts w:ascii="Arial" w:hAnsi="Arial" w:cs="Arial"/>
          <w:sz w:val="24"/>
          <w:szCs w:val="24"/>
        </w:rPr>
        <w:t xml:space="preserve"> stated in the continuity schedule.</w:t>
      </w:r>
    </w:p>
    <w:p w14:paraId="2D988EEC" w14:textId="77777777" w:rsidR="00FC4782" w:rsidRDefault="00FC4782" w:rsidP="00FC4782">
      <w:pPr>
        <w:pStyle w:val="ListParagraph"/>
        <w:spacing w:after="360" w:line="240" w:lineRule="auto"/>
        <w:ind w:left="0"/>
        <w:rPr>
          <w:rFonts w:ascii="Arial" w:hAnsi="Arial" w:cs="Arial"/>
          <w:sz w:val="24"/>
          <w:szCs w:val="24"/>
        </w:rPr>
      </w:pPr>
    </w:p>
    <w:p w14:paraId="50AFAFC0" w14:textId="77777777" w:rsidR="00FC4782" w:rsidRDefault="00FC4782" w:rsidP="00FC4782">
      <w:pPr>
        <w:pStyle w:val="ListParagraph"/>
        <w:spacing w:after="360" w:line="240" w:lineRule="auto"/>
        <w:ind w:left="0"/>
        <w:rPr>
          <w:rFonts w:ascii="Arial" w:hAnsi="Arial" w:cs="Arial"/>
          <w:b/>
          <w:bCs/>
          <w:sz w:val="24"/>
          <w:szCs w:val="24"/>
          <w:u w:val="single"/>
        </w:rPr>
      </w:pPr>
      <w:r w:rsidRPr="00BB1FB3">
        <w:rPr>
          <w:rFonts w:ascii="Arial" w:hAnsi="Arial" w:cs="Arial"/>
          <w:b/>
          <w:bCs/>
          <w:sz w:val="24"/>
          <w:szCs w:val="24"/>
          <w:u w:val="single"/>
        </w:rPr>
        <w:t>Question(s)</w:t>
      </w:r>
      <w:r>
        <w:rPr>
          <w:rFonts w:ascii="Arial" w:hAnsi="Arial" w:cs="Arial"/>
          <w:b/>
          <w:bCs/>
          <w:sz w:val="24"/>
          <w:szCs w:val="24"/>
          <w:u w:val="single"/>
        </w:rPr>
        <w:t>:</w:t>
      </w:r>
    </w:p>
    <w:p w14:paraId="7EF6458B" w14:textId="77777777" w:rsidR="00FC4782" w:rsidRPr="00BB1FB3" w:rsidRDefault="00FC4782" w:rsidP="00FC4782">
      <w:pPr>
        <w:pStyle w:val="ListParagraph"/>
        <w:spacing w:after="360" w:line="240" w:lineRule="auto"/>
        <w:ind w:left="0"/>
        <w:rPr>
          <w:rFonts w:ascii="Arial" w:hAnsi="Arial" w:cs="Arial"/>
          <w:b/>
          <w:bCs/>
          <w:sz w:val="24"/>
          <w:szCs w:val="24"/>
          <w:u w:val="single"/>
        </w:rPr>
      </w:pPr>
    </w:p>
    <w:p w14:paraId="75BB66D8" w14:textId="66F60A53" w:rsidR="00FC4782" w:rsidRDefault="00FC4782" w:rsidP="00FC4782">
      <w:pPr>
        <w:pStyle w:val="ListParagraph"/>
        <w:numPr>
          <w:ilvl w:val="0"/>
          <w:numId w:val="31"/>
        </w:numPr>
        <w:spacing w:after="160" w:line="259" w:lineRule="auto"/>
        <w:rPr>
          <w:rFonts w:ascii="Arial" w:hAnsi="Arial" w:cs="Arial"/>
          <w:sz w:val="24"/>
          <w:szCs w:val="24"/>
        </w:rPr>
      </w:pPr>
      <w:r w:rsidRPr="009645C1">
        <w:rPr>
          <w:rFonts w:ascii="Arial" w:hAnsi="Arial" w:cs="Arial"/>
          <w:sz w:val="24"/>
          <w:szCs w:val="24"/>
        </w:rPr>
        <w:t>Please explain the discrepanc</w:t>
      </w:r>
      <w:r>
        <w:rPr>
          <w:rFonts w:ascii="Arial" w:hAnsi="Arial" w:cs="Arial"/>
          <w:sz w:val="24"/>
          <w:szCs w:val="24"/>
        </w:rPr>
        <w:t>y</w:t>
      </w:r>
      <w:r w:rsidRPr="009645C1">
        <w:rPr>
          <w:rFonts w:ascii="Arial" w:hAnsi="Arial" w:cs="Arial"/>
          <w:sz w:val="24"/>
          <w:szCs w:val="24"/>
        </w:rPr>
        <w:t xml:space="preserve"> noted above and update the relevant schedule/model as applicable.</w:t>
      </w:r>
    </w:p>
    <w:p w14:paraId="316553B9" w14:textId="6615DA41" w:rsidR="00FC4782" w:rsidRPr="00FC4782" w:rsidRDefault="00FC4782" w:rsidP="00FC4782">
      <w:pPr>
        <w:spacing w:after="360" w:line="240" w:lineRule="auto"/>
        <w:rPr>
          <w:rFonts w:ascii="Arial" w:hAnsi="Arial" w:cs="Arial"/>
          <w:sz w:val="24"/>
          <w:szCs w:val="24"/>
        </w:rPr>
      </w:pPr>
      <w:r>
        <w:rPr>
          <w:rFonts w:ascii="Arial" w:hAnsi="Arial" w:cs="Arial"/>
          <w:b/>
          <w:sz w:val="24"/>
          <w:szCs w:val="24"/>
        </w:rPr>
        <w:lastRenderedPageBreak/>
        <w:t>Staff Question-</w:t>
      </w:r>
      <w:r>
        <w:rPr>
          <w:rFonts w:ascii="Arial" w:hAnsi="Arial" w:cs="Arial"/>
          <w:b/>
          <w:sz w:val="24"/>
          <w:szCs w:val="24"/>
        </w:rPr>
        <w:t xml:space="preserve"> 7</w:t>
      </w:r>
    </w:p>
    <w:p w14:paraId="17499F60" w14:textId="77777777" w:rsidR="00FC4782" w:rsidRDefault="00FC4782" w:rsidP="00FC4782">
      <w:pPr>
        <w:pStyle w:val="ListParagraph"/>
        <w:spacing w:after="360" w:line="240" w:lineRule="auto"/>
        <w:ind w:left="0"/>
        <w:rPr>
          <w:rFonts w:ascii="Arial" w:hAnsi="Arial" w:cs="Arial"/>
          <w:b/>
          <w:bCs/>
          <w:sz w:val="24"/>
          <w:szCs w:val="24"/>
        </w:rPr>
      </w:pPr>
      <w:r w:rsidRPr="00EE7855">
        <w:rPr>
          <w:rFonts w:ascii="Arial" w:hAnsi="Arial" w:cs="Arial"/>
          <w:b/>
          <w:bCs/>
          <w:sz w:val="24"/>
          <w:szCs w:val="24"/>
        </w:rPr>
        <w:t xml:space="preserve">Ref 1: </w:t>
      </w:r>
      <w:r w:rsidRPr="00C35DFD">
        <w:rPr>
          <w:rFonts w:ascii="Arial" w:hAnsi="Arial" w:cs="Arial"/>
          <w:b/>
          <w:bCs/>
          <w:sz w:val="24"/>
          <w:szCs w:val="24"/>
        </w:rPr>
        <w:t xml:space="preserve">2023 GA Analysis </w:t>
      </w:r>
      <w:proofErr w:type="spellStart"/>
      <w:r w:rsidRPr="00C35DFD">
        <w:rPr>
          <w:rFonts w:ascii="Arial" w:hAnsi="Arial" w:cs="Arial"/>
          <w:b/>
          <w:bCs/>
          <w:sz w:val="24"/>
          <w:szCs w:val="24"/>
        </w:rPr>
        <w:t>Workform</w:t>
      </w:r>
      <w:proofErr w:type="spellEnd"/>
    </w:p>
    <w:p w14:paraId="7E73DE11" w14:textId="77777777" w:rsidR="00FC4782" w:rsidRDefault="00FC4782" w:rsidP="00FC4782">
      <w:pPr>
        <w:pStyle w:val="ListParagraph"/>
        <w:spacing w:after="360" w:line="240" w:lineRule="auto"/>
        <w:ind w:left="0"/>
        <w:rPr>
          <w:rFonts w:ascii="Arial" w:hAnsi="Arial" w:cs="Arial"/>
          <w:b/>
          <w:bCs/>
          <w:sz w:val="24"/>
          <w:szCs w:val="24"/>
        </w:rPr>
      </w:pPr>
    </w:p>
    <w:p w14:paraId="3E1B3B38" w14:textId="77777777"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 xml:space="preserve">Per Tab GA 2021 in Reference 1, </w:t>
      </w:r>
      <w:r w:rsidRPr="00F5412C">
        <w:rPr>
          <w:rFonts w:ascii="Arial" w:hAnsi="Arial" w:cs="Arial"/>
          <w:sz w:val="24"/>
          <w:szCs w:val="24"/>
        </w:rPr>
        <w:t>Hydro</w:t>
      </w:r>
      <w:r>
        <w:rPr>
          <w:rFonts w:ascii="Arial" w:hAnsi="Arial" w:cs="Arial"/>
          <w:sz w:val="24"/>
          <w:szCs w:val="24"/>
        </w:rPr>
        <w:t xml:space="preserve"> 2000 states a reconciling item of a credit amount of $6,071 due to variances from December consumption recorded in January. </w:t>
      </w:r>
    </w:p>
    <w:p w14:paraId="35BBB5BA" w14:textId="77777777"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 xml:space="preserve">OEB staff notes that Hydro 2000 did not indicate whether this adjustment is a principal adjustment on the DVA continuity schedule. </w:t>
      </w:r>
    </w:p>
    <w:p w14:paraId="7D376700" w14:textId="77777777" w:rsidR="00FC4782" w:rsidRDefault="00FC4782" w:rsidP="00FC4782">
      <w:pPr>
        <w:pStyle w:val="ListParagraph"/>
        <w:spacing w:after="360" w:line="240" w:lineRule="auto"/>
        <w:ind w:left="0"/>
        <w:rPr>
          <w:rFonts w:ascii="Arial" w:hAnsi="Arial" w:cs="Arial"/>
          <w:sz w:val="24"/>
          <w:szCs w:val="24"/>
        </w:rPr>
      </w:pPr>
    </w:p>
    <w:p w14:paraId="51776150" w14:textId="77777777" w:rsidR="00FC4782" w:rsidRPr="00F5412C" w:rsidRDefault="00FC4782" w:rsidP="00FC4782">
      <w:pPr>
        <w:pStyle w:val="ListParagraph"/>
        <w:spacing w:after="360" w:line="240" w:lineRule="auto"/>
        <w:ind w:left="0"/>
        <w:rPr>
          <w:rFonts w:ascii="Arial" w:hAnsi="Arial" w:cs="Arial"/>
          <w:b/>
          <w:bCs/>
          <w:sz w:val="24"/>
          <w:szCs w:val="24"/>
        </w:rPr>
      </w:pPr>
      <w:r>
        <w:rPr>
          <w:rFonts w:ascii="Arial" w:hAnsi="Arial" w:cs="Arial"/>
          <w:sz w:val="24"/>
          <w:szCs w:val="24"/>
        </w:rPr>
        <w:t>In addition, OEB staff notes there is no corresponding principal adjustment on DVA Continuity Schedule.</w:t>
      </w:r>
    </w:p>
    <w:p w14:paraId="6BDD0CB5" w14:textId="77777777" w:rsidR="00FC4782" w:rsidRDefault="00FC4782" w:rsidP="00FC4782">
      <w:pPr>
        <w:spacing w:after="360" w:line="240" w:lineRule="auto"/>
        <w:rPr>
          <w:rFonts w:ascii="Arial" w:hAnsi="Arial" w:cs="Arial"/>
          <w:b/>
          <w:bCs/>
          <w:sz w:val="24"/>
          <w:szCs w:val="24"/>
          <w:u w:val="single"/>
        </w:rPr>
      </w:pPr>
      <w:r w:rsidRPr="00ED3280">
        <w:rPr>
          <w:rFonts w:ascii="Arial" w:hAnsi="Arial" w:cs="Arial"/>
          <w:b/>
          <w:bCs/>
          <w:sz w:val="24"/>
          <w:szCs w:val="24"/>
          <w:u w:val="single"/>
        </w:rPr>
        <w:t>Question(s):</w:t>
      </w:r>
    </w:p>
    <w:p w14:paraId="1A3D6302" w14:textId="77777777" w:rsidR="00FC4782" w:rsidRPr="00F5412C" w:rsidRDefault="00FC4782" w:rsidP="00FC4782">
      <w:pPr>
        <w:pStyle w:val="ListParagraph"/>
        <w:numPr>
          <w:ilvl w:val="0"/>
          <w:numId w:val="30"/>
        </w:numPr>
        <w:spacing w:after="360" w:line="240" w:lineRule="auto"/>
        <w:rPr>
          <w:rFonts w:ascii="Arial" w:hAnsi="Arial" w:cs="Arial"/>
          <w:b/>
          <w:bCs/>
          <w:sz w:val="24"/>
          <w:szCs w:val="24"/>
          <w:u w:val="single"/>
        </w:rPr>
      </w:pPr>
      <w:r>
        <w:rPr>
          <w:rFonts w:ascii="Arial" w:hAnsi="Arial" w:cs="Arial"/>
          <w:sz w:val="24"/>
          <w:szCs w:val="24"/>
        </w:rPr>
        <w:t>Please confirm if there is a principal adjustment made in the GL for the unbilled December consumption.</w:t>
      </w:r>
    </w:p>
    <w:p w14:paraId="400C02E4" w14:textId="77777777" w:rsidR="00FC4782" w:rsidRPr="00A2173C" w:rsidRDefault="00FC4782" w:rsidP="00FC4782">
      <w:pPr>
        <w:pStyle w:val="ListParagraph"/>
        <w:numPr>
          <w:ilvl w:val="0"/>
          <w:numId w:val="33"/>
        </w:numPr>
        <w:spacing w:after="360" w:line="240" w:lineRule="auto"/>
        <w:rPr>
          <w:rFonts w:ascii="Arial" w:hAnsi="Arial" w:cs="Arial"/>
          <w:b/>
          <w:bCs/>
          <w:sz w:val="24"/>
          <w:szCs w:val="24"/>
          <w:u w:val="single"/>
        </w:rPr>
      </w:pPr>
      <w:r>
        <w:rPr>
          <w:rFonts w:ascii="Arial" w:hAnsi="Arial" w:cs="Arial"/>
          <w:sz w:val="24"/>
          <w:szCs w:val="24"/>
        </w:rPr>
        <w:t xml:space="preserve">If so, please complete the Principal Adjustments tab in the GA </w:t>
      </w:r>
      <w:proofErr w:type="spellStart"/>
      <w:r>
        <w:rPr>
          <w:rFonts w:ascii="Arial" w:hAnsi="Arial" w:cs="Arial"/>
          <w:sz w:val="24"/>
          <w:szCs w:val="24"/>
        </w:rPr>
        <w:t>Workform</w:t>
      </w:r>
      <w:proofErr w:type="spellEnd"/>
      <w:r>
        <w:rPr>
          <w:rFonts w:ascii="Arial" w:hAnsi="Arial" w:cs="Arial"/>
          <w:sz w:val="24"/>
          <w:szCs w:val="24"/>
        </w:rPr>
        <w:t xml:space="preserve"> and update the relevant schedule/model as applicable.</w:t>
      </w:r>
    </w:p>
    <w:p w14:paraId="227C7596" w14:textId="33E89836" w:rsidR="00FC4782" w:rsidRPr="00FC4782" w:rsidRDefault="00FC4782" w:rsidP="00FC4782">
      <w:pPr>
        <w:pStyle w:val="ListParagraph"/>
        <w:numPr>
          <w:ilvl w:val="0"/>
          <w:numId w:val="33"/>
        </w:numPr>
        <w:spacing w:after="360" w:line="240" w:lineRule="auto"/>
        <w:rPr>
          <w:rFonts w:ascii="Arial" w:hAnsi="Arial" w:cs="Arial"/>
          <w:b/>
          <w:bCs/>
          <w:sz w:val="24"/>
          <w:szCs w:val="24"/>
          <w:u w:val="single"/>
        </w:rPr>
      </w:pPr>
      <w:r>
        <w:rPr>
          <w:rFonts w:ascii="Arial" w:hAnsi="Arial" w:cs="Arial"/>
          <w:sz w:val="24"/>
          <w:szCs w:val="24"/>
        </w:rPr>
        <w:t>If not, please provide an explanation and update the relevant schedule/model as applicable.</w:t>
      </w:r>
    </w:p>
    <w:p w14:paraId="7D242FBF" w14:textId="72A9DD47" w:rsidR="00FC4782" w:rsidRDefault="00FC4782" w:rsidP="00FC4782">
      <w:pPr>
        <w:spacing w:after="360" w:line="240" w:lineRule="auto"/>
        <w:ind w:left="720"/>
        <w:rPr>
          <w:rFonts w:ascii="Arial" w:hAnsi="Arial" w:cs="Arial"/>
          <w:b/>
          <w:bCs/>
          <w:sz w:val="24"/>
          <w:szCs w:val="24"/>
          <w:u w:val="single"/>
        </w:rPr>
      </w:pPr>
    </w:p>
    <w:p w14:paraId="799AF41C" w14:textId="77777777" w:rsidR="00BA13F9" w:rsidRPr="00FC4782" w:rsidRDefault="00BA13F9" w:rsidP="00FC4782">
      <w:pPr>
        <w:spacing w:after="360" w:line="240" w:lineRule="auto"/>
        <w:ind w:left="720"/>
        <w:rPr>
          <w:rFonts w:ascii="Arial" w:hAnsi="Arial" w:cs="Arial"/>
          <w:b/>
          <w:bCs/>
          <w:sz w:val="24"/>
          <w:szCs w:val="24"/>
          <w:u w:val="single"/>
        </w:rPr>
      </w:pPr>
    </w:p>
    <w:p w14:paraId="21E68F40" w14:textId="748F945E" w:rsidR="00FC4782" w:rsidRPr="00FC4782" w:rsidRDefault="00FC4782" w:rsidP="00FC4782">
      <w:pPr>
        <w:spacing w:after="360" w:line="240" w:lineRule="auto"/>
        <w:rPr>
          <w:rFonts w:ascii="Arial" w:hAnsi="Arial" w:cs="Arial"/>
          <w:sz w:val="24"/>
          <w:szCs w:val="24"/>
        </w:rPr>
      </w:pPr>
      <w:r>
        <w:rPr>
          <w:rFonts w:ascii="Arial" w:hAnsi="Arial" w:cs="Arial"/>
          <w:b/>
          <w:sz w:val="24"/>
          <w:szCs w:val="24"/>
        </w:rPr>
        <w:t>Staff Question-</w:t>
      </w:r>
      <w:r>
        <w:rPr>
          <w:rFonts w:ascii="Arial" w:hAnsi="Arial" w:cs="Arial"/>
          <w:b/>
          <w:sz w:val="24"/>
          <w:szCs w:val="24"/>
        </w:rPr>
        <w:t>8</w:t>
      </w:r>
    </w:p>
    <w:p w14:paraId="251249B7" w14:textId="77777777" w:rsidR="00FC4782" w:rsidRDefault="00FC4782" w:rsidP="00FC4782">
      <w:pPr>
        <w:pStyle w:val="ListParagraph"/>
        <w:spacing w:after="360" w:line="240" w:lineRule="auto"/>
        <w:ind w:left="0"/>
        <w:rPr>
          <w:rFonts w:ascii="Arial" w:hAnsi="Arial" w:cs="Arial"/>
          <w:b/>
          <w:bCs/>
          <w:sz w:val="24"/>
          <w:szCs w:val="24"/>
        </w:rPr>
      </w:pPr>
      <w:r w:rsidRPr="00EE7855">
        <w:rPr>
          <w:rFonts w:ascii="Arial" w:hAnsi="Arial" w:cs="Arial"/>
          <w:b/>
          <w:bCs/>
          <w:sz w:val="24"/>
          <w:szCs w:val="24"/>
        </w:rPr>
        <w:t xml:space="preserve">Ref 1: </w:t>
      </w:r>
      <w:r>
        <w:rPr>
          <w:rFonts w:ascii="Arial" w:hAnsi="Arial" w:cs="Arial"/>
          <w:b/>
          <w:bCs/>
          <w:sz w:val="24"/>
          <w:szCs w:val="24"/>
        </w:rPr>
        <w:t>2023 IRM Rate Generator Model</w:t>
      </w:r>
    </w:p>
    <w:p w14:paraId="49A2C58D" w14:textId="77777777" w:rsidR="00FC4782" w:rsidRDefault="00FC4782" w:rsidP="00FC4782">
      <w:pPr>
        <w:pStyle w:val="ListParagraph"/>
        <w:spacing w:after="360" w:line="240" w:lineRule="auto"/>
        <w:ind w:left="0"/>
        <w:rPr>
          <w:rFonts w:ascii="Arial" w:hAnsi="Arial" w:cs="Arial"/>
          <w:b/>
          <w:bCs/>
          <w:sz w:val="24"/>
          <w:szCs w:val="24"/>
        </w:rPr>
      </w:pPr>
      <w:r w:rsidRPr="00EE7855">
        <w:rPr>
          <w:rFonts w:ascii="Arial" w:hAnsi="Arial" w:cs="Arial"/>
          <w:b/>
          <w:bCs/>
          <w:sz w:val="24"/>
          <w:szCs w:val="24"/>
        </w:rPr>
        <w:t xml:space="preserve">Ref </w:t>
      </w:r>
      <w:r>
        <w:rPr>
          <w:rFonts w:ascii="Arial" w:hAnsi="Arial" w:cs="Arial"/>
          <w:b/>
          <w:bCs/>
          <w:sz w:val="24"/>
          <w:szCs w:val="24"/>
        </w:rPr>
        <w:t>2</w:t>
      </w:r>
      <w:r w:rsidRPr="00EE7855">
        <w:rPr>
          <w:rFonts w:ascii="Arial" w:hAnsi="Arial" w:cs="Arial"/>
          <w:b/>
          <w:bCs/>
          <w:sz w:val="24"/>
          <w:szCs w:val="24"/>
        </w:rPr>
        <w:t xml:space="preserve">: </w:t>
      </w:r>
      <w:r>
        <w:rPr>
          <w:rFonts w:ascii="Arial" w:hAnsi="Arial" w:cs="Arial"/>
          <w:b/>
          <w:bCs/>
          <w:sz w:val="24"/>
          <w:szCs w:val="24"/>
        </w:rPr>
        <w:t>Manager Summary, p. 12-13</w:t>
      </w:r>
    </w:p>
    <w:p w14:paraId="0481846C" w14:textId="77777777" w:rsidR="00FC4782" w:rsidRDefault="00FC4782" w:rsidP="00FC4782">
      <w:pPr>
        <w:pStyle w:val="ListParagraph"/>
        <w:spacing w:after="360" w:line="240" w:lineRule="auto"/>
        <w:ind w:left="0"/>
        <w:rPr>
          <w:rFonts w:ascii="Arial" w:hAnsi="Arial" w:cs="Arial"/>
          <w:b/>
          <w:bCs/>
          <w:sz w:val="24"/>
          <w:szCs w:val="24"/>
        </w:rPr>
      </w:pPr>
      <w:r>
        <w:rPr>
          <w:rFonts w:ascii="Arial" w:hAnsi="Arial" w:cs="Arial"/>
          <w:b/>
          <w:bCs/>
          <w:sz w:val="24"/>
          <w:szCs w:val="24"/>
        </w:rPr>
        <w:t>Ref 3: Manager Summary, p. 16-17</w:t>
      </w:r>
    </w:p>
    <w:p w14:paraId="77C1E0AC" w14:textId="77777777" w:rsidR="00FC4782" w:rsidRDefault="00FC4782" w:rsidP="00FC4782">
      <w:pPr>
        <w:pStyle w:val="ListParagraph"/>
        <w:spacing w:after="360" w:line="240" w:lineRule="auto"/>
        <w:ind w:left="0"/>
        <w:rPr>
          <w:rFonts w:ascii="Arial" w:hAnsi="Arial" w:cs="Arial"/>
          <w:b/>
          <w:bCs/>
          <w:sz w:val="24"/>
          <w:szCs w:val="24"/>
        </w:rPr>
      </w:pPr>
      <w:r>
        <w:rPr>
          <w:rFonts w:ascii="Arial" w:hAnsi="Arial" w:cs="Arial"/>
          <w:b/>
          <w:bCs/>
          <w:sz w:val="24"/>
          <w:szCs w:val="24"/>
        </w:rPr>
        <w:t>Ref 3: EB-2021-0030, 2022 IRM Application Manager Summary, p.16</w:t>
      </w:r>
    </w:p>
    <w:p w14:paraId="63D52496" w14:textId="77777777" w:rsidR="00FC4782" w:rsidRDefault="00FC4782" w:rsidP="00FC4782">
      <w:pPr>
        <w:pStyle w:val="ListParagraph"/>
        <w:spacing w:after="360" w:line="240" w:lineRule="auto"/>
        <w:ind w:left="0"/>
        <w:rPr>
          <w:rFonts w:ascii="Arial" w:hAnsi="Arial" w:cs="Arial"/>
          <w:b/>
          <w:bCs/>
          <w:sz w:val="24"/>
          <w:szCs w:val="24"/>
        </w:rPr>
      </w:pPr>
    </w:p>
    <w:p w14:paraId="02E9834F" w14:textId="77777777" w:rsidR="00FC4782" w:rsidRDefault="00FC4782" w:rsidP="00FC4782">
      <w:pPr>
        <w:pStyle w:val="ListParagraph"/>
        <w:spacing w:after="360" w:line="240" w:lineRule="auto"/>
        <w:ind w:left="0"/>
        <w:rPr>
          <w:rFonts w:ascii="Arial" w:hAnsi="Arial" w:cs="Arial"/>
          <w:b/>
          <w:bCs/>
          <w:sz w:val="24"/>
          <w:szCs w:val="24"/>
        </w:rPr>
      </w:pPr>
    </w:p>
    <w:p w14:paraId="535F27FE" w14:textId="77777777"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Hydro 2000 states in Reference 2, that variances between RRR and continuity schedule for Accounts 1588 and 1589 resulted from the utility using the OEB’s true-up template versus the previous method. The variances are provided in Reference 2 as shown below.</w:t>
      </w:r>
    </w:p>
    <w:p w14:paraId="048E2142" w14:textId="77777777" w:rsidR="00FC4782" w:rsidRDefault="00FC4782" w:rsidP="00FC4782">
      <w:pPr>
        <w:pStyle w:val="ListParagraph"/>
        <w:spacing w:after="360" w:line="240" w:lineRule="auto"/>
        <w:ind w:left="0"/>
        <w:rPr>
          <w:rFonts w:ascii="Arial" w:hAnsi="Arial" w:cs="Arial"/>
          <w:sz w:val="24"/>
          <w:szCs w:val="24"/>
        </w:rPr>
      </w:pPr>
    </w:p>
    <w:p w14:paraId="5B9E8D42" w14:textId="77777777" w:rsidR="00FC4782" w:rsidRDefault="00FC4782" w:rsidP="00FC4782">
      <w:pPr>
        <w:pStyle w:val="ListParagraph"/>
        <w:spacing w:after="360" w:line="240" w:lineRule="auto"/>
        <w:ind w:left="0"/>
        <w:rPr>
          <w:rFonts w:ascii="Arial" w:hAnsi="Arial" w:cs="Arial"/>
          <w:sz w:val="24"/>
          <w:szCs w:val="24"/>
        </w:rPr>
      </w:pPr>
      <w:r w:rsidRPr="006B4948">
        <w:rPr>
          <w:rFonts w:ascii="Arial" w:hAnsi="Arial" w:cs="Arial"/>
          <w:noProof/>
          <w:sz w:val="24"/>
          <w:szCs w:val="24"/>
        </w:rPr>
        <w:lastRenderedPageBreak/>
        <w:drawing>
          <wp:inline distT="0" distB="0" distL="0" distR="0" wp14:anchorId="654576BC" wp14:editId="34E8F30C">
            <wp:extent cx="5608320" cy="2022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7357" cy="2026090"/>
                    </a:xfrm>
                    <a:prstGeom prst="rect">
                      <a:avLst/>
                    </a:prstGeom>
                  </pic:spPr>
                </pic:pic>
              </a:graphicData>
            </a:graphic>
          </wp:inline>
        </w:drawing>
      </w:r>
    </w:p>
    <w:p w14:paraId="6C9E043A" w14:textId="77777777" w:rsidR="00FC4782" w:rsidRDefault="00FC4782" w:rsidP="00FC4782">
      <w:pPr>
        <w:pStyle w:val="ListParagraph"/>
        <w:spacing w:after="360" w:line="240" w:lineRule="auto"/>
        <w:ind w:left="0"/>
        <w:rPr>
          <w:rFonts w:ascii="Arial" w:hAnsi="Arial" w:cs="Arial"/>
          <w:b/>
          <w:bCs/>
          <w:sz w:val="24"/>
          <w:szCs w:val="24"/>
        </w:rPr>
      </w:pPr>
    </w:p>
    <w:p w14:paraId="133EAE7A" w14:textId="50E1BA25"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In Reference 2, Hydro 2000 also provided Table 5 Derivation of Variances to show the differences and derivation between the two methods.</w:t>
      </w:r>
    </w:p>
    <w:p w14:paraId="66B849D9" w14:textId="77777777" w:rsidR="00FC4782" w:rsidRDefault="00FC4782" w:rsidP="00FC4782">
      <w:pPr>
        <w:pStyle w:val="ListParagraph"/>
        <w:spacing w:after="360" w:line="240" w:lineRule="auto"/>
        <w:ind w:left="0"/>
        <w:rPr>
          <w:rFonts w:ascii="Arial" w:hAnsi="Arial" w:cs="Arial"/>
          <w:sz w:val="24"/>
          <w:szCs w:val="24"/>
        </w:rPr>
      </w:pPr>
      <w:r w:rsidRPr="0061541F">
        <w:rPr>
          <w:rFonts w:ascii="Arial" w:hAnsi="Arial" w:cs="Arial"/>
          <w:noProof/>
          <w:sz w:val="24"/>
          <w:szCs w:val="24"/>
        </w:rPr>
        <w:drawing>
          <wp:inline distT="0" distB="0" distL="0" distR="0" wp14:anchorId="67C0EAA6" wp14:editId="6EF6D398">
            <wp:extent cx="5606032" cy="3543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9385" cy="3545419"/>
                    </a:xfrm>
                    <a:prstGeom prst="rect">
                      <a:avLst/>
                    </a:prstGeom>
                  </pic:spPr>
                </pic:pic>
              </a:graphicData>
            </a:graphic>
          </wp:inline>
        </w:drawing>
      </w:r>
    </w:p>
    <w:p w14:paraId="46F5E744" w14:textId="77777777" w:rsidR="00FC4782" w:rsidRDefault="00FC4782" w:rsidP="00FC4782">
      <w:pPr>
        <w:pStyle w:val="ListParagraph"/>
        <w:spacing w:after="360" w:line="240" w:lineRule="auto"/>
        <w:ind w:left="0"/>
        <w:rPr>
          <w:rFonts w:ascii="Arial" w:hAnsi="Arial" w:cs="Arial"/>
          <w:sz w:val="24"/>
          <w:szCs w:val="24"/>
        </w:rPr>
      </w:pPr>
    </w:p>
    <w:p w14:paraId="62B608F2" w14:textId="77777777" w:rsidR="00FC4782" w:rsidRDefault="00FC4782" w:rsidP="00FC4782">
      <w:pPr>
        <w:pStyle w:val="ListParagraph"/>
        <w:spacing w:after="360" w:line="240" w:lineRule="auto"/>
        <w:ind w:left="0"/>
        <w:rPr>
          <w:rFonts w:ascii="Arial" w:hAnsi="Arial" w:cs="Arial"/>
          <w:sz w:val="24"/>
          <w:szCs w:val="24"/>
        </w:rPr>
      </w:pPr>
      <w:r>
        <w:rPr>
          <w:rFonts w:ascii="Arial" w:hAnsi="Arial" w:cs="Arial"/>
          <w:sz w:val="24"/>
          <w:szCs w:val="24"/>
        </w:rPr>
        <w:t>Hydro 2000 provided further explanation regarding the variances in Reference 3. OEB staff finds Hydro 2000 provided a similar explanation in the Manager Summary from the 2022 IRM application, in which Hydro 2000 stated the following,</w:t>
      </w:r>
    </w:p>
    <w:p w14:paraId="7C8225AB" w14:textId="77777777" w:rsidR="00FC4782" w:rsidRDefault="00FC4782" w:rsidP="00FC4782">
      <w:pPr>
        <w:pStyle w:val="ListParagraph"/>
        <w:spacing w:after="360" w:line="240" w:lineRule="auto"/>
        <w:ind w:left="0"/>
        <w:rPr>
          <w:rFonts w:ascii="Arial" w:hAnsi="Arial" w:cs="Arial"/>
          <w:sz w:val="24"/>
          <w:szCs w:val="24"/>
        </w:rPr>
      </w:pPr>
    </w:p>
    <w:p w14:paraId="27EC17B2" w14:textId="77777777" w:rsidR="00FC4782" w:rsidRPr="00225153" w:rsidRDefault="00FC4782" w:rsidP="00FC4782">
      <w:pPr>
        <w:pStyle w:val="ListParagraph"/>
        <w:spacing w:after="360" w:line="240" w:lineRule="auto"/>
        <w:rPr>
          <w:rFonts w:ascii="Arial" w:hAnsi="Arial" w:cs="Arial"/>
          <w:sz w:val="24"/>
          <w:szCs w:val="24"/>
        </w:rPr>
      </w:pPr>
      <w:r>
        <w:rPr>
          <w:rFonts w:ascii="Arial" w:hAnsi="Arial" w:cs="Arial"/>
          <w:sz w:val="24"/>
          <w:szCs w:val="24"/>
        </w:rPr>
        <w:t>Based on these facts, it was evident that an adjustment needed to be made to the variance accounts to bring them to their newly determined balances, with the other side of the entry impacting retained earnings in the form of a recast in the financial statements. This adjustment was completed while preparing the 2021 IRM.</w:t>
      </w:r>
    </w:p>
    <w:p w14:paraId="2755C3D5" w14:textId="77777777" w:rsidR="00FC4782" w:rsidRDefault="00FC4782" w:rsidP="00FC4782">
      <w:pPr>
        <w:spacing w:after="360" w:line="240" w:lineRule="auto"/>
        <w:rPr>
          <w:rFonts w:ascii="Arial" w:hAnsi="Arial" w:cs="Arial"/>
          <w:b/>
          <w:bCs/>
          <w:sz w:val="24"/>
          <w:szCs w:val="24"/>
          <w:u w:val="single"/>
        </w:rPr>
      </w:pPr>
      <w:r w:rsidRPr="00ED3280">
        <w:rPr>
          <w:rFonts w:ascii="Arial" w:hAnsi="Arial" w:cs="Arial"/>
          <w:b/>
          <w:bCs/>
          <w:sz w:val="24"/>
          <w:szCs w:val="24"/>
          <w:u w:val="single"/>
        </w:rPr>
        <w:lastRenderedPageBreak/>
        <w:t>Question(s):</w:t>
      </w:r>
    </w:p>
    <w:p w14:paraId="204696C0" w14:textId="77777777" w:rsidR="00FC4782" w:rsidRPr="0035766F" w:rsidRDefault="00FC4782" w:rsidP="00FC4782">
      <w:pPr>
        <w:pStyle w:val="ListParagraph"/>
        <w:numPr>
          <w:ilvl w:val="0"/>
          <w:numId w:val="34"/>
        </w:numPr>
        <w:spacing w:after="360" w:line="240" w:lineRule="auto"/>
        <w:rPr>
          <w:rFonts w:ascii="Arial" w:hAnsi="Arial" w:cs="Arial"/>
          <w:b/>
          <w:bCs/>
          <w:sz w:val="24"/>
          <w:szCs w:val="24"/>
          <w:u w:val="single"/>
        </w:rPr>
      </w:pPr>
      <w:r>
        <w:rPr>
          <w:rFonts w:ascii="Arial" w:hAnsi="Arial" w:cs="Arial"/>
          <w:sz w:val="24"/>
          <w:szCs w:val="24"/>
        </w:rPr>
        <w:t>It appears that the balances for Accounts 1588 and 1589 under the old method provided in Table 5 are as of Dec 31, 2019. Please confirm and</w:t>
      </w:r>
      <w:r w:rsidRPr="0035766F">
        <w:rPr>
          <w:rFonts w:ascii="Arial" w:hAnsi="Arial" w:cs="Arial"/>
          <w:sz w:val="24"/>
          <w:szCs w:val="24"/>
        </w:rPr>
        <w:t xml:space="preserve"> update the table to reflect the balances as of December 31, 2021, as applicable.</w:t>
      </w:r>
    </w:p>
    <w:p w14:paraId="4F120B75" w14:textId="77777777" w:rsidR="00FC4782" w:rsidRPr="000E16E7" w:rsidRDefault="00FC4782" w:rsidP="00FC4782">
      <w:pPr>
        <w:pStyle w:val="ListParagraph"/>
        <w:spacing w:after="360" w:line="240" w:lineRule="auto"/>
        <w:rPr>
          <w:rFonts w:ascii="Arial" w:hAnsi="Arial" w:cs="Arial"/>
          <w:b/>
          <w:bCs/>
          <w:sz w:val="24"/>
          <w:szCs w:val="24"/>
          <w:u w:val="single"/>
        </w:rPr>
      </w:pPr>
    </w:p>
    <w:p w14:paraId="024E5AD4" w14:textId="77777777" w:rsidR="00FC4782" w:rsidRPr="000E16E7" w:rsidRDefault="00FC4782" w:rsidP="00FC4782">
      <w:pPr>
        <w:pStyle w:val="ListParagraph"/>
        <w:spacing w:after="360" w:line="240" w:lineRule="auto"/>
        <w:rPr>
          <w:rFonts w:ascii="Arial" w:hAnsi="Arial" w:cs="Arial"/>
          <w:b/>
          <w:bCs/>
          <w:sz w:val="24"/>
          <w:szCs w:val="24"/>
          <w:u w:val="single"/>
        </w:rPr>
      </w:pPr>
    </w:p>
    <w:p w14:paraId="12FF29E5" w14:textId="77777777" w:rsidR="00FC4782" w:rsidRPr="0035766F" w:rsidRDefault="00FC4782" w:rsidP="00FC4782">
      <w:pPr>
        <w:pStyle w:val="ListParagraph"/>
        <w:numPr>
          <w:ilvl w:val="0"/>
          <w:numId w:val="34"/>
        </w:numPr>
        <w:spacing w:after="360" w:line="240" w:lineRule="auto"/>
        <w:rPr>
          <w:rFonts w:ascii="Arial" w:hAnsi="Arial" w:cs="Arial"/>
          <w:b/>
          <w:bCs/>
          <w:sz w:val="24"/>
          <w:szCs w:val="24"/>
          <w:u w:val="single"/>
        </w:rPr>
      </w:pPr>
      <w:r>
        <w:rPr>
          <w:rFonts w:ascii="Arial" w:hAnsi="Arial" w:cs="Arial"/>
          <w:sz w:val="24"/>
          <w:szCs w:val="24"/>
        </w:rPr>
        <w:t xml:space="preserve">OEB staff finds that the balances for Accounts 1588 (credit balance of $13,250) and 1589 ($55,354) provided in table 5 do not agree with the balances in the continuity schedules (1588 credit balance of $3,821, 1589 $1,787).  </w:t>
      </w:r>
      <w:r w:rsidRPr="0035766F">
        <w:rPr>
          <w:rFonts w:ascii="Arial" w:hAnsi="Arial" w:cs="Arial"/>
          <w:sz w:val="24"/>
          <w:szCs w:val="24"/>
        </w:rPr>
        <w:t>Please</w:t>
      </w:r>
      <w:r>
        <w:rPr>
          <w:rFonts w:ascii="Arial" w:hAnsi="Arial" w:cs="Arial"/>
          <w:sz w:val="24"/>
          <w:szCs w:val="24"/>
        </w:rPr>
        <w:t xml:space="preserve"> explain and</w:t>
      </w:r>
      <w:r w:rsidRPr="0035766F">
        <w:rPr>
          <w:rFonts w:ascii="Arial" w:hAnsi="Arial" w:cs="Arial"/>
          <w:sz w:val="24"/>
          <w:szCs w:val="24"/>
        </w:rPr>
        <w:t xml:space="preserve"> update the table to reflect the balances as of December 31, 2021, as applicable.</w:t>
      </w:r>
    </w:p>
    <w:p w14:paraId="61F6F67B" w14:textId="77777777" w:rsidR="00FC4782" w:rsidRPr="00BE4077" w:rsidRDefault="00FC4782" w:rsidP="00FC4782">
      <w:pPr>
        <w:pStyle w:val="ListParagraph"/>
        <w:spacing w:after="360" w:line="240" w:lineRule="auto"/>
        <w:rPr>
          <w:rFonts w:ascii="Arial" w:hAnsi="Arial" w:cs="Arial"/>
          <w:b/>
          <w:bCs/>
          <w:sz w:val="24"/>
          <w:szCs w:val="24"/>
          <w:u w:val="single"/>
        </w:rPr>
      </w:pPr>
    </w:p>
    <w:p w14:paraId="43AE605B" w14:textId="2D70866C" w:rsidR="00D57E8C" w:rsidRPr="00FC4782" w:rsidRDefault="00FC4782" w:rsidP="00FC4782">
      <w:pPr>
        <w:pStyle w:val="ListParagraph"/>
        <w:numPr>
          <w:ilvl w:val="0"/>
          <w:numId w:val="34"/>
        </w:numPr>
        <w:spacing w:after="360" w:line="240" w:lineRule="auto"/>
        <w:rPr>
          <w:rFonts w:ascii="Arial" w:hAnsi="Arial" w:cs="Arial"/>
          <w:b/>
          <w:bCs/>
          <w:sz w:val="24"/>
          <w:szCs w:val="24"/>
          <w:u w:val="single"/>
        </w:rPr>
      </w:pPr>
      <w:r w:rsidRPr="00B1608C">
        <w:rPr>
          <w:rFonts w:ascii="Arial" w:hAnsi="Arial" w:cs="Arial"/>
          <w:sz w:val="24"/>
          <w:szCs w:val="24"/>
        </w:rPr>
        <w:t xml:space="preserve">Please </w:t>
      </w:r>
      <w:r>
        <w:rPr>
          <w:rFonts w:ascii="Arial" w:hAnsi="Arial" w:cs="Arial"/>
          <w:sz w:val="24"/>
          <w:szCs w:val="24"/>
        </w:rPr>
        <w:t>confirm if the adjustment mentioned in Reference 4 has been made to the GL. If yes, please clarify in which year the adjustment was made. If not, why not?</w:t>
      </w:r>
    </w:p>
    <w:sectPr w:rsidR="00D57E8C" w:rsidRPr="00FC4782"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99F7" w14:textId="77777777" w:rsidR="00FC4782" w:rsidRDefault="00FC4782" w:rsidP="00FC4782">
      <w:pPr>
        <w:spacing w:after="0" w:line="240" w:lineRule="auto"/>
      </w:pPr>
      <w:r>
        <w:separator/>
      </w:r>
    </w:p>
  </w:endnote>
  <w:endnote w:type="continuationSeparator" w:id="0">
    <w:p w14:paraId="657A3F6B" w14:textId="77777777" w:rsidR="00FC4782" w:rsidRDefault="00FC4782" w:rsidP="00FC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9D27" w14:textId="77777777" w:rsidR="00FC4782" w:rsidRDefault="00FC4782" w:rsidP="00FC4782">
      <w:pPr>
        <w:spacing w:after="0" w:line="240" w:lineRule="auto"/>
      </w:pPr>
      <w:r>
        <w:separator/>
      </w:r>
    </w:p>
  </w:footnote>
  <w:footnote w:type="continuationSeparator" w:id="0">
    <w:p w14:paraId="0E7043B6" w14:textId="77777777" w:rsidR="00FC4782" w:rsidRDefault="00FC4782" w:rsidP="00FC4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EE1639"/>
    <w:multiLevelType w:val="hybridMultilevel"/>
    <w:tmpl w:val="732CE11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96706"/>
    <w:multiLevelType w:val="hybridMultilevel"/>
    <w:tmpl w:val="7D743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E34A8"/>
    <w:multiLevelType w:val="hybridMultilevel"/>
    <w:tmpl w:val="28E89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FAD5A10"/>
    <w:multiLevelType w:val="hybridMultilevel"/>
    <w:tmpl w:val="28E89D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16008"/>
    <w:multiLevelType w:val="hybridMultilevel"/>
    <w:tmpl w:val="50A07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267A72"/>
    <w:multiLevelType w:val="hybridMultilevel"/>
    <w:tmpl w:val="DB7E3414"/>
    <w:lvl w:ilvl="0" w:tplc="24EA73AA">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471912"/>
    <w:multiLevelType w:val="hybridMultilevel"/>
    <w:tmpl w:val="28E89D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2D3399"/>
    <w:multiLevelType w:val="hybridMultilevel"/>
    <w:tmpl w:val="28E89D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9A22ED9"/>
    <w:multiLevelType w:val="hybridMultilevel"/>
    <w:tmpl w:val="E1E4ADCE"/>
    <w:lvl w:ilvl="0" w:tplc="9F3E793A">
      <w:start w:val="1"/>
      <w:numFmt w:val="decimal"/>
      <w:lvlText w:val="OEB Staff-%1"/>
      <w:lvlJc w:val="lef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9835E29"/>
    <w:multiLevelType w:val="hybridMultilevel"/>
    <w:tmpl w:val="E6AABD4A"/>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0"/>
  </w:num>
  <w:num w:numId="3">
    <w:abstractNumId w:val="27"/>
  </w:num>
  <w:num w:numId="4">
    <w:abstractNumId w:val="36"/>
  </w:num>
  <w:num w:numId="5">
    <w:abstractNumId w:val="17"/>
  </w:num>
  <w:num w:numId="6">
    <w:abstractNumId w:val="14"/>
  </w:num>
  <w:num w:numId="7">
    <w:abstractNumId w:val="23"/>
  </w:num>
  <w:num w:numId="8">
    <w:abstractNumId w:val="18"/>
  </w:num>
  <w:num w:numId="9">
    <w:abstractNumId w:val="19"/>
  </w:num>
  <w:num w:numId="10">
    <w:abstractNumId w:val="7"/>
  </w:num>
  <w:num w:numId="11">
    <w:abstractNumId w:val="22"/>
  </w:num>
  <w:num w:numId="12">
    <w:abstractNumId w:val="29"/>
  </w:num>
  <w:num w:numId="13">
    <w:abstractNumId w:val="6"/>
  </w:num>
  <w:num w:numId="14">
    <w:abstractNumId w:val="1"/>
  </w:num>
  <w:num w:numId="15">
    <w:abstractNumId w:val="34"/>
  </w:num>
  <w:num w:numId="16">
    <w:abstractNumId w:val="11"/>
  </w:num>
  <w:num w:numId="17">
    <w:abstractNumId w:val="25"/>
  </w:num>
  <w:num w:numId="18">
    <w:abstractNumId w:val="32"/>
  </w:num>
  <w:num w:numId="19">
    <w:abstractNumId w:val="33"/>
  </w:num>
  <w:num w:numId="20">
    <w:abstractNumId w:val="16"/>
  </w:num>
  <w:num w:numId="21">
    <w:abstractNumId w:val="31"/>
  </w:num>
  <w:num w:numId="22">
    <w:abstractNumId w:val="15"/>
  </w:num>
  <w:num w:numId="23">
    <w:abstractNumId w:val="28"/>
  </w:num>
  <w:num w:numId="24">
    <w:abstractNumId w:val="26"/>
  </w:num>
  <w:num w:numId="25">
    <w:abstractNumId w:val="2"/>
  </w:num>
  <w:num w:numId="26">
    <w:abstractNumId w:val="21"/>
  </w:num>
  <w:num w:numId="27">
    <w:abstractNumId w:val="24"/>
  </w:num>
  <w:num w:numId="28">
    <w:abstractNumId w:val="30"/>
  </w:num>
  <w:num w:numId="29">
    <w:abstractNumId w:val="5"/>
  </w:num>
  <w:num w:numId="30">
    <w:abstractNumId w:val="3"/>
  </w:num>
  <w:num w:numId="31">
    <w:abstractNumId w:val="4"/>
  </w:num>
  <w:num w:numId="32">
    <w:abstractNumId w:val="9"/>
  </w:num>
  <w:num w:numId="33">
    <w:abstractNumId w:val="12"/>
  </w:num>
  <w:num w:numId="34">
    <w:abstractNumId w:val="35"/>
  </w:num>
  <w:num w:numId="35">
    <w:abstractNumId w:val="13"/>
  </w:num>
  <w:num w:numId="36">
    <w:abstractNumId w:val="2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407D9"/>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E27C0"/>
    <w:rsid w:val="005F4693"/>
    <w:rsid w:val="00623602"/>
    <w:rsid w:val="0064279A"/>
    <w:rsid w:val="00651C98"/>
    <w:rsid w:val="006A5D23"/>
    <w:rsid w:val="006E3D58"/>
    <w:rsid w:val="00704EE5"/>
    <w:rsid w:val="007066E2"/>
    <w:rsid w:val="0072241F"/>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C593F"/>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B251C"/>
    <w:rsid w:val="00AC2406"/>
    <w:rsid w:val="00AD3FCF"/>
    <w:rsid w:val="00B03802"/>
    <w:rsid w:val="00B069AA"/>
    <w:rsid w:val="00B23A36"/>
    <w:rsid w:val="00B25576"/>
    <w:rsid w:val="00B25EF5"/>
    <w:rsid w:val="00B50EB2"/>
    <w:rsid w:val="00B6722A"/>
    <w:rsid w:val="00B82D78"/>
    <w:rsid w:val="00BA13F9"/>
    <w:rsid w:val="00BA434C"/>
    <w:rsid w:val="00BD4F65"/>
    <w:rsid w:val="00BD7607"/>
    <w:rsid w:val="00BE494D"/>
    <w:rsid w:val="00C06F9E"/>
    <w:rsid w:val="00C13E6B"/>
    <w:rsid w:val="00C2370B"/>
    <w:rsid w:val="00C27193"/>
    <w:rsid w:val="00C624D5"/>
    <w:rsid w:val="00C848A0"/>
    <w:rsid w:val="00C859E5"/>
    <w:rsid w:val="00C878C5"/>
    <w:rsid w:val="00C96AEA"/>
    <w:rsid w:val="00CC0B6D"/>
    <w:rsid w:val="00CD01B4"/>
    <w:rsid w:val="00CE1CD3"/>
    <w:rsid w:val="00CE4F01"/>
    <w:rsid w:val="00D3059A"/>
    <w:rsid w:val="00D30F16"/>
    <w:rsid w:val="00D55546"/>
    <w:rsid w:val="00D57E8C"/>
    <w:rsid w:val="00D6213C"/>
    <w:rsid w:val="00D647C0"/>
    <w:rsid w:val="00D77694"/>
    <w:rsid w:val="00D77B0F"/>
    <w:rsid w:val="00DB6B52"/>
    <w:rsid w:val="00DE5488"/>
    <w:rsid w:val="00DE75AC"/>
    <w:rsid w:val="00DF5A52"/>
    <w:rsid w:val="00E17C58"/>
    <w:rsid w:val="00E231C2"/>
    <w:rsid w:val="00E424AB"/>
    <w:rsid w:val="00E429DA"/>
    <w:rsid w:val="00E616AB"/>
    <w:rsid w:val="00E62C2A"/>
    <w:rsid w:val="00E8586E"/>
    <w:rsid w:val="00E86F26"/>
    <w:rsid w:val="00E96A06"/>
    <w:rsid w:val="00EA0919"/>
    <w:rsid w:val="00EB5240"/>
    <w:rsid w:val="00EC0B55"/>
    <w:rsid w:val="00EE1491"/>
    <w:rsid w:val="00EE3753"/>
    <w:rsid w:val="00F034BF"/>
    <w:rsid w:val="00F233A3"/>
    <w:rsid w:val="00F23D7A"/>
    <w:rsid w:val="00F26D30"/>
    <w:rsid w:val="00F57152"/>
    <w:rsid w:val="00F7362C"/>
    <w:rsid w:val="00F92F61"/>
    <w:rsid w:val="00FB6F10"/>
    <w:rsid w:val="00FC4782"/>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4611759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Hatem Hassan</cp:lastModifiedBy>
  <cp:revision>2</cp:revision>
  <cp:lastPrinted>2014-09-29T14:43:00Z</cp:lastPrinted>
  <dcterms:created xsi:type="dcterms:W3CDTF">2023-01-25T21:28:00Z</dcterms:created>
  <dcterms:modified xsi:type="dcterms:W3CDTF">2023-01-25T21:28:00Z</dcterms:modified>
</cp:coreProperties>
</file>