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9A21" w14:textId="77777777" w:rsidR="004E1CB9" w:rsidRDefault="004E1CB9" w:rsidP="00EF2039">
      <w:pPr>
        <w:suppressLineNumbers/>
      </w:pPr>
      <w:bookmarkStart w:id="0" w:name="_Hlk535216652"/>
      <w:bookmarkEnd w:id="0"/>
    </w:p>
    <w:p w14:paraId="21409A3D" w14:textId="77777777" w:rsidR="00D20564" w:rsidRDefault="00D20564" w:rsidP="00EF2039">
      <w:pPr>
        <w:suppressLineNumbers/>
      </w:pPr>
    </w:p>
    <w:p w14:paraId="4669DD1E" w14:textId="77777777" w:rsidR="00D20564" w:rsidRDefault="00D20564" w:rsidP="00EF2039">
      <w:pPr>
        <w:suppressLineNumbers/>
      </w:pPr>
    </w:p>
    <w:p w14:paraId="6654A243" w14:textId="77777777" w:rsidR="00D20564" w:rsidRDefault="00D20564" w:rsidP="00EF2039">
      <w:pPr>
        <w:suppressLineNumbers/>
      </w:pPr>
    </w:p>
    <w:p w14:paraId="57E1C06D" w14:textId="77777777" w:rsidR="00D20564" w:rsidRDefault="00D20564" w:rsidP="00EF2039">
      <w:pPr>
        <w:suppressLineNumbers/>
      </w:pPr>
    </w:p>
    <w:p w14:paraId="0A9FF882" w14:textId="1F98738C" w:rsidR="00D20564" w:rsidRPr="00A90180" w:rsidRDefault="00A90180" w:rsidP="00EF2039">
      <w:pPr>
        <w:suppressLineNumbers/>
        <w:jc w:val="center"/>
        <w:rPr>
          <w:b/>
          <w:sz w:val="100"/>
          <w:szCs w:val="100"/>
          <w14:shadow w14:blurRad="50800" w14:dist="38100" w14:dir="2700000" w14:sx="100000" w14:sy="100000" w14:kx="0" w14:ky="0" w14:algn="tl">
            <w14:srgbClr w14:val="000000">
              <w14:alpha w14:val="60000"/>
            </w14:srgbClr>
          </w14:shadow>
        </w:rPr>
      </w:pPr>
      <w:r w:rsidRPr="00A90180">
        <w:rPr>
          <w:b/>
          <w:sz w:val="100"/>
          <w:szCs w:val="100"/>
          <w14:shadow w14:blurRad="50800" w14:dist="38100" w14:dir="2700000" w14:sx="100000" w14:sy="100000" w14:kx="0" w14:ky="0" w14:algn="tl">
            <w14:srgbClr w14:val="000000">
              <w14:alpha w14:val="60000"/>
            </w14:srgbClr>
          </w14:shadow>
        </w:rPr>
        <w:t>20</w:t>
      </w:r>
      <w:r w:rsidR="00DC76EC">
        <w:rPr>
          <w:b/>
          <w:sz w:val="100"/>
          <w:szCs w:val="100"/>
          <w14:shadow w14:blurRad="50800" w14:dist="38100" w14:dir="2700000" w14:sx="100000" w14:sy="100000" w14:kx="0" w14:ky="0" w14:algn="tl">
            <w14:srgbClr w14:val="000000">
              <w14:alpha w14:val="60000"/>
            </w14:srgbClr>
          </w14:shadow>
        </w:rPr>
        <w:t>2</w:t>
      </w:r>
      <w:r w:rsidR="00690565">
        <w:rPr>
          <w:b/>
          <w:sz w:val="100"/>
          <w:szCs w:val="100"/>
          <w14:shadow w14:blurRad="50800" w14:dist="38100" w14:dir="2700000" w14:sx="100000" w14:sy="100000" w14:kx="0" w14:ky="0" w14:algn="tl">
            <w14:srgbClr w14:val="000000">
              <w14:alpha w14:val="60000"/>
            </w14:srgbClr>
          </w14:shadow>
        </w:rPr>
        <w:t>3</w:t>
      </w:r>
      <w:r w:rsidRPr="00A90180">
        <w:rPr>
          <w:b/>
          <w:sz w:val="100"/>
          <w:szCs w:val="100"/>
          <w14:shadow w14:blurRad="50800" w14:dist="38100" w14:dir="2700000" w14:sx="100000" w14:sy="100000" w14:kx="0" w14:ky="0" w14:algn="tl">
            <w14:srgbClr w14:val="000000">
              <w14:alpha w14:val="60000"/>
            </w14:srgbClr>
          </w14:shadow>
        </w:rPr>
        <w:t xml:space="preserve"> </w:t>
      </w:r>
      <w:r w:rsidR="00837364">
        <w:rPr>
          <w:b/>
          <w:sz w:val="100"/>
          <w:szCs w:val="100"/>
          <w14:shadow w14:blurRad="50800" w14:dist="38100" w14:dir="2700000" w14:sx="100000" w14:sy="100000" w14:kx="0" w14:ky="0" w14:algn="tl">
            <w14:srgbClr w14:val="000000">
              <w14:alpha w14:val="60000"/>
            </w14:srgbClr>
          </w14:shadow>
        </w:rPr>
        <w:t>IRM</w:t>
      </w:r>
      <w:r w:rsidRPr="00A90180">
        <w:rPr>
          <w:b/>
          <w:sz w:val="100"/>
          <w:szCs w:val="100"/>
          <w14:shadow w14:blurRad="50800" w14:dist="38100" w14:dir="2700000" w14:sx="100000" w14:sy="100000" w14:kx="0" w14:ky="0" w14:algn="tl">
            <w14:srgbClr w14:val="000000">
              <w14:alpha w14:val="60000"/>
            </w14:srgbClr>
          </w14:shadow>
        </w:rPr>
        <w:t xml:space="preserve"> Application</w:t>
      </w:r>
    </w:p>
    <w:p w14:paraId="360D3DB6" w14:textId="77777777" w:rsidR="00A90180" w:rsidRPr="00A90180" w:rsidRDefault="00A90180" w:rsidP="00EF2039">
      <w:pPr>
        <w:suppressLineNumbers/>
        <w:jc w:val="center"/>
        <w:rPr>
          <w:sz w:val="60"/>
          <w:szCs w:val="60"/>
          <w14:shadow w14:blurRad="50800" w14:dist="38100" w14:dir="2700000" w14:sx="100000" w14:sy="100000" w14:kx="0" w14:ky="0" w14:algn="tl">
            <w14:srgbClr w14:val="000000">
              <w14:alpha w14:val="60000"/>
            </w14:srgbClr>
          </w14:shadow>
        </w:rPr>
      </w:pPr>
      <w:r w:rsidRPr="00A90180">
        <w:rPr>
          <w:sz w:val="60"/>
          <w:szCs w:val="60"/>
          <w14:shadow w14:blurRad="50800" w14:dist="38100" w14:dir="2700000" w14:sx="100000" w14:sy="100000" w14:kx="0" w14:ky="0" w14:algn="tl">
            <w14:srgbClr w14:val="000000">
              <w14:alpha w14:val="60000"/>
            </w14:srgbClr>
          </w14:shadow>
        </w:rPr>
        <w:t>Interrogatory Responses</w:t>
      </w:r>
    </w:p>
    <w:p w14:paraId="35054895" w14:textId="438CE947" w:rsidR="00A90180" w:rsidRDefault="00A90180" w:rsidP="00EF2039">
      <w:pPr>
        <w:suppressLineNumbers/>
        <w:jc w:val="center"/>
        <w:rPr>
          <w:sz w:val="60"/>
          <w:szCs w:val="60"/>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9264" behindDoc="1" locked="0" layoutInCell="1" allowOverlap="1" wp14:anchorId="5E5581AE" wp14:editId="115CDF08">
            <wp:simplePos x="0" y="0"/>
            <wp:positionH relativeFrom="column">
              <wp:posOffset>1149985</wp:posOffset>
            </wp:positionH>
            <wp:positionV relativeFrom="paragraph">
              <wp:posOffset>679450</wp:posOffset>
            </wp:positionV>
            <wp:extent cx="3430905" cy="914400"/>
            <wp:effectExtent l="0" t="0" r="0" b="0"/>
            <wp:wrapTight wrapText="bothSides">
              <wp:wrapPolygon edited="0">
                <wp:start x="0" y="0"/>
                <wp:lineTo x="0" y="21150"/>
                <wp:lineTo x="21468" y="21150"/>
                <wp:lineTo x="21468" y="0"/>
                <wp:lineTo x="0" y="0"/>
              </wp:wrapPolygon>
            </wp:wrapTight>
            <wp:docPr id="299" name="Picture 299" descr="C:\Users\ktaylor\AppData\Local\Microsoft\Windows\INetCache\Content.Word\ESSEX_POWER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aylor\AppData\Local\Microsoft\Windows\INetCache\Content.Word\ESSEX_POWERLIN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09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180">
        <w:rPr>
          <w:sz w:val="60"/>
          <w:szCs w:val="60"/>
          <w14:shadow w14:blurRad="50800" w14:dist="38100" w14:dir="2700000" w14:sx="100000" w14:sy="100000" w14:kx="0" w14:ky="0" w14:algn="tl">
            <w14:srgbClr w14:val="000000">
              <w14:alpha w14:val="60000"/>
            </w14:srgbClr>
          </w14:shadow>
        </w:rPr>
        <w:t>EB-20</w:t>
      </w:r>
      <w:r w:rsidR="00DC76EC">
        <w:rPr>
          <w:sz w:val="60"/>
          <w:szCs w:val="60"/>
          <w14:shadow w14:blurRad="50800" w14:dist="38100" w14:dir="2700000" w14:sx="100000" w14:sy="100000" w14:kx="0" w14:ky="0" w14:algn="tl">
            <w14:srgbClr w14:val="000000">
              <w14:alpha w14:val="60000"/>
            </w14:srgbClr>
          </w14:shadow>
        </w:rPr>
        <w:t>2</w:t>
      </w:r>
      <w:r w:rsidR="00690565">
        <w:rPr>
          <w:sz w:val="60"/>
          <w:szCs w:val="60"/>
          <w14:shadow w14:blurRad="50800" w14:dist="38100" w14:dir="2700000" w14:sx="100000" w14:sy="100000" w14:kx="0" w14:ky="0" w14:algn="tl">
            <w14:srgbClr w14:val="000000">
              <w14:alpha w14:val="60000"/>
            </w14:srgbClr>
          </w14:shadow>
        </w:rPr>
        <w:t>2</w:t>
      </w:r>
      <w:r w:rsidRPr="00A90180">
        <w:rPr>
          <w:sz w:val="60"/>
          <w:szCs w:val="60"/>
          <w14:shadow w14:blurRad="50800" w14:dist="38100" w14:dir="2700000" w14:sx="100000" w14:sy="100000" w14:kx="0" w14:ky="0" w14:algn="tl">
            <w14:srgbClr w14:val="000000">
              <w14:alpha w14:val="60000"/>
            </w14:srgbClr>
          </w14:shadow>
        </w:rPr>
        <w:t>-00</w:t>
      </w:r>
      <w:r w:rsidR="00690565">
        <w:rPr>
          <w:sz w:val="60"/>
          <w:szCs w:val="60"/>
          <w14:shadow w14:blurRad="50800" w14:dist="38100" w14:dir="2700000" w14:sx="100000" w14:sy="100000" w14:kx="0" w14:ky="0" w14:algn="tl">
            <w14:srgbClr w14:val="000000">
              <w14:alpha w14:val="60000"/>
            </w14:srgbClr>
          </w14:shadow>
        </w:rPr>
        <w:t>31</w:t>
      </w:r>
    </w:p>
    <w:p w14:paraId="26BE5153" w14:textId="77777777" w:rsidR="00A90180" w:rsidRPr="00A90180" w:rsidRDefault="00A90180" w:rsidP="00EF2039">
      <w:pPr>
        <w:suppressLineNumbers/>
        <w:jc w:val="center"/>
        <w:rPr>
          <w:sz w:val="60"/>
          <w:szCs w:val="60"/>
          <w14:shadow w14:blurRad="50800" w14:dist="38100" w14:dir="2700000" w14:sx="100000" w14:sy="100000" w14:kx="0" w14:ky="0" w14:algn="tl">
            <w14:srgbClr w14:val="000000">
              <w14:alpha w14:val="60000"/>
            </w14:srgbClr>
          </w14:shadow>
        </w:rPr>
      </w:pPr>
    </w:p>
    <w:p w14:paraId="6E42A4C8" w14:textId="77777777" w:rsidR="00D20564" w:rsidRDefault="00D20564" w:rsidP="00EF2039">
      <w:pPr>
        <w:suppressLineNumbers/>
      </w:pPr>
    </w:p>
    <w:p w14:paraId="0DB87F60" w14:textId="77777777" w:rsidR="00D20564" w:rsidRDefault="00D20564" w:rsidP="00EF2039">
      <w:pPr>
        <w:suppressLineNumbers/>
      </w:pPr>
    </w:p>
    <w:p w14:paraId="79FB3CF2" w14:textId="77777777" w:rsidR="00D20564" w:rsidRDefault="00D20564" w:rsidP="00EF2039">
      <w:pPr>
        <w:suppressLineNumbers/>
      </w:pPr>
    </w:p>
    <w:p w14:paraId="365DFD29" w14:textId="15605757" w:rsidR="00D20564" w:rsidRDefault="00D20564" w:rsidP="00EF2039">
      <w:pPr>
        <w:suppressLineNumbers/>
      </w:pPr>
    </w:p>
    <w:p w14:paraId="2C0371C8" w14:textId="2996B646" w:rsidR="00AC166D" w:rsidRDefault="00AC166D" w:rsidP="00EF2039">
      <w:pPr>
        <w:suppressLineNumbers/>
      </w:pPr>
    </w:p>
    <w:p w14:paraId="15DB6DDB" w14:textId="42F05870" w:rsidR="00AC166D" w:rsidRDefault="00AC166D" w:rsidP="00EF2039">
      <w:pPr>
        <w:suppressLineNumbers/>
      </w:pPr>
    </w:p>
    <w:p w14:paraId="197D98BB" w14:textId="77777777" w:rsidR="00AC166D" w:rsidRDefault="00AC166D" w:rsidP="00EF2039">
      <w:pPr>
        <w:suppressLineNumbers/>
      </w:pPr>
    </w:p>
    <w:p w14:paraId="4EC5E170" w14:textId="77777777" w:rsidR="00D20564" w:rsidRDefault="00D20564" w:rsidP="00EF2039">
      <w:pPr>
        <w:suppressLineNumbers/>
      </w:pPr>
    </w:p>
    <w:p w14:paraId="186673D6" w14:textId="77777777" w:rsidR="00D20564" w:rsidRDefault="00D20564" w:rsidP="00EF2039">
      <w:pPr>
        <w:suppressLineNumbers/>
      </w:pPr>
    </w:p>
    <w:p w14:paraId="2D768CAB" w14:textId="77777777" w:rsidR="00961D59" w:rsidRDefault="00961D59" w:rsidP="00961D59">
      <w:pPr>
        <w:pStyle w:val="Quote"/>
      </w:pPr>
      <w:bookmarkStart w:id="1" w:name="_Toc535825573"/>
      <w:r>
        <w:lastRenderedPageBreak/>
        <w:t>Table of Contents</w:t>
      </w:r>
      <w:bookmarkEnd w:id="1"/>
    </w:p>
    <w:p w14:paraId="4996E8C4" w14:textId="6F123099" w:rsidR="00AC4FF0" w:rsidRPr="00A46F3C" w:rsidRDefault="00961D59">
      <w:pPr>
        <w:pStyle w:val="TOC2"/>
        <w:tabs>
          <w:tab w:val="right" w:leader="dot" w:pos="9350"/>
        </w:tabs>
        <w:rPr>
          <w:rFonts w:eastAsiaTheme="minorEastAsia"/>
          <w:noProof/>
        </w:rPr>
      </w:pPr>
      <w:r w:rsidRPr="00A46F3C">
        <w:fldChar w:fldCharType="begin"/>
      </w:r>
      <w:r w:rsidRPr="00A46F3C">
        <w:instrText xml:space="preserve"> TOC \t "Intense Quote,1,Quote,2" </w:instrText>
      </w:r>
      <w:r w:rsidRPr="00A46F3C">
        <w:fldChar w:fldCharType="separate"/>
      </w:r>
      <w:r w:rsidR="00AC4FF0" w:rsidRPr="00A46F3C">
        <w:rPr>
          <w:noProof/>
        </w:rPr>
        <w:t>Table of Contents</w:t>
      </w:r>
      <w:r w:rsidR="00AC4FF0" w:rsidRPr="00A46F3C">
        <w:rPr>
          <w:noProof/>
        </w:rPr>
        <w:tab/>
      </w:r>
      <w:r w:rsidR="00AC4FF0" w:rsidRPr="00A46F3C">
        <w:rPr>
          <w:noProof/>
        </w:rPr>
        <w:fldChar w:fldCharType="begin"/>
      </w:r>
      <w:r w:rsidR="00AC4FF0" w:rsidRPr="00A46F3C">
        <w:rPr>
          <w:noProof/>
        </w:rPr>
        <w:instrText xml:space="preserve"> PAGEREF _Toc535825573 \h </w:instrText>
      </w:r>
      <w:r w:rsidR="00AC4FF0" w:rsidRPr="00A46F3C">
        <w:rPr>
          <w:noProof/>
        </w:rPr>
      </w:r>
      <w:r w:rsidR="00AC4FF0" w:rsidRPr="00A46F3C">
        <w:rPr>
          <w:noProof/>
        </w:rPr>
        <w:fldChar w:fldCharType="separate"/>
      </w:r>
      <w:r w:rsidR="00AC4FF0" w:rsidRPr="00A46F3C">
        <w:rPr>
          <w:noProof/>
        </w:rPr>
        <w:t>2</w:t>
      </w:r>
      <w:r w:rsidR="00AC4FF0" w:rsidRPr="00A46F3C">
        <w:rPr>
          <w:noProof/>
        </w:rPr>
        <w:fldChar w:fldCharType="end"/>
      </w:r>
    </w:p>
    <w:p w14:paraId="068B3594" w14:textId="7347FE78" w:rsidR="00AC4FF0" w:rsidRPr="00A46F3C" w:rsidRDefault="00AC4FF0">
      <w:pPr>
        <w:pStyle w:val="TOC1"/>
        <w:tabs>
          <w:tab w:val="right" w:leader="dot" w:pos="9350"/>
        </w:tabs>
        <w:rPr>
          <w:rFonts w:eastAsiaTheme="minorEastAsia"/>
          <w:noProof/>
        </w:rPr>
      </w:pPr>
      <w:r w:rsidRPr="00A46F3C">
        <w:rPr>
          <w:noProof/>
        </w:rPr>
        <w:t>Staff Question #1</w:t>
      </w:r>
      <w:r w:rsidRPr="00A46F3C">
        <w:rPr>
          <w:noProof/>
        </w:rPr>
        <w:tab/>
      </w:r>
      <w:r w:rsidR="00982763" w:rsidRPr="00A46F3C">
        <w:rPr>
          <w:noProof/>
        </w:rPr>
        <w:t>3</w:t>
      </w:r>
    </w:p>
    <w:p w14:paraId="25931847" w14:textId="422F854D" w:rsidR="00AC4FF0" w:rsidRPr="00A46F3C" w:rsidRDefault="00AC4FF0">
      <w:pPr>
        <w:pStyle w:val="TOC2"/>
        <w:tabs>
          <w:tab w:val="right" w:leader="dot" w:pos="9350"/>
        </w:tabs>
        <w:rPr>
          <w:rFonts w:eastAsiaTheme="minorEastAsia"/>
          <w:noProof/>
        </w:rPr>
      </w:pPr>
      <w:r w:rsidRPr="00A46F3C">
        <w:rPr>
          <w:noProof/>
        </w:rPr>
        <w:t>Response</w:t>
      </w:r>
      <w:r w:rsidRPr="00A46F3C">
        <w:rPr>
          <w:noProof/>
        </w:rPr>
        <w:tab/>
      </w:r>
      <w:r w:rsidR="002C1686" w:rsidRPr="00A46F3C">
        <w:rPr>
          <w:noProof/>
        </w:rPr>
        <w:t>4</w:t>
      </w:r>
    </w:p>
    <w:p w14:paraId="17172766" w14:textId="0AD12AA9" w:rsidR="00AC4FF0" w:rsidRPr="00A46F3C" w:rsidRDefault="00AC4FF0">
      <w:pPr>
        <w:pStyle w:val="TOC1"/>
        <w:tabs>
          <w:tab w:val="right" w:leader="dot" w:pos="9350"/>
        </w:tabs>
        <w:rPr>
          <w:rFonts w:eastAsiaTheme="minorEastAsia"/>
          <w:noProof/>
        </w:rPr>
      </w:pPr>
      <w:r w:rsidRPr="00A46F3C">
        <w:rPr>
          <w:noProof/>
        </w:rPr>
        <w:t>Staff Question #2</w:t>
      </w:r>
      <w:r w:rsidRPr="00A46F3C">
        <w:rPr>
          <w:noProof/>
        </w:rPr>
        <w:tab/>
      </w:r>
      <w:r w:rsidR="00982763" w:rsidRPr="00A46F3C">
        <w:rPr>
          <w:noProof/>
        </w:rPr>
        <w:t>4</w:t>
      </w:r>
    </w:p>
    <w:p w14:paraId="6E4F3218" w14:textId="0352A51C" w:rsidR="00AC4FF0" w:rsidRPr="00A46F3C" w:rsidRDefault="00AC4FF0">
      <w:pPr>
        <w:pStyle w:val="TOC2"/>
        <w:tabs>
          <w:tab w:val="right" w:leader="dot" w:pos="9350"/>
        </w:tabs>
        <w:rPr>
          <w:rFonts w:eastAsiaTheme="minorEastAsia"/>
          <w:noProof/>
        </w:rPr>
      </w:pPr>
      <w:r w:rsidRPr="00A46F3C">
        <w:rPr>
          <w:noProof/>
        </w:rPr>
        <w:t>Response</w:t>
      </w:r>
      <w:r w:rsidRPr="00A46F3C">
        <w:rPr>
          <w:noProof/>
        </w:rPr>
        <w:tab/>
      </w:r>
      <w:r w:rsidR="002C1686" w:rsidRPr="00A46F3C">
        <w:rPr>
          <w:noProof/>
        </w:rPr>
        <w:t>5</w:t>
      </w:r>
    </w:p>
    <w:p w14:paraId="7C1AF595" w14:textId="7070E947" w:rsidR="00AC4FF0" w:rsidRPr="00A46F3C" w:rsidRDefault="00AC4FF0">
      <w:pPr>
        <w:pStyle w:val="TOC2"/>
        <w:tabs>
          <w:tab w:val="right" w:leader="dot" w:pos="9350"/>
        </w:tabs>
        <w:rPr>
          <w:rFonts w:eastAsiaTheme="minorEastAsia"/>
          <w:noProof/>
        </w:rPr>
      </w:pPr>
    </w:p>
    <w:p w14:paraId="738B0E84" w14:textId="18AB6C32" w:rsidR="00961D59" w:rsidRDefault="00961D59" w:rsidP="002C1686">
      <w:pPr>
        <w:pStyle w:val="TOC1"/>
        <w:tabs>
          <w:tab w:val="right" w:leader="dot" w:pos="9350"/>
        </w:tabs>
      </w:pPr>
      <w:r w:rsidRPr="00A46F3C">
        <w:fldChar w:fldCharType="end"/>
      </w:r>
    </w:p>
    <w:p w14:paraId="38B8C9ED" w14:textId="77777777" w:rsidR="00B34A2F" w:rsidRDefault="00B34A2F" w:rsidP="00961D59"/>
    <w:p w14:paraId="24275933" w14:textId="488A3719" w:rsidR="00B34A2F" w:rsidRDefault="00B34A2F" w:rsidP="00961D59"/>
    <w:p w14:paraId="797094BE" w14:textId="71827BD1" w:rsidR="002C1686" w:rsidRDefault="002C1686" w:rsidP="00961D59"/>
    <w:p w14:paraId="35D50540" w14:textId="07E19B86" w:rsidR="002C1686" w:rsidRDefault="002C1686" w:rsidP="00961D59"/>
    <w:p w14:paraId="75181787" w14:textId="26AE10A1" w:rsidR="002C1686" w:rsidRDefault="002C1686" w:rsidP="00961D59"/>
    <w:p w14:paraId="7EC0AA41" w14:textId="02F111FD" w:rsidR="002C1686" w:rsidRDefault="002C1686" w:rsidP="00961D59"/>
    <w:p w14:paraId="754BC750" w14:textId="361941B5" w:rsidR="002C1686" w:rsidRDefault="002C1686" w:rsidP="00961D59"/>
    <w:p w14:paraId="01FA8F1B" w14:textId="77777777" w:rsidR="002C1686" w:rsidRDefault="002C1686" w:rsidP="00961D59"/>
    <w:p w14:paraId="1495B3AD" w14:textId="77777777" w:rsidR="00B34A2F" w:rsidRDefault="00B34A2F" w:rsidP="00961D59"/>
    <w:p w14:paraId="4E1AA586" w14:textId="77777777" w:rsidR="00B34A2F" w:rsidRDefault="00B34A2F" w:rsidP="00961D59"/>
    <w:p w14:paraId="6F4CEFED" w14:textId="77777777" w:rsidR="00B34A2F" w:rsidRDefault="00B34A2F" w:rsidP="00961D59"/>
    <w:p w14:paraId="759D46AA" w14:textId="77777777" w:rsidR="004E1CB9" w:rsidRDefault="004E1CB9" w:rsidP="00961D59"/>
    <w:p w14:paraId="2DACD36E" w14:textId="77777777" w:rsidR="004E1CB9" w:rsidRDefault="004E1CB9" w:rsidP="00961D59"/>
    <w:p w14:paraId="5A37FD8C" w14:textId="77777777" w:rsidR="004E1CB9" w:rsidRDefault="004E1CB9" w:rsidP="00961D59"/>
    <w:p w14:paraId="3106D4DA" w14:textId="77777777" w:rsidR="004E1CB9" w:rsidRDefault="004E1CB9" w:rsidP="00961D59"/>
    <w:p w14:paraId="6E2085BC" w14:textId="77777777" w:rsidR="004E1CB9" w:rsidRDefault="004E1CB9" w:rsidP="00961D59"/>
    <w:p w14:paraId="70B775A1" w14:textId="397C55FD" w:rsidR="00915A3C" w:rsidRDefault="00915A3C" w:rsidP="00961D59"/>
    <w:p w14:paraId="7B52C101" w14:textId="441902A6" w:rsidR="00D20564" w:rsidRPr="00884DBC" w:rsidRDefault="00AC166D" w:rsidP="00884DBC">
      <w:pPr>
        <w:pStyle w:val="IntenseQuote"/>
      </w:pPr>
      <w:bookmarkStart w:id="2" w:name="_Toc535825575"/>
      <w:r>
        <w:lastRenderedPageBreak/>
        <w:t>Staff Question #1</w:t>
      </w:r>
      <w:bookmarkEnd w:id="2"/>
      <w:r w:rsidR="00C75FB8">
        <w:t xml:space="preserve"> </w:t>
      </w:r>
    </w:p>
    <w:p w14:paraId="32395B0B" w14:textId="580E6DE7" w:rsidR="00690565" w:rsidRDefault="00690565" w:rsidP="00690565">
      <w:pPr>
        <w:spacing w:after="240"/>
        <w:rPr>
          <w:rFonts w:cstheme="minorHAnsi"/>
          <w:b/>
          <w:bCs/>
          <w:sz w:val="24"/>
          <w:szCs w:val="24"/>
        </w:rPr>
      </w:pPr>
      <w:r w:rsidRPr="00690565">
        <w:rPr>
          <w:rFonts w:cstheme="minorHAnsi"/>
          <w:b/>
          <w:bCs/>
          <w:sz w:val="24"/>
          <w:szCs w:val="24"/>
        </w:rPr>
        <w:t>Ref</w:t>
      </w:r>
      <w:r w:rsidR="00D84E42">
        <w:rPr>
          <w:rFonts w:cstheme="minorHAnsi"/>
          <w:b/>
          <w:bCs/>
          <w:sz w:val="24"/>
          <w:szCs w:val="24"/>
        </w:rPr>
        <w:t xml:space="preserve"> 1</w:t>
      </w:r>
      <w:r w:rsidRPr="00690565">
        <w:rPr>
          <w:rFonts w:cstheme="minorHAnsi"/>
          <w:b/>
          <w:bCs/>
          <w:sz w:val="24"/>
          <w:szCs w:val="24"/>
        </w:rPr>
        <w:t xml:space="preserve">: IRM Rate Generator Model, Tab </w:t>
      </w:r>
      <w:r w:rsidR="00D84E42">
        <w:rPr>
          <w:rFonts w:cstheme="minorHAnsi"/>
          <w:b/>
          <w:bCs/>
          <w:sz w:val="24"/>
          <w:szCs w:val="24"/>
        </w:rPr>
        <w:t>3</w:t>
      </w:r>
    </w:p>
    <w:p w14:paraId="4D6AB653" w14:textId="64F5D621" w:rsidR="00D84E42" w:rsidRDefault="00D84E42" w:rsidP="00690565">
      <w:pPr>
        <w:spacing w:after="240"/>
        <w:rPr>
          <w:rFonts w:cstheme="minorHAnsi"/>
          <w:b/>
          <w:bCs/>
          <w:sz w:val="24"/>
          <w:szCs w:val="24"/>
        </w:rPr>
      </w:pPr>
      <w:r>
        <w:rPr>
          <w:rFonts w:cstheme="minorHAnsi"/>
          <w:b/>
          <w:bCs/>
          <w:sz w:val="24"/>
          <w:szCs w:val="24"/>
        </w:rPr>
        <w:t>Ref 2: 2022 IRM Rate Generator Model, Tab 3 (EB-2021-0023)</w:t>
      </w:r>
    </w:p>
    <w:p w14:paraId="4624A8FF" w14:textId="034DD2B8" w:rsidR="00D84E42" w:rsidRDefault="00D84E42" w:rsidP="00690565">
      <w:pPr>
        <w:spacing w:after="240"/>
        <w:rPr>
          <w:rFonts w:cstheme="minorHAnsi"/>
          <w:b/>
          <w:bCs/>
          <w:sz w:val="24"/>
          <w:szCs w:val="24"/>
        </w:rPr>
      </w:pPr>
      <w:r>
        <w:rPr>
          <w:rFonts w:cstheme="minorHAnsi"/>
          <w:b/>
          <w:bCs/>
          <w:sz w:val="24"/>
          <w:szCs w:val="24"/>
        </w:rPr>
        <w:t xml:space="preserve">Ref 3: 2023 GA Analysis </w:t>
      </w:r>
      <w:proofErr w:type="spellStart"/>
      <w:r>
        <w:rPr>
          <w:rFonts w:cstheme="minorHAnsi"/>
          <w:b/>
          <w:bCs/>
          <w:sz w:val="24"/>
          <w:szCs w:val="24"/>
        </w:rPr>
        <w:t>Workform</w:t>
      </w:r>
      <w:proofErr w:type="spellEnd"/>
      <w:r>
        <w:rPr>
          <w:rFonts w:cstheme="minorHAnsi"/>
          <w:b/>
          <w:bCs/>
          <w:sz w:val="24"/>
          <w:szCs w:val="24"/>
        </w:rPr>
        <w:t>, Tab 2, cell C90</w:t>
      </w:r>
    </w:p>
    <w:p w14:paraId="5B9984A1" w14:textId="325114D6" w:rsidR="0047287E" w:rsidRPr="0047287E" w:rsidRDefault="0047287E" w:rsidP="00690565">
      <w:pPr>
        <w:spacing w:after="240"/>
        <w:rPr>
          <w:rFonts w:cstheme="minorHAnsi"/>
          <w:sz w:val="24"/>
          <w:szCs w:val="24"/>
        </w:rPr>
      </w:pPr>
      <w:r>
        <w:rPr>
          <w:rFonts w:cstheme="minorHAnsi"/>
          <w:b/>
          <w:bCs/>
          <w:sz w:val="24"/>
          <w:szCs w:val="24"/>
        </w:rPr>
        <w:t>Preamble:</w:t>
      </w:r>
      <w:r>
        <w:rPr>
          <w:rFonts w:cstheme="minorHAnsi"/>
          <w:sz w:val="24"/>
          <w:szCs w:val="24"/>
        </w:rPr>
        <w:t xml:space="preserve">  OEB staff has compiled the following table showing the differences in the data points from the continuity schedule of the 2023 IRM rate generator model, the same data points from the continuity schedule of the 2022 IRM rate generator model and the amounts in the 2023 GA Analysis </w:t>
      </w:r>
      <w:proofErr w:type="spellStart"/>
      <w:r>
        <w:rPr>
          <w:rFonts w:cstheme="minorHAnsi"/>
          <w:sz w:val="24"/>
          <w:szCs w:val="24"/>
        </w:rPr>
        <w:t>Workform</w:t>
      </w:r>
      <w:proofErr w:type="spellEnd"/>
      <w:r>
        <w:rPr>
          <w:rFonts w:cstheme="minorHAnsi"/>
          <w:sz w:val="24"/>
          <w:szCs w:val="24"/>
        </w:rPr>
        <w:t>.</w:t>
      </w:r>
    </w:p>
    <w:tbl>
      <w:tblPr>
        <w:tblStyle w:val="TableGrid"/>
        <w:tblW w:w="0" w:type="auto"/>
        <w:tblLook w:val="04A0" w:firstRow="1" w:lastRow="0" w:firstColumn="1" w:lastColumn="0" w:noHBand="0" w:noVBand="1"/>
      </w:tblPr>
      <w:tblGrid>
        <w:gridCol w:w="1643"/>
        <w:gridCol w:w="2275"/>
        <w:gridCol w:w="2306"/>
        <w:gridCol w:w="1511"/>
        <w:gridCol w:w="1615"/>
      </w:tblGrid>
      <w:tr w:rsidR="0047287E" w14:paraId="7D957C57" w14:textId="77777777" w:rsidTr="001E1503">
        <w:tc>
          <w:tcPr>
            <w:tcW w:w="1643" w:type="dxa"/>
          </w:tcPr>
          <w:p w14:paraId="1D76E8FB" w14:textId="77777777" w:rsidR="0047287E" w:rsidRDefault="0047287E" w:rsidP="001E1503">
            <w:pPr>
              <w:spacing w:after="240"/>
              <w:rPr>
                <w:rFonts w:ascii="Arial" w:hAnsi="Arial" w:cs="Arial"/>
                <w:sz w:val="24"/>
                <w:szCs w:val="24"/>
              </w:rPr>
            </w:pPr>
            <w:r>
              <w:rPr>
                <w:rFonts w:ascii="Arial" w:hAnsi="Arial" w:cs="Arial"/>
                <w:sz w:val="24"/>
                <w:szCs w:val="24"/>
              </w:rPr>
              <w:t>Transaction Account during 2019</w:t>
            </w:r>
          </w:p>
        </w:tc>
        <w:tc>
          <w:tcPr>
            <w:tcW w:w="2275" w:type="dxa"/>
          </w:tcPr>
          <w:p w14:paraId="75D4B6C7" w14:textId="77777777" w:rsidR="0047287E" w:rsidRDefault="0047287E" w:rsidP="001E1503">
            <w:pPr>
              <w:spacing w:after="240"/>
              <w:rPr>
                <w:rFonts w:ascii="Arial" w:hAnsi="Arial" w:cs="Arial"/>
                <w:sz w:val="24"/>
                <w:szCs w:val="24"/>
              </w:rPr>
            </w:pPr>
            <w:r>
              <w:rPr>
                <w:rFonts w:ascii="Arial" w:hAnsi="Arial" w:cs="Arial"/>
                <w:sz w:val="24"/>
                <w:szCs w:val="24"/>
              </w:rPr>
              <w:t xml:space="preserve">Per the Tab 3. Continuity Schedule of the IRM Rate Generator Model in this application </w:t>
            </w:r>
          </w:p>
          <w:p w14:paraId="7C74E913" w14:textId="77777777" w:rsidR="0047287E" w:rsidRDefault="0047287E" w:rsidP="001E1503">
            <w:pPr>
              <w:spacing w:after="240"/>
              <w:rPr>
                <w:rFonts w:ascii="Arial" w:hAnsi="Arial" w:cs="Arial"/>
                <w:sz w:val="24"/>
                <w:szCs w:val="24"/>
              </w:rPr>
            </w:pPr>
            <w:r>
              <w:rPr>
                <w:rFonts w:ascii="Arial" w:hAnsi="Arial" w:cs="Arial"/>
                <w:sz w:val="24"/>
                <w:szCs w:val="24"/>
              </w:rPr>
              <w:t>(A)</w:t>
            </w:r>
          </w:p>
        </w:tc>
        <w:tc>
          <w:tcPr>
            <w:tcW w:w="2306" w:type="dxa"/>
          </w:tcPr>
          <w:p w14:paraId="2C1E769D" w14:textId="77777777" w:rsidR="0047287E" w:rsidRDefault="0047287E" w:rsidP="001E1503">
            <w:pPr>
              <w:spacing w:after="240"/>
              <w:rPr>
                <w:rFonts w:ascii="Arial" w:hAnsi="Arial" w:cs="Arial"/>
                <w:sz w:val="24"/>
                <w:szCs w:val="24"/>
              </w:rPr>
            </w:pPr>
            <w:r>
              <w:rPr>
                <w:rFonts w:ascii="Arial" w:hAnsi="Arial" w:cs="Arial"/>
                <w:sz w:val="24"/>
                <w:szCs w:val="24"/>
              </w:rPr>
              <w:t>Per the Tab 3. Continuity Schedule of the 2022 IRM Rate Generator Model</w:t>
            </w:r>
          </w:p>
          <w:p w14:paraId="27B9307D" w14:textId="77777777" w:rsidR="0047287E" w:rsidRDefault="0047287E" w:rsidP="001E1503">
            <w:pPr>
              <w:spacing w:after="240"/>
              <w:rPr>
                <w:rFonts w:ascii="Arial" w:hAnsi="Arial" w:cs="Arial"/>
                <w:sz w:val="24"/>
                <w:szCs w:val="24"/>
              </w:rPr>
            </w:pPr>
            <w:r>
              <w:rPr>
                <w:rFonts w:ascii="Arial" w:hAnsi="Arial" w:cs="Arial"/>
                <w:sz w:val="24"/>
                <w:szCs w:val="24"/>
              </w:rPr>
              <w:t xml:space="preserve">(B) </w:t>
            </w:r>
          </w:p>
        </w:tc>
        <w:tc>
          <w:tcPr>
            <w:tcW w:w="1511" w:type="dxa"/>
          </w:tcPr>
          <w:p w14:paraId="068601E2" w14:textId="77777777" w:rsidR="0047287E" w:rsidRDefault="0047287E" w:rsidP="001E1503">
            <w:pPr>
              <w:spacing w:after="240"/>
              <w:rPr>
                <w:rFonts w:ascii="Arial" w:hAnsi="Arial" w:cs="Arial"/>
                <w:sz w:val="24"/>
                <w:szCs w:val="24"/>
              </w:rPr>
            </w:pPr>
            <w:r>
              <w:rPr>
                <w:rFonts w:ascii="Arial" w:hAnsi="Arial" w:cs="Arial"/>
                <w:sz w:val="24"/>
                <w:szCs w:val="24"/>
              </w:rPr>
              <w:t xml:space="preserve">Per the Tab ‘GA 2019’ of the GA Analysis </w:t>
            </w:r>
            <w:proofErr w:type="spellStart"/>
            <w:r>
              <w:rPr>
                <w:rFonts w:ascii="Arial" w:hAnsi="Arial" w:cs="Arial"/>
                <w:sz w:val="24"/>
                <w:szCs w:val="24"/>
              </w:rPr>
              <w:t>Workform</w:t>
            </w:r>
            <w:proofErr w:type="spellEnd"/>
          </w:p>
          <w:p w14:paraId="5E02DFBD" w14:textId="77777777" w:rsidR="0047287E" w:rsidRDefault="0047287E" w:rsidP="001E1503">
            <w:pPr>
              <w:spacing w:after="240"/>
              <w:rPr>
                <w:rFonts w:ascii="Arial" w:hAnsi="Arial" w:cs="Arial"/>
                <w:sz w:val="24"/>
                <w:szCs w:val="24"/>
              </w:rPr>
            </w:pPr>
            <w:r>
              <w:rPr>
                <w:rFonts w:ascii="Arial" w:hAnsi="Arial" w:cs="Arial"/>
                <w:sz w:val="24"/>
                <w:szCs w:val="24"/>
              </w:rPr>
              <w:t>(C)</w:t>
            </w:r>
          </w:p>
        </w:tc>
        <w:tc>
          <w:tcPr>
            <w:tcW w:w="1615" w:type="dxa"/>
          </w:tcPr>
          <w:p w14:paraId="2F4E4F0C" w14:textId="77777777" w:rsidR="0047287E" w:rsidRDefault="0047287E" w:rsidP="001E1503">
            <w:pPr>
              <w:spacing w:after="240"/>
              <w:rPr>
                <w:rFonts w:ascii="Arial" w:hAnsi="Arial" w:cs="Arial"/>
                <w:sz w:val="24"/>
                <w:szCs w:val="24"/>
              </w:rPr>
            </w:pPr>
            <w:r>
              <w:rPr>
                <w:rFonts w:ascii="Arial" w:hAnsi="Arial" w:cs="Arial"/>
                <w:sz w:val="24"/>
                <w:szCs w:val="24"/>
              </w:rPr>
              <w:t>Differences</w:t>
            </w:r>
          </w:p>
          <w:p w14:paraId="6A3B3CB9" w14:textId="77777777" w:rsidR="0047287E" w:rsidRDefault="0047287E" w:rsidP="001E1503">
            <w:pPr>
              <w:spacing w:after="240"/>
              <w:rPr>
                <w:rFonts w:ascii="Arial" w:hAnsi="Arial" w:cs="Arial"/>
                <w:sz w:val="24"/>
                <w:szCs w:val="24"/>
              </w:rPr>
            </w:pPr>
          </w:p>
        </w:tc>
      </w:tr>
      <w:tr w:rsidR="0047287E" w14:paraId="257DE4C0" w14:textId="77777777" w:rsidTr="001E1503">
        <w:tc>
          <w:tcPr>
            <w:tcW w:w="1643" w:type="dxa"/>
          </w:tcPr>
          <w:p w14:paraId="6AD00E76" w14:textId="77777777" w:rsidR="0047287E" w:rsidRDefault="0047287E" w:rsidP="001E1503">
            <w:pPr>
              <w:spacing w:after="240"/>
              <w:rPr>
                <w:rFonts w:ascii="Arial" w:hAnsi="Arial" w:cs="Arial"/>
                <w:sz w:val="24"/>
                <w:szCs w:val="24"/>
              </w:rPr>
            </w:pPr>
            <w:r>
              <w:rPr>
                <w:rFonts w:ascii="Arial" w:hAnsi="Arial" w:cs="Arial"/>
                <w:sz w:val="24"/>
                <w:szCs w:val="24"/>
              </w:rPr>
              <w:t>Account 1588 RSVA Power</w:t>
            </w:r>
          </w:p>
        </w:tc>
        <w:tc>
          <w:tcPr>
            <w:tcW w:w="2275" w:type="dxa"/>
          </w:tcPr>
          <w:p w14:paraId="4AC7C49F" w14:textId="77777777" w:rsidR="0047287E" w:rsidRDefault="0047287E" w:rsidP="001E1503">
            <w:pPr>
              <w:spacing w:after="240"/>
              <w:rPr>
                <w:rFonts w:ascii="Arial" w:hAnsi="Arial" w:cs="Arial"/>
                <w:sz w:val="24"/>
                <w:szCs w:val="24"/>
              </w:rPr>
            </w:pPr>
            <w:r>
              <w:rPr>
                <w:rFonts w:ascii="Arial" w:hAnsi="Arial" w:cs="Arial"/>
                <w:sz w:val="24"/>
                <w:szCs w:val="24"/>
              </w:rPr>
              <w:t>Credit of $329,199 (cell AJ28)</w:t>
            </w:r>
          </w:p>
          <w:p w14:paraId="6CCED60F" w14:textId="77777777" w:rsidR="0047287E" w:rsidRDefault="0047287E" w:rsidP="001E1503">
            <w:pPr>
              <w:spacing w:after="240"/>
              <w:rPr>
                <w:rFonts w:ascii="Arial" w:hAnsi="Arial" w:cs="Arial"/>
                <w:sz w:val="24"/>
                <w:szCs w:val="24"/>
              </w:rPr>
            </w:pPr>
          </w:p>
        </w:tc>
        <w:tc>
          <w:tcPr>
            <w:tcW w:w="2306" w:type="dxa"/>
          </w:tcPr>
          <w:p w14:paraId="55F6F688" w14:textId="77777777" w:rsidR="0047287E" w:rsidRDefault="0047287E" w:rsidP="001E1503">
            <w:pPr>
              <w:spacing w:after="240"/>
              <w:rPr>
                <w:rFonts w:ascii="Arial" w:hAnsi="Arial" w:cs="Arial"/>
                <w:sz w:val="24"/>
                <w:szCs w:val="24"/>
              </w:rPr>
            </w:pPr>
            <w:r>
              <w:rPr>
                <w:rFonts w:ascii="Arial" w:hAnsi="Arial" w:cs="Arial"/>
                <w:sz w:val="24"/>
                <w:szCs w:val="24"/>
              </w:rPr>
              <w:t>Credit of $105,145 (cell AT28)</w:t>
            </w:r>
          </w:p>
        </w:tc>
        <w:tc>
          <w:tcPr>
            <w:tcW w:w="1511" w:type="dxa"/>
          </w:tcPr>
          <w:p w14:paraId="7E5CAD9F" w14:textId="77777777" w:rsidR="0047287E" w:rsidRDefault="0047287E" w:rsidP="001E1503">
            <w:pPr>
              <w:spacing w:after="240"/>
              <w:rPr>
                <w:rFonts w:ascii="Arial" w:hAnsi="Arial" w:cs="Arial"/>
                <w:sz w:val="24"/>
                <w:szCs w:val="24"/>
              </w:rPr>
            </w:pPr>
            <w:r w:rsidRPr="009060F5">
              <w:rPr>
                <w:rFonts w:ascii="Arial" w:hAnsi="Arial" w:cs="Arial"/>
                <w:sz w:val="24"/>
                <w:szCs w:val="24"/>
              </w:rPr>
              <w:t>n/a</w:t>
            </w:r>
          </w:p>
        </w:tc>
        <w:tc>
          <w:tcPr>
            <w:tcW w:w="1615" w:type="dxa"/>
          </w:tcPr>
          <w:p w14:paraId="447DB462" w14:textId="77777777" w:rsidR="0047287E" w:rsidRDefault="0047287E" w:rsidP="001E1503">
            <w:pPr>
              <w:spacing w:after="240"/>
              <w:rPr>
                <w:rFonts w:ascii="Arial" w:hAnsi="Arial" w:cs="Arial"/>
                <w:sz w:val="24"/>
                <w:szCs w:val="24"/>
              </w:rPr>
            </w:pPr>
            <w:r>
              <w:rPr>
                <w:rFonts w:ascii="Arial" w:hAnsi="Arial" w:cs="Arial"/>
                <w:sz w:val="24"/>
                <w:szCs w:val="24"/>
              </w:rPr>
              <w:t>Difference of $224,054 between A and B.</w:t>
            </w:r>
          </w:p>
        </w:tc>
      </w:tr>
      <w:tr w:rsidR="0047287E" w14:paraId="485BD63C" w14:textId="77777777" w:rsidTr="001E1503">
        <w:tc>
          <w:tcPr>
            <w:tcW w:w="1643" w:type="dxa"/>
          </w:tcPr>
          <w:p w14:paraId="69BD68B9" w14:textId="77777777" w:rsidR="0047287E" w:rsidRDefault="0047287E" w:rsidP="001E1503">
            <w:pPr>
              <w:spacing w:after="240"/>
              <w:rPr>
                <w:rFonts w:ascii="Arial" w:hAnsi="Arial" w:cs="Arial"/>
                <w:sz w:val="24"/>
                <w:szCs w:val="24"/>
              </w:rPr>
            </w:pPr>
            <w:r>
              <w:rPr>
                <w:rFonts w:ascii="Arial" w:hAnsi="Arial" w:cs="Arial"/>
                <w:sz w:val="24"/>
                <w:szCs w:val="24"/>
              </w:rPr>
              <w:t>Account 1589 RSVA Global Adjustment</w:t>
            </w:r>
          </w:p>
        </w:tc>
        <w:tc>
          <w:tcPr>
            <w:tcW w:w="2275" w:type="dxa"/>
          </w:tcPr>
          <w:p w14:paraId="22676C48" w14:textId="77777777" w:rsidR="0047287E" w:rsidRDefault="0047287E" w:rsidP="001E1503">
            <w:pPr>
              <w:spacing w:after="240"/>
              <w:rPr>
                <w:rFonts w:ascii="Arial" w:hAnsi="Arial" w:cs="Arial"/>
                <w:sz w:val="24"/>
                <w:szCs w:val="24"/>
              </w:rPr>
            </w:pPr>
            <w:r>
              <w:rPr>
                <w:rFonts w:ascii="Arial" w:hAnsi="Arial" w:cs="Arial"/>
                <w:sz w:val="24"/>
                <w:szCs w:val="24"/>
              </w:rPr>
              <w:t>Debit of $2,547,110 (cell AJ29)</w:t>
            </w:r>
          </w:p>
        </w:tc>
        <w:tc>
          <w:tcPr>
            <w:tcW w:w="2306" w:type="dxa"/>
          </w:tcPr>
          <w:p w14:paraId="74B1CF49" w14:textId="77777777" w:rsidR="0047287E" w:rsidRDefault="0047287E" w:rsidP="001E1503">
            <w:pPr>
              <w:spacing w:after="240"/>
              <w:rPr>
                <w:rFonts w:ascii="Arial" w:hAnsi="Arial" w:cs="Arial"/>
                <w:sz w:val="24"/>
                <w:szCs w:val="24"/>
              </w:rPr>
            </w:pPr>
            <w:r>
              <w:rPr>
                <w:rFonts w:ascii="Arial" w:hAnsi="Arial" w:cs="Arial"/>
                <w:sz w:val="24"/>
                <w:szCs w:val="24"/>
              </w:rPr>
              <w:t>Debit of $2,297,248 (cell AT29)</w:t>
            </w:r>
          </w:p>
        </w:tc>
        <w:tc>
          <w:tcPr>
            <w:tcW w:w="1511" w:type="dxa"/>
          </w:tcPr>
          <w:p w14:paraId="646A0825" w14:textId="77777777" w:rsidR="0047287E" w:rsidRDefault="0047287E" w:rsidP="001E1503">
            <w:pPr>
              <w:spacing w:after="240"/>
              <w:rPr>
                <w:rFonts w:ascii="Arial" w:hAnsi="Arial" w:cs="Arial"/>
                <w:sz w:val="24"/>
                <w:szCs w:val="24"/>
              </w:rPr>
            </w:pPr>
            <w:r>
              <w:rPr>
                <w:rFonts w:ascii="Arial" w:hAnsi="Arial" w:cs="Arial"/>
                <w:sz w:val="24"/>
                <w:szCs w:val="24"/>
              </w:rPr>
              <w:t>Debit of $2,297,248 (cell C90)</w:t>
            </w:r>
          </w:p>
        </w:tc>
        <w:tc>
          <w:tcPr>
            <w:tcW w:w="1615" w:type="dxa"/>
          </w:tcPr>
          <w:p w14:paraId="52C7718B" w14:textId="77777777" w:rsidR="0047287E" w:rsidRDefault="0047287E" w:rsidP="001E1503">
            <w:pPr>
              <w:spacing w:after="240"/>
              <w:rPr>
                <w:rFonts w:ascii="Arial" w:hAnsi="Arial" w:cs="Arial"/>
                <w:sz w:val="24"/>
                <w:szCs w:val="24"/>
              </w:rPr>
            </w:pPr>
            <w:r>
              <w:rPr>
                <w:rFonts w:ascii="Arial" w:hAnsi="Arial" w:cs="Arial"/>
                <w:sz w:val="24"/>
                <w:szCs w:val="24"/>
              </w:rPr>
              <w:t>Difference of $249,862 between A and B and between A and C.</w:t>
            </w:r>
          </w:p>
        </w:tc>
      </w:tr>
    </w:tbl>
    <w:p w14:paraId="0636957D" w14:textId="3BD3B1D9" w:rsidR="0047287E" w:rsidRDefault="0047287E" w:rsidP="0047287E">
      <w:pPr>
        <w:spacing w:after="240"/>
        <w:rPr>
          <w:rFonts w:ascii="Arial" w:hAnsi="Arial" w:cs="Arial"/>
          <w:sz w:val="24"/>
          <w:szCs w:val="24"/>
        </w:rPr>
      </w:pPr>
      <w:r>
        <w:rPr>
          <w:rFonts w:ascii="Arial" w:hAnsi="Arial" w:cs="Arial"/>
          <w:sz w:val="24"/>
          <w:szCs w:val="24"/>
        </w:rPr>
        <w:t xml:space="preserve"> </w:t>
      </w:r>
    </w:p>
    <w:p w14:paraId="435AA142" w14:textId="51C4DF62" w:rsidR="002C1686" w:rsidRPr="002C1686" w:rsidRDefault="002C1686" w:rsidP="0047287E">
      <w:pPr>
        <w:spacing w:after="240"/>
        <w:rPr>
          <w:rFonts w:cstheme="minorHAnsi"/>
          <w:b/>
          <w:bCs/>
          <w:sz w:val="24"/>
          <w:szCs w:val="24"/>
        </w:rPr>
      </w:pPr>
      <w:r w:rsidRPr="002C1686">
        <w:rPr>
          <w:rFonts w:cstheme="minorHAnsi"/>
          <w:b/>
          <w:bCs/>
          <w:sz w:val="24"/>
          <w:szCs w:val="24"/>
        </w:rPr>
        <w:t>Questions</w:t>
      </w:r>
    </w:p>
    <w:p w14:paraId="6F63B508" w14:textId="3C8BD3AF" w:rsidR="00690565" w:rsidRDefault="00690565" w:rsidP="00690565">
      <w:pPr>
        <w:pStyle w:val="ListParagraph"/>
        <w:numPr>
          <w:ilvl w:val="0"/>
          <w:numId w:val="17"/>
        </w:numPr>
        <w:spacing w:after="0"/>
        <w:jc w:val="both"/>
        <w:rPr>
          <w:rFonts w:cs="Arial"/>
          <w:bCs/>
          <w:sz w:val="24"/>
          <w:szCs w:val="24"/>
        </w:rPr>
      </w:pPr>
      <w:r>
        <w:rPr>
          <w:rFonts w:cs="Arial"/>
          <w:bCs/>
          <w:sz w:val="24"/>
          <w:szCs w:val="24"/>
        </w:rPr>
        <w:t>Please confirm th</w:t>
      </w:r>
      <w:r w:rsidR="0047287E">
        <w:rPr>
          <w:rFonts w:cs="Arial"/>
          <w:bCs/>
          <w:sz w:val="24"/>
          <w:szCs w:val="24"/>
        </w:rPr>
        <w:t>at the data in the table above is correctly compiled by OEB staff.  If not, please revise the table, as applicable.</w:t>
      </w:r>
    </w:p>
    <w:p w14:paraId="5B44ACA0" w14:textId="4E1A0D9E" w:rsidR="0047287E" w:rsidRPr="00690565" w:rsidRDefault="0047287E" w:rsidP="00690565">
      <w:pPr>
        <w:pStyle w:val="ListParagraph"/>
        <w:numPr>
          <w:ilvl w:val="0"/>
          <w:numId w:val="17"/>
        </w:numPr>
        <w:spacing w:after="0"/>
        <w:jc w:val="both"/>
        <w:rPr>
          <w:rFonts w:cs="Arial"/>
          <w:bCs/>
          <w:sz w:val="24"/>
          <w:szCs w:val="24"/>
        </w:rPr>
      </w:pPr>
      <w:r>
        <w:rPr>
          <w:rFonts w:cs="Arial"/>
          <w:bCs/>
          <w:sz w:val="24"/>
          <w:szCs w:val="24"/>
        </w:rPr>
        <w:t>Please explain the differences noted in the table and update the evidence, as applicable, to reconcile the amounts.</w:t>
      </w:r>
    </w:p>
    <w:p w14:paraId="3D92B07D" w14:textId="77777777" w:rsidR="00AC166D" w:rsidRPr="00725069" w:rsidRDefault="00AC166D" w:rsidP="00AC166D">
      <w:pPr>
        <w:tabs>
          <w:tab w:val="left" w:pos="450"/>
        </w:tabs>
        <w:spacing w:after="0" w:line="240" w:lineRule="auto"/>
        <w:contextualSpacing/>
        <w:rPr>
          <w:rFonts w:ascii="Arial" w:hAnsi="Arial" w:cs="Arial"/>
          <w:sz w:val="24"/>
          <w:szCs w:val="24"/>
        </w:rPr>
      </w:pPr>
    </w:p>
    <w:p w14:paraId="3253041E" w14:textId="77777777" w:rsidR="0030483E" w:rsidRPr="001B08C5" w:rsidRDefault="00A90180" w:rsidP="001B08C5">
      <w:pPr>
        <w:pStyle w:val="Quote"/>
      </w:pPr>
      <w:bookmarkStart w:id="3" w:name="_Toc535825576"/>
      <w:r>
        <w:t>Response</w:t>
      </w:r>
      <w:bookmarkEnd w:id="3"/>
    </w:p>
    <w:p w14:paraId="5AEEA1BF" w14:textId="16A18421" w:rsidR="00690565" w:rsidRPr="00A46F3C" w:rsidRDefault="00690565" w:rsidP="00DB7A87">
      <w:pPr>
        <w:pStyle w:val="ListParagraph"/>
        <w:numPr>
          <w:ilvl w:val="0"/>
          <w:numId w:val="6"/>
        </w:numPr>
        <w:jc w:val="both"/>
      </w:pPr>
      <w:r w:rsidRPr="00A46F3C">
        <w:rPr>
          <w:sz w:val="24"/>
          <w:szCs w:val="24"/>
        </w:rPr>
        <w:t>Essex Powerlines confirms th</w:t>
      </w:r>
      <w:r w:rsidR="000E36EB" w:rsidRPr="00A46F3C">
        <w:rPr>
          <w:sz w:val="24"/>
          <w:szCs w:val="24"/>
        </w:rPr>
        <w:t>at the data in the table was correctly compiled by the OEB.</w:t>
      </w:r>
    </w:p>
    <w:p w14:paraId="4D569844" w14:textId="1900BD3C" w:rsidR="000E36EB" w:rsidRPr="00A46F3C" w:rsidRDefault="000E36EB" w:rsidP="00DB7A87">
      <w:pPr>
        <w:pStyle w:val="ListParagraph"/>
        <w:numPr>
          <w:ilvl w:val="0"/>
          <w:numId w:val="6"/>
        </w:numPr>
        <w:jc w:val="both"/>
      </w:pPr>
      <w:r w:rsidRPr="00A46F3C">
        <w:rPr>
          <w:sz w:val="24"/>
          <w:szCs w:val="24"/>
        </w:rPr>
        <w:t xml:space="preserve">After further review of the differences noted in the table, Essex Powerlines has updated the continuity schedule in the 2023 rate generator model to correct the </w:t>
      </w:r>
      <w:r w:rsidR="00A46F3C" w:rsidRPr="00A46F3C">
        <w:rPr>
          <w:sz w:val="24"/>
          <w:szCs w:val="24"/>
        </w:rPr>
        <w:t xml:space="preserve">noted </w:t>
      </w:r>
      <w:r w:rsidRPr="00A46F3C">
        <w:rPr>
          <w:sz w:val="24"/>
          <w:szCs w:val="24"/>
        </w:rPr>
        <w:t xml:space="preserve">variances.  There are now no differences between the 2023 </w:t>
      </w:r>
      <w:r w:rsidR="00EA2403">
        <w:rPr>
          <w:sz w:val="24"/>
          <w:szCs w:val="24"/>
        </w:rPr>
        <w:t>r</w:t>
      </w:r>
      <w:r w:rsidRPr="00A46F3C">
        <w:rPr>
          <w:sz w:val="24"/>
          <w:szCs w:val="24"/>
        </w:rPr>
        <w:t xml:space="preserve">ate </w:t>
      </w:r>
      <w:r w:rsidR="00EA2403">
        <w:rPr>
          <w:sz w:val="24"/>
          <w:szCs w:val="24"/>
        </w:rPr>
        <w:t>g</w:t>
      </w:r>
      <w:r w:rsidRPr="00A46F3C">
        <w:rPr>
          <w:sz w:val="24"/>
          <w:szCs w:val="24"/>
        </w:rPr>
        <w:t xml:space="preserve">enerator </w:t>
      </w:r>
      <w:r w:rsidR="00EA2403">
        <w:rPr>
          <w:sz w:val="24"/>
          <w:szCs w:val="24"/>
        </w:rPr>
        <w:t>m</w:t>
      </w:r>
      <w:r w:rsidRPr="00A46F3C">
        <w:rPr>
          <w:sz w:val="24"/>
          <w:szCs w:val="24"/>
        </w:rPr>
        <w:t xml:space="preserve">odel, the 2022 </w:t>
      </w:r>
      <w:r w:rsidR="00EA2403">
        <w:rPr>
          <w:sz w:val="24"/>
          <w:szCs w:val="24"/>
        </w:rPr>
        <w:t>r</w:t>
      </w:r>
      <w:r w:rsidRPr="00A46F3C">
        <w:rPr>
          <w:sz w:val="24"/>
          <w:szCs w:val="24"/>
        </w:rPr>
        <w:t xml:space="preserve">ate </w:t>
      </w:r>
      <w:r w:rsidR="00EA2403">
        <w:rPr>
          <w:sz w:val="24"/>
          <w:szCs w:val="24"/>
        </w:rPr>
        <w:t>g</w:t>
      </w:r>
      <w:r w:rsidRPr="00A46F3C">
        <w:rPr>
          <w:sz w:val="24"/>
          <w:szCs w:val="24"/>
        </w:rPr>
        <w:t xml:space="preserve">enerator </w:t>
      </w:r>
      <w:r w:rsidR="00EA2403">
        <w:rPr>
          <w:sz w:val="24"/>
          <w:szCs w:val="24"/>
        </w:rPr>
        <w:t>m</w:t>
      </w:r>
      <w:r w:rsidRPr="00A46F3C">
        <w:rPr>
          <w:sz w:val="24"/>
          <w:szCs w:val="24"/>
        </w:rPr>
        <w:t xml:space="preserve">odel and the 2019 GA Analysis </w:t>
      </w:r>
      <w:proofErr w:type="spellStart"/>
      <w:r w:rsidRPr="00A46F3C">
        <w:rPr>
          <w:sz w:val="24"/>
          <w:szCs w:val="24"/>
        </w:rPr>
        <w:t>Workform</w:t>
      </w:r>
      <w:proofErr w:type="spellEnd"/>
      <w:r w:rsidRPr="00A46F3C">
        <w:rPr>
          <w:sz w:val="24"/>
          <w:szCs w:val="24"/>
        </w:rPr>
        <w:t>.  The total claim requested by Essex Powerlines has not changed.</w:t>
      </w:r>
    </w:p>
    <w:p w14:paraId="64493512" w14:textId="20979CEA" w:rsidR="000E36EB" w:rsidRPr="00EA2403" w:rsidRDefault="000E36EB" w:rsidP="000E36EB">
      <w:pPr>
        <w:jc w:val="both"/>
        <w:rPr>
          <w:sz w:val="24"/>
          <w:szCs w:val="24"/>
        </w:rPr>
      </w:pPr>
      <w:r w:rsidRPr="00EA2403">
        <w:rPr>
          <w:sz w:val="24"/>
          <w:szCs w:val="24"/>
        </w:rPr>
        <w:t xml:space="preserve">Further to Staff Question #5b) in the set of interrogatories received on December 16, 2022, Essex Powerlines has adjusted the disposition period from the original 8-month request to the default 12-month period, </w:t>
      </w:r>
      <w:r w:rsidR="00EA2403">
        <w:rPr>
          <w:sz w:val="24"/>
          <w:szCs w:val="24"/>
        </w:rPr>
        <w:t>as</w:t>
      </w:r>
      <w:r w:rsidRPr="00EA2403">
        <w:rPr>
          <w:sz w:val="24"/>
          <w:szCs w:val="24"/>
        </w:rPr>
        <w:t xml:space="preserve"> approval has</w:t>
      </w:r>
      <w:r w:rsidR="00A46F3C" w:rsidRPr="00EA2403">
        <w:rPr>
          <w:sz w:val="24"/>
          <w:szCs w:val="24"/>
        </w:rPr>
        <w:t xml:space="preserve"> since</w:t>
      </w:r>
      <w:r w:rsidRPr="00EA2403">
        <w:rPr>
          <w:sz w:val="24"/>
          <w:szCs w:val="24"/>
        </w:rPr>
        <w:t xml:space="preserve"> been granted for deferral of our cost of service.</w:t>
      </w:r>
    </w:p>
    <w:p w14:paraId="6171ACD5" w14:textId="77777777" w:rsidR="00690565" w:rsidRPr="00690565" w:rsidRDefault="00690565" w:rsidP="00690565">
      <w:pPr>
        <w:jc w:val="both"/>
        <w:rPr>
          <w:highlight w:val="yellow"/>
        </w:rPr>
      </w:pPr>
    </w:p>
    <w:p w14:paraId="2F7FC74D" w14:textId="17E9AFAD" w:rsidR="00D20564" w:rsidRDefault="00AC166D" w:rsidP="00723EAA">
      <w:pPr>
        <w:pStyle w:val="IntenseQuote"/>
      </w:pPr>
      <w:bookmarkStart w:id="4" w:name="_Toc535825577"/>
      <w:r>
        <w:t>Staff Question #2</w:t>
      </w:r>
      <w:bookmarkEnd w:id="4"/>
      <w:r w:rsidR="00CB005B">
        <w:t xml:space="preserve"> </w:t>
      </w:r>
    </w:p>
    <w:p w14:paraId="541BDF07" w14:textId="5B0A7C8B" w:rsidR="00AC166D" w:rsidRDefault="00AC166D" w:rsidP="00AC166D">
      <w:pPr>
        <w:spacing w:after="0" w:line="240" w:lineRule="auto"/>
        <w:rPr>
          <w:rFonts w:cs="Arial"/>
          <w:b/>
          <w:sz w:val="24"/>
          <w:szCs w:val="24"/>
        </w:rPr>
      </w:pPr>
      <w:r w:rsidRPr="00AC166D">
        <w:rPr>
          <w:rFonts w:cs="Arial"/>
          <w:b/>
          <w:sz w:val="24"/>
          <w:szCs w:val="24"/>
        </w:rPr>
        <w:t>Ref</w:t>
      </w:r>
      <w:r w:rsidR="0047287E">
        <w:rPr>
          <w:rFonts w:cs="Arial"/>
          <w:b/>
          <w:sz w:val="24"/>
          <w:szCs w:val="24"/>
        </w:rPr>
        <w:t xml:space="preserve"> 1</w:t>
      </w:r>
      <w:r w:rsidRPr="00AC166D">
        <w:rPr>
          <w:rFonts w:cs="Arial"/>
          <w:b/>
          <w:sz w:val="24"/>
          <w:szCs w:val="24"/>
        </w:rPr>
        <w:t>: Manager Summary</w:t>
      </w:r>
      <w:r w:rsidR="0047287E">
        <w:rPr>
          <w:rFonts w:cs="Arial"/>
          <w:b/>
          <w:sz w:val="24"/>
          <w:szCs w:val="24"/>
        </w:rPr>
        <w:t>, Appendix C</w:t>
      </w:r>
    </w:p>
    <w:p w14:paraId="3C58B7B7" w14:textId="4FB29FC9" w:rsidR="0047287E" w:rsidRDefault="0047287E" w:rsidP="00AC166D">
      <w:pPr>
        <w:spacing w:after="0" w:line="240" w:lineRule="auto"/>
        <w:rPr>
          <w:rFonts w:cs="Arial"/>
          <w:b/>
          <w:sz w:val="24"/>
          <w:szCs w:val="24"/>
        </w:rPr>
      </w:pPr>
      <w:r>
        <w:rPr>
          <w:rFonts w:cs="Arial"/>
          <w:b/>
          <w:sz w:val="24"/>
          <w:szCs w:val="24"/>
        </w:rPr>
        <w:t>Ref 2: The OEB’s letter to Essex Powerlines, March 9, 2022</w:t>
      </w:r>
    </w:p>
    <w:p w14:paraId="4C47FD76" w14:textId="7D1C7D16" w:rsidR="00AC166D" w:rsidRPr="00AC166D" w:rsidRDefault="001D1FE8" w:rsidP="00690565">
      <w:pPr>
        <w:spacing w:after="0" w:line="240" w:lineRule="auto"/>
        <w:rPr>
          <w:rFonts w:cs="Arial"/>
          <w:b/>
          <w:sz w:val="24"/>
          <w:szCs w:val="24"/>
        </w:rPr>
      </w:pPr>
      <w:r>
        <w:rPr>
          <w:rFonts w:cs="Arial"/>
          <w:b/>
          <w:sz w:val="24"/>
          <w:szCs w:val="24"/>
        </w:rPr>
        <w:t xml:space="preserve">        </w:t>
      </w:r>
    </w:p>
    <w:p w14:paraId="70314018" w14:textId="2EE4836A" w:rsidR="00690565" w:rsidRDefault="00690565" w:rsidP="00C50EA6">
      <w:pPr>
        <w:autoSpaceDE w:val="0"/>
        <w:autoSpaceDN w:val="0"/>
        <w:adjustRightInd w:val="0"/>
        <w:spacing w:after="0" w:line="240" w:lineRule="auto"/>
        <w:jc w:val="both"/>
        <w:rPr>
          <w:rFonts w:cs="Arial"/>
          <w:sz w:val="24"/>
          <w:szCs w:val="24"/>
        </w:rPr>
      </w:pPr>
      <w:r>
        <w:rPr>
          <w:rFonts w:cs="Arial"/>
          <w:b/>
          <w:bCs/>
          <w:sz w:val="24"/>
          <w:szCs w:val="24"/>
        </w:rPr>
        <w:t>Preamble:</w:t>
      </w:r>
      <w:r>
        <w:rPr>
          <w:rFonts w:cs="Arial"/>
          <w:sz w:val="24"/>
          <w:szCs w:val="24"/>
        </w:rPr>
        <w:t xml:space="preserve">  </w:t>
      </w:r>
      <w:r w:rsidR="0047287E">
        <w:rPr>
          <w:rFonts w:cs="Arial"/>
          <w:sz w:val="24"/>
          <w:szCs w:val="24"/>
        </w:rPr>
        <w:t>In Ref 1, Essex Powerlines states the following two actions that are to be completed in 2023.</w:t>
      </w:r>
    </w:p>
    <w:p w14:paraId="0F9250E1" w14:textId="356EFA7C" w:rsidR="0047287E" w:rsidRDefault="0047287E" w:rsidP="0047287E">
      <w:pPr>
        <w:pStyle w:val="ListParagraph"/>
        <w:numPr>
          <w:ilvl w:val="0"/>
          <w:numId w:val="24"/>
        </w:numPr>
        <w:autoSpaceDE w:val="0"/>
        <w:autoSpaceDN w:val="0"/>
        <w:adjustRightInd w:val="0"/>
        <w:spacing w:after="0" w:line="240" w:lineRule="auto"/>
        <w:jc w:val="both"/>
        <w:rPr>
          <w:rFonts w:cs="Arial"/>
          <w:sz w:val="24"/>
          <w:szCs w:val="24"/>
        </w:rPr>
      </w:pPr>
      <w:r>
        <w:rPr>
          <w:rFonts w:cs="Arial"/>
          <w:sz w:val="24"/>
          <w:szCs w:val="24"/>
        </w:rPr>
        <w:t>Future Action Items for Section 1 Finding #3 – ‘K</w:t>
      </w:r>
      <w:r w:rsidR="002C1686">
        <w:rPr>
          <w:rFonts w:cs="Arial"/>
          <w:sz w:val="24"/>
          <w:szCs w:val="24"/>
        </w:rPr>
        <w:t>PM</w:t>
      </w:r>
      <w:r>
        <w:rPr>
          <w:rFonts w:cs="Arial"/>
          <w:sz w:val="24"/>
          <w:szCs w:val="24"/>
        </w:rPr>
        <w:t>G engaged to review by April 2023 COS rate application’.</w:t>
      </w:r>
    </w:p>
    <w:p w14:paraId="2B60E007" w14:textId="1BEB404A" w:rsidR="0047287E" w:rsidRDefault="0047287E" w:rsidP="0047287E">
      <w:pPr>
        <w:pStyle w:val="ListParagraph"/>
        <w:numPr>
          <w:ilvl w:val="0"/>
          <w:numId w:val="24"/>
        </w:numPr>
        <w:autoSpaceDE w:val="0"/>
        <w:autoSpaceDN w:val="0"/>
        <w:adjustRightInd w:val="0"/>
        <w:spacing w:after="0" w:line="240" w:lineRule="auto"/>
        <w:jc w:val="both"/>
        <w:rPr>
          <w:rFonts w:cs="Arial"/>
          <w:sz w:val="24"/>
          <w:szCs w:val="24"/>
        </w:rPr>
      </w:pPr>
      <w:r>
        <w:rPr>
          <w:rFonts w:cs="Arial"/>
          <w:sz w:val="24"/>
          <w:szCs w:val="24"/>
        </w:rPr>
        <w:t>Future Action Items for Section 2 Finding #1 – ‘K</w:t>
      </w:r>
      <w:r w:rsidR="002C1686">
        <w:rPr>
          <w:rFonts w:cs="Arial"/>
          <w:sz w:val="24"/>
          <w:szCs w:val="24"/>
        </w:rPr>
        <w:t>P</w:t>
      </w:r>
      <w:r>
        <w:rPr>
          <w:rFonts w:cs="Arial"/>
          <w:sz w:val="24"/>
          <w:szCs w:val="24"/>
        </w:rPr>
        <w:t>MG engaged to review 1588 and 1589 accounts balances as directed by OEB Review to be completed by April 2023 COS rate application filing’.</w:t>
      </w:r>
    </w:p>
    <w:p w14:paraId="5B6C5BDF" w14:textId="4F6C729F" w:rsidR="002C1686" w:rsidRDefault="002C1686" w:rsidP="002C1686">
      <w:pPr>
        <w:autoSpaceDE w:val="0"/>
        <w:autoSpaceDN w:val="0"/>
        <w:adjustRightInd w:val="0"/>
        <w:spacing w:after="0" w:line="240" w:lineRule="auto"/>
        <w:jc w:val="both"/>
        <w:rPr>
          <w:rFonts w:cs="Arial"/>
          <w:sz w:val="24"/>
          <w:szCs w:val="24"/>
        </w:rPr>
      </w:pPr>
    </w:p>
    <w:p w14:paraId="0E761FB2" w14:textId="3FA12552" w:rsidR="002C1686" w:rsidRPr="002C1686" w:rsidRDefault="002C1686" w:rsidP="002C1686">
      <w:pPr>
        <w:autoSpaceDE w:val="0"/>
        <w:autoSpaceDN w:val="0"/>
        <w:adjustRightInd w:val="0"/>
        <w:spacing w:after="0" w:line="240" w:lineRule="auto"/>
        <w:jc w:val="both"/>
        <w:rPr>
          <w:rFonts w:cs="Arial"/>
          <w:sz w:val="24"/>
          <w:szCs w:val="24"/>
        </w:rPr>
      </w:pPr>
      <w:r>
        <w:rPr>
          <w:rFonts w:cs="Arial"/>
          <w:sz w:val="24"/>
          <w:szCs w:val="24"/>
        </w:rPr>
        <w:t xml:space="preserve">In Ref 2, the OEB approved Essex Powerlines’ request of deferring the </w:t>
      </w:r>
      <w:proofErr w:type="gramStart"/>
      <w:r>
        <w:rPr>
          <w:rFonts w:cs="Arial"/>
          <w:sz w:val="24"/>
          <w:szCs w:val="24"/>
        </w:rPr>
        <w:t>cost of service</w:t>
      </w:r>
      <w:proofErr w:type="gramEnd"/>
      <w:r>
        <w:rPr>
          <w:rFonts w:cs="Arial"/>
          <w:sz w:val="24"/>
          <w:szCs w:val="24"/>
        </w:rPr>
        <w:t xml:space="preserve"> application for eight months for the rates effective January 1, 2024.</w:t>
      </w:r>
    </w:p>
    <w:p w14:paraId="42583B8D" w14:textId="1D5CC66E" w:rsidR="004655D6" w:rsidRDefault="004655D6" w:rsidP="00C50EA6">
      <w:pPr>
        <w:autoSpaceDE w:val="0"/>
        <w:autoSpaceDN w:val="0"/>
        <w:adjustRightInd w:val="0"/>
        <w:spacing w:after="0" w:line="240" w:lineRule="auto"/>
        <w:jc w:val="both"/>
        <w:rPr>
          <w:rFonts w:cs="Arial"/>
          <w:sz w:val="24"/>
          <w:szCs w:val="24"/>
        </w:rPr>
      </w:pPr>
    </w:p>
    <w:p w14:paraId="0B353139" w14:textId="21AF1697" w:rsidR="002C1686" w:rsidRDefault="002C1686" w:rsidP="00C50EA6">
      <w:pPr>
        <w:autoSpaceDE w:val="0"/>
        <w:autoSpaceDN w:val="0"/>
        <w:adjustRightInd w:val="0"/>
        <w:spacing w:after="0" w:line="240" w:lineRule="auto"/>
        <w:jc w:val="both"/>
        <w:rPr>
          <w:rFonts w:cs="Arial"/>
          <w:b/>
          <w:bCs/>
          <w:sz w:val="24"/>
          <w:szCs w:val="24"/>
        </w:rPr>
      </w:pPr>
      <w:r>
        <w:rPr>
          <w:rFonts w:cs="Arial"/>
          <w:b/>
          <w:bCs/>
          <w:sz w:val="24"/>
          <w:szCs w:val="24"/>
        </w:rPr>
        <w:t>Questions</w:t>
      </w:r>
    </w:p>
    <w:p w14:paraId="55027000" w14:textId="77777777" w:rsidR="002C1686" w:rsidRPr="002C1686" w:rsidRDefault="002C1686" w:rsidP="00C50EA6">
      <w:pPr>
        <w:autoSpaceDE w:val="0"/>
        <w:autoSpaceDN w:val="0"/>
        <w:adjustRightInd w:val="0"/>
        <w:spacing w:after="0" w:line="240" w:lineRule="auto"/>
        <w:jc w:val="both"/>
        <w:rPr>
          <w:rFonts w:cs="Arial"/>
          <w:b/>
          <w:bCs/>
          <w:sz w:val="24"/>
          <w:szCs w:val="24"/>
        </w:rPr>
      </w:pPr>
    </w:p>
    <w:p w14:paraId="558B5830" w14:textId="6C2EA468" w:rsidR="002C1686" w:rsidRDefault="007C6FB4" w:rsidP="002C1686">
      <w:pPr>
        <w:pStyle w:val="ListParagraph"/>
        <w:numPr>
          <w:ilvl w:val="0"/>
          <w:numId w:val="2"/>
        </w:numPr>
        <w:spacing w:after="0" w:line="240" w:lineRule="auto"/>
        <w:ind w:left="360"/>
        <w:jc w:val="both"/>
        <w:rPr>
          <w:rFonts w:cs="Arial"/>
          <w:sz w:val="24"/>
          <w:szCs w:val="24"/>
        </w:rPr>
      </w:pPr>
      <w:r w:rsidRPr="004655D6">
        <w:rPr>
          <w:rFonts w:cs="Arial"/>
          <w:sz w:val="24"/>
          <w:szCs w:val="24"/>
        </w:rPr>
        <w:t xml:space="preserve">Please </w:t>
      </w:r>
      <w:r w:rsidR="002C1686">
        <w:rPr>
          <w:rFonts w:cs="Arial"/>
          <w:sz w:val="24"/>
          <w:szCs w:val="24"/>
        </w:rPr>
        <w:t>provide the status of the above two action items in the management action plan.</w:t>
      </w:r>
    </w:p>
    <w:p w14:paraId="54661BE5" w14:textId="76A4A60A" w:rsidR="002C1686" w:rsidRDefault="002C1686" w:rsidP="002C1686">
      <w:pPr>
        <w:pStyle w:val="ListParagraph"/>
        <w:numPr>
          <w:ilvl w:val="0"/>
          <w:numId w:val="2"/>
        </w:numPr>
        <w:spacing w:after="0" w:line="240" w:lineRule="auto"/>
        <w:ind w:left="360"/>
        <w:jc w:val="both"/>
        <w:rPr>
          <w:rFonts w:cs="Arial"/>
          <w:sz w:val="24"/>
          <w:szCs w:val="24"/>
        </w:rPr>
      </w:pPr>
      <w:r>
        <w:rPr>
          <w:rFonts w:cs="Arial"/>
          <w:sz w:val="24"/>
          <w:szCs w:val="24"/>
        </w:rPr>
        <w:t>Given that the OEB has approved Essex Powerlines’ deferral request of its cost of service application from 2023 to 2024, please explain if this has impacted the timelines of the above two action items.  If so, please explain why.</w:t>
      </w:r>
    </w:p>
    <w:p w14:paraId="2582CAD7" w14:textId="5E85DB1D" w:rsidR="002C1686" w:rsidRPr="002C1686" w:rsidRDefault="002C1686" w:rsidP="002C1686">
      <w:pPr>
        <w:pStyle w:val="ListParagraph"/>
        <w:numPr>
          <w:ilvl w:val="0"/>
          <w:numId w:val="2"/>
        </w:numPr>
        <w:spacing w:after="0" w:line="240" w:lineRule="auto"/>
        <w:ind w:left="360"/>
        <w:jc w:val="both"/>
        <w:rPr>
          <w:rFonts w:cs="Arial"/>
          <w:sz w:val="24"/>
          <w:szCs w:val="24"/>
        </w:rPr>
      </w:pPr>
      <w:r>
        <w:rPr>
          <w:rFonts w:cs="Arial"/>
          <w:sz w:val="24"/>
          <w:szCs w:val="24"/>
        </w:rPr>
        <w:t>Please confirm that the above two action items are to be completed by the time of filing the 2024 rebasing application and that Essex Powerlines will file the evidence supporting the completion of the action plans.</w:t>
      </w:r>
    </w:p>
    <w:p w14:paraId="377059DE" w14:textId="77777777" w:rsidR="00AC166D" w:rsidRPr="00AC166D" w:rsidRDefault="00AC166D" w:rsidP="00AC166D">
      <w:pPr>
        <w:spacing w:after="0" w:line="240" w:lineRule="auto"/>
        <w:rPr>
          <w:rFonts w:cs="Arial"/>
          <w:sz w:val="24"/>
          <w:szCs w:val="24"/>
        </w:rPr>
      </w:pPr>
    </w:p>
    <w:p w14:paraId="4BE3465A" w14:textId="77777777" w:rsidR="00D20564" w:rsidRDefault="00A90180" w:rsidP="00723EAA">
      <w:pPr>
        <w:pStyle w:val="Quote"/>
      </w:pPr>
      <w:bookmarkStart w:id="5" w:name="_Toc535825578"/>
      <w:r>
        <w:t>Response</w:t>
      </w:r>
      <w:bookmarkEnd w:id="5"/>
    </w:p>
    <w:p w14:paraId="0BE17FDB" w14:textId="0D60C466" w:rsidR="00C32F07" w:rsidRPr="0085738C" w:rsidRDefault="0088484E" w:rsidP="00C50EA6">
      <w:pPr>
        <w:pStyle w:val="ListParagraph"/>
        <w:numPr>
          <w:ilvl w:val="0"/>
          <w:numId w:val="7"/>
        </w:numPr>
        <w:jc w:val="both"/>
        <w:rPr>
          <w:sz w:val="24"/>
          <w:szCs w:val="24"/>
          <w:lang w:val="en-CA"/>
        </w:rPr>
      </w:pPr>
      <w:r w:rsidRPr="0085738C">
        <w:rPr>
          <w:sz w:val="24"/>
          <w:szCs w:val="24"/>
          <w:lang w:val="en-CA"/>
        </w:rPr>
        <w:t>The review of</w:t>
      </w:r>
      <w:r w:rsidR="00F44924" w:rsidRPr="0085738C">
        <w:rPr>
          <w:sz w:val="24"/>
          <w:szCs w:val="24"/>
          <w:lang w:val="en-CA"/>
        </w:rPr>
        <w:t xml:space="preserve"> key regulatory Standard Operating Procedures and the review of account balances 1588 and 1589 per the sections noted above of the Management Action Plan are in progress.</w:t>
      </w:r>
    </w:p>
    <w:p w14:paraId="6865C8D3" w14:textId="77777777" w:rsidR="00F44924" w:rsidRPr="0085738C" w:rsidRDefault="00F44924" w:rsidP="00C50EA6">
      <w:pPr>
        <w:pStyle w:val="ListParagraph"/>
        <w:numPr>
          <w:ilvl w:val="0"/>
          <w:numId w:val="7"/>
        </w:numPr>
        <w:jc w:val="both"/>
        <w:rPr>
          <w:sz w:val="24"/>
          <w:szCs w:val="24"/>
          <w:lang w:val="en-CA"/>
        </w:rPr>
      </w:pPr>
      <w:r w:rsidRPr="0085738C">
        <w:rPr>
          <w:sz w:val="24"/>
          <w:szCs w:val="24"/>
          <w:lang w:val="en-CA"/>
        </w:rPr>
        <w:t xml:space="preserve">Timelines of the above action items have not been impacted by the OEB approval of Essex Powerlines’ deferral of its cost of service application.  Work </w:t>
      </w:r>
      <w:proofErr w:type="gramStart"/>
      <w:r w:rsidRPr="0085738C">
        <w:rPr>
          <w:sz w:val="24"/>
          <w:szCs w:val="24"/>
          <w:lang w:val="en-CA"/>
        </w:rPr>
        <w:t>continues on</w:t>
      </w:r>
      <w:proofErr w:type="gramEnd"/>
      <w:r w:rsidRPr="0085738C">
        <w:rPr>
          <w:sz w:val="24"/>
          <w:szCs w:val="24"/>
          <w:lang w:val="en-CA"/>
        </w:rPr>
        <w:t xml:space="preserve"> the reviews by KPMG.</w:t>
      </w:r>
    </w:p>
    <w:p w14:paraId="545B4788" w14:textId="6302A2E0" w:rsidR="00F44924" w:rsidRPr="0085738C" w:rsidRDefault="00F44924" w:rsidP="00C50EA6">
      <w:pPr>
        <w:pStyle w:val="ListParagraph"/>
        <w:numPr>
          <w:ilvl w:val="0"/>
          <w:numId w:val="7"/>
        </w:numPr>
        <w:jc w:val="both"/>
        <w:rPr>
          <w:sz w:val="24"/>
          <w:szCs w:val="24"/>
          <w:lang w:val="en-CA"/>
        </w:rPr>
      </w:pPr>
      <w:r w:rsidRPr="0085738C">
        <w:rPr>
          <w:sz w:val="24"/>
          <w:szCs w:val="24"/>
          <w:lang w:val="en-CA"/>
        </w:rPr>
        <w:t>Essex Powerlines confirms that the two action items will be completed as part of its 2024 IRM application.</w:t>
      </w:r>
      <w:r w:rsidR="0085738C" w:rsidRPr="0085738C">
        <w:rPr>
          <w:sz w:val="24"/>
          <w:szCs w:val="24"/>
          <w:lang w:val="en-CA"/>
        </w:rPr>
        <w:t xml:space="preserve">  Essex Powerlines will file the evidence supporting the completion of the action plans at that time.</w:t>
      </w:r>
      <w:r w:rsidRPr="0085738C">
        <w:rPr>
          <w:sz w:val="24"/>
          <w:szCs w:val="24"/>
          <w:lang w:val="en-CA"/>
        </w:rPr>
        <w:t xml:space="preserve"> </w:t>
      </w:r>
    </w:p>
    <w:sectPr w:rsidR="00F44924" w:rsidRPr="0085738C" w:rsidSect="00F03F2C">
      <w:head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092E5" w14:textId="77777777" w:rsidR="0053256C" w:rsidRDefault="0053256C" w:rsidP="00D20564">
      <w:pPr>
        <w:spacing w:after="0" w:line="240" w:lineRule="auto"/>
      </w:pPr>
      <w:r>
        <w:separator/>
      </w:r>
    </w:p>
  </w:endnote>
  <w:endnote w:type="continuationSeparator" w:id="0">
    <w:p w14:paraId="6109DCDB" w14:textId="77777777" w:rsidR="0053256C" w:rsidRDefault="0053256C" w:rsidP="00D2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E635" w14:textId="77777777" w:rsidR="0053256C" w:rsidRDefault="0053256C" w:rsidP="00D20564">
      <w:pPr>
        <w:spacing w:after="0" w:line="240" w:lineRule="auto"/>
      </w:pPr>
      <w:r>
        <w:separator/>
      </w:r>
    </w:p>
  </w:footnote>
  <w:footnote w:type="continuationSeparator" w:id="0">
    <w:p w14:paraId="5301165A" w14:textId="77777777" w:rsidR="0053256C" w:rsidRDefault="0053256C" w:rsidP="00D20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3183" w14:textId="09E43875" w:rsidR="0053256C" w:rsidRDefault="0053256C">
    <w:pPr>
      <w:pStyle w:val="Header"/>
    </w:pPr>
    <w:r>
      <w:rPr>
        <w:noProof/>
      </w:rPr>
      <w:drawing>
        <wp:anchor distT="0" distB="0" distL="114300" distR="114300" simplePos="0" relativeHeight="251684864" behindDoc="1" locked="0" layoutInCell="1" allowOverlap="1" wp14:anchorId="627F3A78" wp14:editId="45F2FA2A">
          <wp:simplePos x="0" y="0"/>
          <wp:positionH relativeFrom="column">
            <wp:posOffset>-409575</wp:posOffset>
          </wp:positionH>
          <wp:positionV relativeFrom="paragraph">
            <wp:posOffset>0</wp:posOffset>
          </wp:positionV>
          <wp:extent cx="1715770" cy="457200"/>
          <wp:effectExtent l="0" t="0" r="0" b="0"/>
          <wp:wrapTight wrapText="bothSides">
            <wp:wrapPolygon edited="0">
              <wp:start x="0" y="0"/>
              <wp:lineTo x="0" y="20700"/>
              <wp:lineTo x="21344" y="20700"/>
              <wp:lineTo x="21344" y="0"/>
              <wp:lineTo x="0" y="0"/>
            </wp:wrapPolygon>
          </wp:wrapTight>
          <wp:docPr id="17" name="Picture 17" descr="C:\Users\ktaylor\AppData\Local\Microsoft\Windows\INetCache\Content.Word\ESSEX_POWER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aylor\AppData\Local\Microsoft\Windows\INetCache\Content.Word\ESSEX_POWERLIN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57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EB-20</w:t>
    </w:r>
    <w:r w:rsidR="00DC76EC">
      <w:t>2</w:t>
    </w:r>
    <w:r w:rsidR="00690565">
      <w:t>2</w:t>
    </w:r>
    <w:r>
      <w:t>-00</w:t>
    </w:r>
    <w:r w:rsidR="00690565">
      <w:t>31</w:t>
    </w:r>
  </w:p>
  <w:p w14:paraId="7AC41DCB" w14:textId="4B8AB2CF" w:rsidR="0053256C" w:rsidRDefault="0053256C">
    <w:pPr>
      <w:pStyle w:val="Header"/>
    </w:pPr>
    <w:r>
      <w:tab/>
    </w:r>
    <w:r>
      <w:tab/>
      <w:t>Filed</w:t>
    </w:r>
    <w:r w:rsidRPr="000C42B8">
      <w:t xml:space="preserve">: </w:t>
    </w:r>
    <w:r w:rsidR="00D84E42">
      <w:t>February 6</w:t>
    </w:r>
    <w:r w:rsidR="00690565" w:rsidRPr="000C42B8">
      <w:t>, 2023</w:t>
    </w:r>
  </w:p>
  <w:p w14:paraId="50B7DF38" w14:textId="77777777" w:rsidR="0053256C" w:rsidRDefault="0053256C">
    <w:pPr>
      <w:pStyle w:val="Header"/>
    </w:pPr>
    <w:r>
      <w:tab/>
    </w:r>
    <w:r>
      <w:tab/>
      <w:t>Interrogatory Responses</w:t>
    </w:r>
  </w:p>
  <w:p w14:paraId="38FB4588" w14:textId="20FA10A1" w:rsidR="0053256C" w:rsidRDefault="0053256C">
    <w:pPr>
      <w:pStyle w:val="Header"/>
      <w:rPr>
        <w:b/>
        <w:bCs/>
        <w:noProof/>
      </w:rPr>
    </w:pPr>
    <w:r>
      <w:rPr>
        <w:noProof/>
      </w:rPr>
      <mc:AlternateContent>
        <mc:Choice Requires="wps">
          <w:drawing>
            <wp:anchor distT="0" distB="0" distL="114300" distR="114300" simplePos="0" relativeHeight="251657216" behindDoc="0" locked="0" layoutInCell="1" allowOverlap="1" wp14:anchorId="1573FEAB" wp14:editId="1DFD9EB2">
              <wp:simplePos x="0" y="0"/>
              <wp:positionH relativeFrom="column">
                <wp:posOffset>-411480</wp:posOffset>
              </wp:positionH>
              <wp:positionV relativeFrom="paragraph">
                <wp:posOffset>173990</wp:posOffset>
              </wp:positionV>
              <wp:extent cx="65379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6537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7C1BB9"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2.4pt,13.7pt" to="482.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hfzgEAAAMEAAAOAAAAZHJzL2Uyb0RvYy54bWysU8GO0zAQvSPxD5bvNG0R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" strokecolor="black [3213]"/>
          </w:pict>
        </mc:Fallback>
      </mc:AlternateContent>
    </w:r>
    <w:r>
      <w:tab/>
    </w: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AC4FF0" w:rsidRPr="00AC4FF0">
      <w:rPr>
        <w:b/>
        <w:bCs/>
        <w:noProof/>
      </w:rPr>
      <w:t>3</w:t>
    </w:r>
    <w:r>
      <w:rPr>
        <w:b/>
        <w:bCs/>
        <w:noProof/>
      </w:rPr>
      <w:fldChar w:fldCharType="end"/>
    </w:r>
  </w:p>
  <w:p w14:paraId="1AA7323F" w14:textId="77777777" w:rsidR="0053256C" w:rsidRDefault="00532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271E"/>
    <w:multiLevelType w:val="hybridMultilevel"/>
    <w:tmpl w:val="92E02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455B0"/>
    <w:multiLevelType w:val="hybridMultilevel"/>
    <w:tmpl w:val="507063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BC325A"/>
    <w:multiLevelType w:val="hybridMultilevel"/>
    <w:tmpl w:val="103AB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C21EA"/>
    <w:multiLevelType w:val="hybridMultilevel"/>
    <w:tmpl w:val="FF8A0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61E7F"/>
    <w:multiLevelType w:val="hybridMultilevel"/>
    <w:tmpl w:val="93243136"/>
    <w:lvl w:ilvl="0" w:tplc="98D8067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096ABB"/>
    <w:multiLevelType w:val="hybridMultilevel"/>
    <w:tmpl w:val="3904C3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92E05DA"/>
    <w:multiLevelType w:val="hybridMultilevel"/>
    <w:tmpl w:val="49B4F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33DAD"/>
    <w:multiLevelType w:val="hybridMultilevel"/>
    <w:tmpl w:val="8A78B0C8"/>
    <w:lvl w:ilvl="0" w:tplc="33F0D4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47B2E"/>
    <w:multiLevelType w:val="hybridMultilevel"/>
    <w:tmpl w:val="7A5443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571013E"/>
    <w:multiLevelType w:val="hybridMultilevel"/>
    <w:tmpl w:val="9822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06954"/>
    <w:multiLevelType w:val="hybridMultilevel"/>
    <w:tmpl w:val="9FF2B7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41802"/>
    <w:multiLevelType w:val="hybridMultilevel"/>
    <w:tmpl w:val="BF583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5759C"/>
    <w:multiLevelType w:val="hybridMultilevel"/>
    <w:tmpl w:val="B23E731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C3E8C"/>
    <w:multiLevelType w:val="hybridMultilevel"/>
    <w:tmpl w:val="82C8C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801A2"/>
    <w:multiLevelType w:val="hybridMultilevel"/>
    <w:tmpl w:val="A48AB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E30A1"/>
    <w:multiLevelType w:val="hybridMultilevel"/>
    <w:tmpl w:val="15744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C3029"/>
    <w:multiLevelType w:val="hybridMultilevel"/>
    <w:tmpl w:val="EC448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07298"/>
    <w:multiLevelType w:val="hybridMultilevel"/>
    <w:tmpl w:val="2C32E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45C7F"/>
    <w:multiLevelType w:val="hybridMultilevel"/>
    <w:tmpl w:val="525888F8"/>
    <w:lvl w:ilvl="0" w:tplc="1009001B">
      <w:start w:val="1"/>
      <w:numFmt w:val="lowerRoman"/>
      <w:lvlText w:val="%1."/>
      <w:lvlJc w:val="righ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611356AD"/>
    <w:multiLevelType w:val="hybridMultilevel"/>
    <w:tmpl w:val="B17EB9BA"/>
    <w:lvl w:ilvl="0" w:tplc="FFFADC8E">
      <w:start w:val="1"/>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1F36FE5"/>
    <w:multiLevelType w:val="hybridMultilevel"/>
    <w:tmpl w:val="AE6E1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40DCE"/>
    <w:multiLevelType w:val="hybridMultilevel"/>
    <w:tmpl w:val="1A629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6614D"/>
    <w:multiLevelType w:val="hybridMultilevel"/>
    <w:tmpl w:val="A9D61DE8"/>
    <w:lvl w:ilvl="0" w:tplc="BA72521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A6B9C"/>
    <w:multiLevelType w:val="hybridMultilevel"/>
    <w:tmpl w:val="BB983C14"/>
    <w:lvl w:ilvl="0" w:tplc="0409000F">
      <w:start w:val="1"/>
      <w:numFmt w:val="decimal"/>
      <w:lvlText w:val="%1."/>
      <w:lvlJc w:val="left"/>
      <w:pPr>
        <w:ind w:left="720" w:hanging="360"/>
      </w:pPr>
    </w:lvl>
    <w:lvl w:ilvl="1" w:tplc="81ECCF2E">
      <w:start w:val="1"/>
      <w:numFmt w:val="decimal"/>
      <w:lvlText w:val="%2."/>
      <w:lvlJc w:val="left"/>
      <w:pPr>
        <w:ind w:left="1440" w:hanging="360"/>
      </w:pPr>
      <w:rPr>
        <w:rFonts w:ascii="Arial" w:eastAsiaTheme="minorHAnsi" w:hAnsi="Arial" w:cs="Arial"/>
      </w:rPr>
    </w:lvl>
    <w:lvl w:ilvl="2" w:tplc="D9BA4720">
      <w:start w:val="1"/>
      <w:numFmt w:val="decimal"/>
      <w:lvlText w:val="%3."/>
      <w:lvlJc w:val="left"/>
      <w:pPr>
        <w:ind w:left="2340" w:hanging="360"/>
      </w:pPr>
      <w:rPr>
        <w:rFonts w:ascii="Arial" w:eastAsiaTheme="minorHAnsi" w:hAnsi="Arial" w:cs="Arial"/>
      </w:rPr>
    </w:lvl>
    <w:lvl w:ilvl="3" w:tplc="0409000F">
      <w:start w:val="1"/>
      <w:numFmt w:val="decimal"/>
      <w:lvlText w:val="%4."/>
      <w:lvlJc w:val="left"/>
      <w:pPr>
        <w:ind w:left="2880" w:hanging="360"/>
      </w:pPr>
    </w:lvl>
    <w:lvl w:ilvl="4" w:tplc="15CA66AE">
      <w:start w:val="2"/>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184496">
    <w:abstractNumId w:val="20"/>
  </w:num>
  <w:num w:numId="2" w16cid:durableId="549996771">
    <w:abstractNumId w:val="6"/>
  </w:num>
  <w:num w:numId="3" w16cid:durableId="1340278174">
    <w:abstractNumId w:val="22"/>
  </w:num>
  <w:num w:numId="4" w16cid:durableId="478884654">
    <w:abstractNumId w:val="12"/>
  </w:num>
  <w:num w:numId="5" w16cid:durableId="335428643">
    <w:abstractNumId w:val="23"/>
  </w:num>
  <w:num w:numId="6" w16cid:durableId="1604805730">
    <w:abstractNumId w:val="13"/>
  </w:num>
  <w:num w:numId="7" w16cid:durableId="1301107796">
    <w:abstractNumId w:val="16"/>
  </w:num>
  <w:num w:numId="8" w16cid:durableId="995108592">
    <w:abstractNumId w:val="1"/>
  </w:num>
  <w:num w:numId="9" w16cid:durableId="814107766">
    <w:abstractNumId w:val="8"/>
  </w:num>
  <w:num w:numId="10" w16cid:durableId="1567490684">
    <w:abstractNumId w:val="5"/>
  </w:num>
  <w:num w:numId="11" w16cid:durableId="1361860343">
    <w:abstractNumId w:val="19"/>
  </w:num>
  <w:num w:numId="12" w16cid:durableId="744182769">
    <w:abstractNumId w:val="18"/>
  </w:num>
  <w:num w:numId="13" w16cid:durableId="141965790">
    <w:abstractNumId w:val="4"/>
  </w:num>
  <w:num w:numId="14" w16cid:durableId="1658337526">
    <w:abstractNumId w:val="14"/>
  </w:num>
  <w:num w:numId="15" w16cid:durableId="350960717">
    <w:abstractNumId w:val="15"/>
  </w:num>
  <w:num w:numId="16" w16cid:durableId="1554001685">
    <w:abstractNumId w:val="2"/>
  </w:num>
  <w:num w:numId="17" w16cid:durableId="414782771">
    <w:abstractNumId w:val="3"/>
  </w:num>
  <w:num w:numId="18" w16cid:durableId="808285432">
    <w:abstractNumId w:val="7"/>
  </w:num>
  <w:num w:numId="19" w16cid:durableId="197667357">
    <w:abstractNumId w:val="0"/>
  </w:num>
  <w:num w:numId="20" w16cid:durableId="326053075">
    <w:abstractNumId w:val="10"/>
  </w:num>
  <w:num w:numId="21" w16cid:durableId="685638761">
    <w:abstractNumId w:val="11"/>
  </w:num>
  <w:num w:numId="22" w16cid:durableId="999575414">
    <w:abstractNumId w:val="17"/>
  </w:num>
  <w:num w:numId="23" w16cid:durableId="622228337">
    <w:abstractNumId w:val="21"/>
  </w:num>
  <w:num w:numId="24" w16cid:durableId="104124545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01"/>
    <w:rsid w:val="0000221C"/>
    <w:rsid w:val="00002D23"/>
    <w:rsid w:val="00003F91"/>
    <w:rsid w:val="00006761"/>
    <w:rsid w:val="00007511"/>
    <w:rsid w:val="00010129"/>
    <w:rsid w:val="00012DD0"/>
    <w:rsid w:val="00014158"/>
    <w:rsid w:val="00016CF1"/>
    <w:rsid w:val="00020A71"/>
    <w:rsid w:val="00021D59"/>
    <w:rsid w:val="0002281D"/>
    <w:rsid w:val="00025A71"/>
    <w:rsid w:val="000262C0"/>
    <w:rsid w:val="00026B51"/>
    <w:rsid w:val="000276F3"/>
    <w:rsid w:val="0003036D"/>
    <w:rsid w:val="00030A73"/>
    <w:rsid w:val="00032FC9"/>
    <w:rsid w:val="00033FB5"/>
    <w:rsid w:val="00035AED"/>
    <w:rsid w:val="0003691A"/>
    <w:rsid w:val="00036DD8"/>
    <w:rsid w:val="00036FBD"/>
    <w:rsid w:val="00040057"/>
    <w:rsid w:val="0004018B"/>
    <w:rsid w:val="000417AF"/>
    <w:rsid w:val="00043013"/>
    <w:rsid w:val="0004367C"/>
    <w:rsid w:val="0004395A"/>
    <w:rsid w:val="00053709"/>
    <w:rsid w:val="00053F72"/>
    <w:rsid w:val="000542BE"/>
    <w:rsid w:val="00055095"/>
    <w:rsid w:val="00055A9B"/>
    <w:rsid w:val="000625A3"/>
    <w:rsid w:val="00063BE8"/>
    <w:rsid w:val="00063D9C"/>
    <w:rsid w:val="0006400E"/>
    <w:rsid w:val="0006405A"/>
    <w:rsid w:val="000646FE"/>
    <w:rsid w:val="00064DC7"/>
    <w:rsid w:val="0006784E"/>
    <w:rsid w:val="00072768"/>
    <w:rsid w:val="00073261"/>
    <w:rsid w:val="000732D1"/>
    <w:rsid w:val="0007343B"/>
    <w:rsid w:val="00073DF6"/>
    <w:rsid w:val="00075097"/>
    <w:rsid w:val="00076434"/>
    <w:rsid w:val="00076F52"/>
    <w:rsid w:val="00080863"/>
    <w:rsid w:val="00080D01"/>
    <w:rsid w:val="000818EF"/>
    <w:rsid w:val="000859D3"/>
    <w:rsid w:val="00085EC9"/>
    <w:rsid w:val="00087295"/>
    <w:rsid w:val="000874C4"/>
    <w:rsid w:val="00087FBE"/>
    <w:rsid w:val="000900D6"/>
    <w:rsid w:val="00090637"/>
    <w:rsid w:val="000912B5"/>
    <w:rsid w:val="000917FD"/>
    <w:rsid w:val="000931F6"/>
    <w:rsid w:val="0009431E"/>
    <w:rsid w:val="00097DEE"/>
    <w:rsid w:val="000A05BD"/>
    <w:rsid w:val="000A43A4"/>
    <w:rsid w:val="000A49AA"/>
    <w:rsid w:val="000A52A4"/>
    <w:rsid w:val="000A6117"/>
    <w:rsid w:val="000A6D1A"/>
    <w:rsid w:val="000B04C3"/>
    <w:rsid w:val="000B0F79"/>
    <w:rsid w:val="000B2037"/>
    <w:rsid w:val="000B22D5"/>
    <w:rsid w:val="000B2A1F"/>
    <w:rsid w:val="000B4FE3"/>
    <w:rsid w:val="000B772E"/>
    <w:rsid w:val="000B7840"/>
    <w:rsid w:val="000C1638"/>
    <w:rsid w:val="000C19EF"/>
    <w:rsid w:val="000C2C0D"/>
    <w:rsid w:val="000C42B8"/>
    <w:rsid w:val="000C42E0"/>
    <w:rsid w:val="000C45A5"/>
    <w:rsid w:val="000C4692"/>
    <w:rsid w:val="000C5897"/>
    <w:rsid w:val="000C7052"/>
    <w:rsid w:val="000C7A2C"/>
    <w:rsid w:val="000D1610"/>
    <w:rsid w:val="000D2B3D"/>
    <w:rsid w:val="000D3D45"/>
    <w:rsid w:val="000D4BDB"/>
    <w:rsid w:val="000D5131"/>
    <w:rsid w:val="000D526D"/>
    <w:rsid w:val="000D5351"/>
    <w:rsid w:val="000D5384"/>
    <w:rsid w:val="000D5424"/>
    <w:rsid w:val="000D7148"/>
    <w:rsid w:val="000D7446"/>
    <w:rsid w:val="000E01EC"/>
    <w:rsid w:val="000E0AAF"/>
    <w:rsid w:val="000E0D44"/>
    <w:rsid w:val="000E1E4E"/>
    <w:rsid w:val="000E2478"/>
    <w:rsid w:val="000E36EB"/>
    <w:rsid w:val="000E4BF2"/>
    <w:rsid w:val="000E6340"/>
    <w:rsid w:val="000E7D6B"/>
    <w:rsid w:val="000F06CF"/>
    <w:rsid w:val="000F395D"/>
    <w:rsid w:val="000F64C6"/>
    <w:rsid w:val="000F7A3D"/>
    <w:rsid w:val="000F7F11"/>
    <w:rsid w:val="001001A6"/>
    <w:rsid w:val="00102FCD"/>
    <w:rsid w:val="00103F9E"/>
    <w:rsid w:val="00104178"/>
    <w:rsid w:val="001047D5"/>
    <w:rsid w:val="001052F5"/>
    <w:rsid w:val="00106E41"/>
    <w:rsid w:val="0011003F"/>
    <w:rsid w:val="00112267"/>
    <w:rsid w:val="00117BE4"/>
    <w:rsid w:val="00117C72"/>
    <w:rsid w:val="00122C48"/>
    <w:rsid w:val="00123475"/>
    <w:rsid w:val="00124DB4"/>
    <w:rsid w:val="001252D9"/>
    <w:rsid w:val="00126D58"/>
    <w:rsid w:val="00127F0F"/>
    <w:rsid w:val="00130E31"/>
    <w:rsid w:val="00131293"/>
    <w:rsid w:val="00132C62"/>
    <w:rsid w:val="00132CDB"/>
    <w:rsid w:val="00135BD9"/>
    <w:rsid w:val="00135DA0"/>
    <w:rsid w:val="00135E72"/>
    <w:rsid w:val="00135F59"/>
    <w:rsid w:val="00137194"/>
    <w:rsid w:val="00137F9D"/>
    <w:rsid w:val="00141B4D"/>
    <w:rsid w:val="0014378D"/>
    <w:rsid w:val="00150167"/>
    <w:rsid w:val="00152480"/>
    <w:rsid w:val="00152DAA"/>
    <w:rsid w:val="00155D43"/>
    <w:rsid w:val="00157536"/>
    <w:rsid w:val="00157C9E"/>
    <w:rsid w:val="00157F7B"/>
    <w:rsid w:val="00161285"/>
    <w:rsid w:val="00161ACA"/>
    <w:rsid w:val="0016624E"/>
    <w:rsid w:val="001669C4"/>
    <w:rsid w:val="001705B6"/>
    <w:rsid w:val="00170E01"/>
    <w:rsid w:val="001719DE"/>
    <w:rsid w:val="00171CE8"/>
    <w:rsid w:val="001741FA"/>
    <w:rsid w:val="001742EB"/>
    <w:rsid w:val="00175641"/>
    <w:rsid w:val="0017620B"/>
    <w:rsid w:val="00180DC5"/>
    <w:rsid w:val="001828B9"/>
    <w:rsid w:val="00182ECD"/>
    <w:rsid w:val="00187499"/>
    <w:rsid w:val="0019362F"/>
    <w:rsid w:val="00193BCE"/>
    <w:rsid w:val="00193DE4"/>
    <w:rsid w:val="001950F0"/>
    <w:rsid w:val="001967F9"/>
    <w:rsid w:val="00196CA9"/>
    <w:rsid w:val="00197BE5"/>
    <w:rsid w:val="001A07A7"/>
    <w:rsid w:val="001A0EB8"/>
    <w:rsid w:val="001A27F9"/>
    <w:rsid w:val="001A3F91"/>
    <w:rsid w:val="001A5B68"/>
    <w:rsid w:val="001A60E5"/>
    <w:rsid w:val="001B08C5"/>
    <w:rsid w:val="001B0BFB"/>
    <w:rsid w:val="001B0DDA"/>
    <w:rsid w:val="001B1571"/>
    <w:rsid w:val="001B1F29"/>
    <w:rsid w:val="001B6ECA"/>
    <w:rsid w:val="001B7689"/>
    <w:rsid w:val="001C19A2"/>
    <w:rsid w:val="001C1A34"/>
    <w:rsid w:val="001C2717"/>
    <w:rsid w:val="001C7ABE"/>
    <w:rsid w:val="001D0502"/>
    <w:rsid w:val="001D1FE8"/>
    <w:rsid w:val="001D3692"/>
    <w:rsid w:val="001D57E1"/>
    <w:rsid w:val="001E04A9"/>
    <w:rsid w:val="001E1A52"/>
    <w:rsid w:val="001E31A3"/>
    <w:rsid w:val="001E39D7"/>
    <w:rsid w:val="001E4A58"/>
    <w:rsid w:val="001E4E04"/>
    <w:rsid w:val="001E65E1"/>
    <w:rsid w:val="001E7627"/>
    <w:rsid w:val="001E7FB9"/>
    <w:rsid w:val="001F020D"/>
    <w:rsid w:val="00200389"/>
    <w:rsid w:val="0020364A"/>
    <w:rsid w:val="00203741"/>
    <w:rsid w:val="0021215A"/>
    <w:rsid w:val="00215491"/>
    <w:rsid w:val="00215C8D"/>
    <w:rsid w:val="00222DC1"/>
    <w:rsid w:val="00227054"/>
    <w:rsid w:val="00230133"/>
    <w:rsid w:val="00234CC0"/>
    <w:rsid w:val="00236160"/>
    <w:rsid w:val="002416C8"/>
    <w:rsid w:val="00242590"/>
    <w:rsid w:val="00244B8D"/>
    <w:rsid w:val="002460AC"/>
    <w:rsid w:val="0025034B"/>
    <w:rsid w:val="0025210D"/>
    <w:rsid w:val="00260A40"/>
    <w:rsid w:val="00260D5B"/>
    <w:rsid w:val="00266593"/>
    <w:rsid w:val="0026793C"/>
    <w:rsid w:val="002711A4"/>
    <w:rsid w:val="0027229A"/>
    <w:rsid w:val="00272C7F"/>
    <w:rsid w:val="002753AF"/>
    <w:rsid w:val="002753E4"/>
    <w:rsid w:val="0027661B"/>
    <w:rsid w:val="0028062C"/>
    <w:rsid w:val="002830FE"/>
    <w:rsid w:val="00285118"/>
    <w:rsid w:val="00287FBB"/>
    <w:rsid w:val="00292E4B"/>
    <w:rsid w:val="00294F62"/>
    <w:rsid w:val="00295640"/>
    <w:rsid w:val="002A342D"/>
    <w:rsid w:val="002A4C15"/>
    <w:rsid w:val="002A7F20"/>
    <w:rsid w:val="002B2D39"/>
    <w:rsid w:val="002B4DAD"/>
    <w:rsid w:val="002B6107"/>
    <w:rsid w:val="002C014A"/>
    <w:rsid w:val="002C116A"/>
    <w:rsid w:val="002C1686"/>
    <w:rsid w:val="002C1E4C"/>
    <w:rsid w:val="002C208F"/>
    <w:rsid w:val="002C260C"/>
    <w:rsid w:val="002D06EB"/>
    <w:rsid w:val="002D668D"/>
    <w:rsid w:val="002E3544"/>
    <w:rsid w:val="002F2FD1"/>
    <w:rsid w:val="002F32E7"/>
    <w:rsid w:val="002F3F41"/>
    <w:rsid w:val="002F4C76"/>
    <w:rsid w:val="002F668C"/>
    <w:rsid w:val="002F79E1"/>
    <w:rsid w:val="003008DA"/>
    <w:rsid w:val="00301BE8"/>
    <w:rsid w:val="003024E7"/>
    <w:rsid w:val="00302A7B"/>
    <w:rsid w:val="0030483E"/>
    <w:rsid w:val="0030595B"/>
    <w:rsid w:val="0030741E"/>
    <w:rsid w:val="003105D3"/>
    <w:rsid w:val="00310B44"/>
    <w:rsid w:val="00311232"/>
    <w:rsid w:val="00311A10"/>
    <w:rsid w:val="003126F3"/>
    <w:rsid w:val="00320BCA"/>
    <w:rsid w:val="00327EB1"/>
    <w:rsid w:val="0034059E"/>
    <w:rsid w:val="00342034"/>
    <w:rsid w:val="003457DE"/>
    <w:rsid w:val="00345DCD"/>
    <w:rsid w:val="0034746E"/>
    <w:rsid w:val="003505EE"/>
    <w:rsid w:val="00353B6D"/>
    <w:rsid w:val="0035455F"/>
    <w:rsid w:val="00357D0A"/>
    <w:rsid w:val="0036034E"/>
    <w:rsid w:val="003605C9"/>
    <w:rsid w:val="003624E2"/>
    <w:rsid w:val="0036542A"/>
    <w:rsid w:val="00370F92"/>
    <w:rsid w:val="003719CB"/>
    <w:rsid w:val="003721C3"/>
    <w:rsid w:val="00372F5A"/>
    <w:rsid w:val="00372FD8"/>
    <w:rsid w:val="00373711"/>
    <w:rsid w:val="00374E05"/>
    <w:rsid w:val="00374ECE"/>
    <w:rsid w:val="00377F69"/>
    <w:rsid w:val="003808A0"/>
    <w:rsid w:val="00380F71"/>
    <w:rsid w:val="00381BA9"/>
    <w:rsid w:val="003821F1"/>
    <w:rsid w:val="003825ED"/>
    <w:rsid w:val="003826C4"/>
    <w:rsid w:val="00386419"/>
    <w:rsid w:val="00386E72"/>
    <w:rsid w:val="003917D5"/>
    <w:rsid w:val="00394792"/>
    <w:rsid w:val="00396686"/>
    <w:rsid w:val="00397850"/>
    <w:rsid w:val="003A2881"/>
    <w:rsid w:val="003A2D15"/>
    <w:rsid w:val="003A638D"/>
    <w:rsid w:val="003A6C66"/>
    <w:rsid w:val="003A715D"/>
    <w:rsid w:val="003B3244"/>
    <w:rsid w:val="003B52EB"/>
    <w:rsid w:val="003B631A"/>
    <w:rsid w:val="003B72C6"/>
    <w:rsid w:val="003C1F6F"/>
    <w:rsid w:val="003C6FEA"/>
    <w:rsid w:val="003C7BD6"/>
    <w:rsid w:val="003D2FFE"/>
    <w:rsid w:val="003D5B37"/>
    <w:rsid w:val="003D7F48"/>
    <w:rsid w:val="003E14EE"/>
    <w:rsid w:val="003E22D7"/>
    <w:rsid w:val="003E453A"/>
    <w:rsid w:val="003E5866"/>
    <w:rsid w:val="003E5D99"/>
    <w:rsid w:val="003E641F"/>
    <w:rsid w:val="003E6905"/>
    <w:rsid w:val="003F1BD6"/>
    <w:rsid w:val="003F319A"/>
    <w:rsid w:val="003F3B64"/>
    <w:rsid w:val="003F3FBD"/>
    <w:rsid w:val="003F76E0"/>
    <w:rsid w:val="003F7C5D"/>
    <w:rsid w:val="00400B8F"/>
    <w:rsid w:val="0040106F"/>
    <w:rsid w:val="0040198B"/>
    <w:rsid w:val="00403AAE"/>
    <w:rsid w:val="00405832"/>
    <w:rsid w:val="00407E6C"/>
    <w:rsid w:val="00411ABF"/>
    <w:rsid w:val="004120AA"/>
    <w:rsid w:val="0041472B"/>
    <w:rsid w:val="00417912"/>
    <w:rsid w:val="00420988"/>
    <w:rsid w:val="00420CF0"/>
    <w:rsid w:val="00421331"/>
    <w:rsid w:val="0042186F"/>
    <w:rsid w:val="00421B21"/>
    <w:rsid w:val="00421CD2"/>
    <w:rsid w:val="0042230B"/>
    <w:rsid w:val="004228F9"/>
    <w:rsid w:val="00422963"/>
    <w:rsid w:val="00422CEB"/>
    <w:rsid w:val="00422F41"/>
    <w:rsid w:val="00425BFB"/>
    <w:rsid w:val="00430A57"/>
    <w:rsid w:val="00430D26"/>
    <w:rsid w:val="0043211C"/>
    <w:rsid w:val="00433087"/>
    <w:rsid w:val="00434D56"/>
    <w:rsid w:val="00434F9B"/>
    <w:rsid w:val="00435565"/>
    <w:rsid w:val="00451844"/>
    <w:rsid w:val="00451B50"/>
    <w:rsid w:val="00456C7A"/>
    <w:rsid w:val="00457143"/>
    <w:rsid w:val="004573D6"/>
    <w:rsid w:val="00464F3A"/>
    <w:rsid w:val="004655D6"/>
    <w:rsid w:val="0046681A"/>
    <w:rsid w:val="00470676"/>
    <w:rsid w:val="0047287E"/>
    <w:rsid w:val="0047320A"/>
    <w:rsid w:val="004747D1"/>
    <w:rsid w:val="00475090"/>
    <w:rsid w:val="00476CE4"/>
    <w:rsid w:val="004809A6"/>
    <w:rsid w:val="00480F62"/>
    <w:rsid w:val="00485567"/>
    <w:rsid w:val="00486667"/>
    <w:rsid w:val="00487F4B"/>
    <w:rsid w:val="00490034"/>
    <w:rsid w:val="004902A0"/>
    <w:rsid w:val="00495577"/>
    <w:rsid w:val="004977BC"/>
    <w:rsid w:val="00497A48"/>
    <w:rsid w:val="004A1258"/>
    <w:rsid w:val="004A23F5"/>
    <w:rsid w:val="004A39B7"/>
    <w:rsid w:val="004A474C"/>
    <w:rsid w:val="004A563A"/>
    <w:rsid w:val="004A766C"/>
    <w:rsid w:val="004B04BB"/>
    <w:rsid w:val="004B5E8F"/>
    <w:rsid w:val="004B7C17"/>
    <w:rsid w:val="004C1FBA"/>
    <w:rsid w:val="004C243F"/>
    <w:rsid w:val="004C7FD3"/>
    <w:rsid w:val="004D0469"/>
    <w:rsid w:val="004D2578"/>
    <w:rsid w:val="004D3BC0"/>
    <w:rsid w:val="004D563C"/>
    <w:rsid w:val="004D5A80"/>
    <w:rsid w:val="004D5BC3"/>
    <w:rsid w:val="004E1C78"/>
    <w:rsid w:val="004E1CB9"/>
    <w:rsid w:val="004E2E15"/>
    <w:rsid w:val="004E3BD5"/>
    <w:rsid w:val="004E6BD6"/>
    <w:rsid w:val="004E7BD4"/>
    <w:rsid w:val="004F0B13"/>
    <w:rsid w:val="004F1245"/>
    <w:rsid w:val="004F2073"/>
    <w:rsid w:val="004F31E1"/>
    <w:rsid w:val="004F4C9C"/>
    <w:rsid w:val="00503CE4"/>
    <w:rsid w:val="0050468A"/>
    <w:rsid w:val="00505B64"/>
    <w:rsid w:val="00510BF2"/>
    <w:rsid w:val="00512498"/>
    <w:rsid w:val="00513E09"/>
    <w:rsid w:val="00513E1E"/>
    <w:rsid w:val="00514624"/>
    <w:rsid w:val="0051706E"/>
    <w:rsid w:val="00517BCD"/>
    <w:rsid w:val="005200B6"/>
    <w:rsid w:val="00520BB7"/>
    <w:rsid w:val="0052135E"/>
    <w:rsid w:val="005225D1"/>
    <w:rsid w:val="00522C14"/>
    <w:rsid w:val="00531419"/>
    <w:rsid w:val="00531F6A"/>
    <w:rsid w:val="0053256C"/>
    <w:rsid w:val="005349DF"/>
    <w:rsid w:val="00535382"/>
    <w:rsid w:val="00536579"/>
    <w:rsid w:val="00537003"/>
    <w:rsid w:val="0053705C"/>
    <w:rsid w:val="005445A8"/>
    <w:rsid w:val="00544644"/>
    <w:rsid w:val="00544B63"/>
    <w:rsid w:val="00546EDD"/>
    <w:rsid w:val="005472AC"/>
    <w:rsid w:val="0054734B"/>
    <w:rsid w:val="00547AD6"/>
    <w:rsid w:val="005526CD"/>
    <w:rsid w:val="005558D8"/>
    <w:rsid w:val="005645C3"/>
    <w:rsid w:val="00564881"/>
    <w:rsid w:val="00565C79"/>
    <w:rsid w:val="005670B0"/>
    <w:rsid w:val="00567EE8"/>
    <w:rsid w:val="005718D2"/>
    <w:rsid w:val="00571961"/>
    <w:rsid w:val="00571BF9"/>
    <w:rsid w:val="005722F8"/>
    <w:rsid w:val="00572797"/>
    <w:rsid w:val="005742D2"/>
    <w:rsid w:val="00574EA9"/>
    <w:rsid w:val="00576DB5"/>
    <w:rsid w:val="00576EA7"/>
    <w:rsid w:val="00577C43"/>
    <w:rsid w:val="00577C71"/>
    <w:rsid w:val="00580528"/>
    <w:rsid w:val="00582658"/>
    <w:rsid w:val="00583081"/>
    <w:rsid w:val="00584201"/>
    <w:rsid w:val="00585307"/>
    <w:rsid w:val="0058541A"/>
    <w:rsid w:val="00585ACF"/>
    <w:rsid w:val="00585EA2"/>
    <w:rsid w:val="005947B7"/>
    <w:rsid w:val="005962EA"/>
    <w:rsid w:val="005964B1"/>
    <w:rsid w:val="005A14E6"/>
    <w:rsid w:val="005A1557"/>
    <w:rsid w:val="005A1CF3"/>
    <w:rsid w:val="005A3CF4"/>
    <w:rsid w:val="005A41D7"/>
    <w:rsid w:val="005A5DCE"/>
    <w:rsid w:val="005A7D46"/>
    <w:rsid w:val="005B0DFA"/>
    <w:rsid w:val="005B2292"/>
    <w:rsid w:val="005B4582"/>
    <w:rsid w:val="005B77AB"/>
    <w:rsid w:val="005C200D"/>
    <w:rsid w:val="005C69CB"/>
    <w:rsid w:val="005D0DB1"/>
    <w:rsid w:val="005D225A"/>
    <w:rsid w:val="005D24B0"/>
    <w:rsid w:val="005D5258"/>
    <w:rsid w:val="005D5F25"/>
    <w:rsid w:val="005D7A91"/>
    <w:rsid w:val="005E42ED"/>
    <w:rsid w:val="005F04D4"/>
    <w:rsid w:val="005F0BB2"/>
    <w:rsid w:val="005F2189"/>
    <w:rsid w:val="005F47AA"/>
    <w:rsid w:val="005F599D"/>
    <w:rsid w:val="005F62EA"/>
    <w:rsid w:val="0060249D"/>
    <w:rsid w:val="00603FD3"/>
    <w:rsid w:val="00606AFD"/>
    <w:rsid w:val="00606E85"/>
    <w:rsid w:val="0061017E"/>
    <w:rsid w:val="00610234"/>
    <w:rsid w:val="006114FF"/>
    <w:rsid w:val="00612446"/>
    <w:rsid w:val="00613FE5"/>
    <w:rsid w:val="0061483D"/>
    <w:rsid w:val="0062189E"/>
    <w:rsid w:val="00621BCF"/>
    <w:rsid w:val="00622C72"/>
    <w:rsid w:val="0062622D"/>
    <w:rsid w:val="00626262"/>
    <w:rsid w:val="006315D4"/>
    <w:rsid w:val="00633606"/>
    <w:rsid w:val="00634886"/>
    <w:rsid w:val="00635B96"/>
    <w:rsid w:val="00636C7B"/>
    <w:rsid w:val="00641CA1"/>
    <w:rsid w:val="0064305A"/>
    <w:rsid w:val="00643696"/>
    <w:rsid w:val="00643C25"/>
    <w:rsid w:val="00644E2B"/>
    <w:rsid w:val="00645B14"/>
    <w:rsid w:val="0064690E"/>
    <w:rsid w:val="00647FDC"/>
    <w:rsid w:val="00650C99"/>
    <w:rsid w:val="00652644"/>
    <w:rsid w:val="0065704C"/>
    <w:rsid w:val="00660328"/>
    <w:rsid w:val="0066044B"/>
    <w:rsid w:val="006609C0"/>
    <w:rsid w:val="0066302D"/>
    <w:rsid w:val="00673B80"/>
    <w:rsid w:val="00677EF5"/>
    <w:rsid w:val="006802CA"/>
    <w:rsid w:val="00680A80"/>
    <w:rsid w:val="00681578"/>
    <w:rsid w:val="006835E5"/>
    <w:rsid w:val="00683C94"/>
    <w:rsid w:val="00684B49"/>
    <w:rsid w:val="00684E2C"/>
    <w:rsid w:val="00690565"/>
    <w:rsid w:val="0069324F"/>
    <w:rsid w:val="00694810"/>
    <w:rsid w:val="006949E3"/>
    <w:rsid w:val="00697986"/>
    <w:rsid w:val="006A2885"/>
    <w:rsid w:val="006A3412"/>
    <w:rsid w:val="006A50AD"/>
    <w:rsid w:val="006A5BF8"/>
    <w:rsid w:val="006B15EA"/>
    <w:rsid w:val="006B32BA"/>
    <w:rsid w:val="006B7F57"/>
    <w:rsid w:val="006C1A3D"/>
    <w:rsid w:val="006C3D53"/>
    <w:rsid w:val="006C5DED"/>
    <w:rsid w:val="006C6DEA"/>
    <w:rsid w:val="006D03C9"/>
    <w:rsid w:val="006E0AD4"/>
    <w:rsid w:val="006E15F0"/>
    <w:rsid w:val="006E27BB"/>
    <w:rsid w:val="006E4F58"/>
    <w:rsid w:val="006F05C8"/>
    <w:rsid w:val="006F2734"/>
    <w:rsid w:val="006F4E3D"/>
    <w:rsid w:val="006F616F"/>
    <w:rsid w:val="006F67C9"/>
    <w:rsid w:val="007005E2"/>
    <w:rsid w:val="007014EB"/>
    <w:rsid w:val="007054EC"/>
    <w:rsid w:val="00706422"/>
    <w:rsid w:val="0070732E"/>
    <w:rsid w:val="0070757E"/>
    <w:rsid w:val="00712D6F"/>
    <w:rsid w:val="007132CB"/>
    <w:rsid w:val="0071574B"/>
    <w:rsid w:val="00715A81"/>
    <w:rsid w:val="0071678E"/>
    <w:rsid w:val="00717F51"/>
    <w:rsid w:val="00721E82"/>
    <w:rsid w:val="007230D3"/>
    <w:rsid w:val="00723EAA"/>
    <w:rsid w:val="007266D0"/>
    <w:rsid w:val="00732369"/>
    <w:rsid w:val="00732534"/>
    <w:rsid w:val="00736262"/>
    <w:rsid w:val="00736EA0"/>
    <w:rsid w:val="00736EA3"/>
    <w:rsid w:val="00737A63"/>
    <w:rsid w:val="00740FFC"/>
    <w:rsid w:val="0074376F"/>
    <w:rsid w:val="00745614"/>
    <w:rsid w:val="00752EF1"/>
    <w:rsid w:val="00753F3A"/>
    <w:rsid w:val="00754C6A"/>
    <w:rsid w:val="00757AC2"/>
    <w:rsid w:val="00757CC7"/>
    <w:rsid w:val="0076376A"/>
    <w:rsid w:val="00764CBA"/>
    <w:rsid w:val="00772C3E"/>
    <w:rsid w:val="00774C02"/>
    <w:rsid w:val="00777777"/>
    <w:rsid w:val="007777A4"/>
    <w:rsid w:val="00780DEA"/>
    <w:rsid w:val="00784032"/>
    <w:rsid w:val="007901D5"/>
    <w:rsid w:val="007924D1"/>
    <w:rsid w:val="007929D2"/>
    <w:rsid w:val="00794861"/>
    <w:rsid w:val="0079590F"/>
    <w:rsid w:val="00797217"/>
    <w:rsid w:val="007A29D2"/>
    <w:rsid w:val="007A3755"/>
    <w:rsid w:val="007A4F55"/>
    <w:rsid w:val="007A70C4"/>
    <w:rsid w:val="007A7178"/>
    <w:rsid w:val="007B0617"/>
    <w:rsid w:val="007B0FE5"/>
    <w:rsid w:val="007B1981"/>
    <w:rsid w:val="007B3628"/>
    <w:rsid w:val="007B5351"/>
    <w:rsid w:val="007C1023"/>
    <w:rsid w:val="007C2E0F"/>
    <w:rsid w:val="007C433C"/>
    <w:rsid w:val="007C6FB4"/>
    <w:rsid w:val="007C783B"/>
    <w:rsid w:val="007D26CE"/>
    <w:rsid w:val="007D2BDA"/>
    <w:rsid w:val="007D565B"/>
    <w:rsid w:val="007D6165"/>
    <w:rsid w:val="007D6166"/>
    <w:rsid w:val="007E34CD"/>
    <w:rsid w:val="007E6A4D"/>
    <w:rsid w:val="007F3AF2"/>
    <w:rsid w:val="008006DA"/>
    <w:rsid w:val="00802115"/>
    <w:rsid w:val="0080564C"/>
    <w:rsid w:val="00807253"/>
    <w:rsid w:val="008100F5"/>
    <w:rsid w:val="008109D3"/>
    <w:rsid w:val="00811B3B"/>
    <w:rsid w:val="00811BD1"/>
    <w:rsid w:val="0081232C"/>
    <w:rsid w:val="00812F83"/>
    <w:rsid w:val="00816736"/>
    <w:rsid w:val="00820D26"/>
    <w:rsid w:val="0082551F"/>
    <w:rsid w:val="0082557F"/>
    <w:rsid w:val="0082761D"/>
    <w:rsid w:val="008276D8"/>
    <w:rsid w:val="00827710"/>
    <w:rsid w:val="008306B0"/>
    <w:rsid w:val="008310E0"/>
    <w:rsid w:val="0083589D"/>
    <w:rsid w:val="00835ADB"/>
    <w:rsid w:val="00837364"/>
    <w:rsid w:val="00840CC2"/>
    <w:rsid w:val="00841DA6"/>
    <w:rsid w:val="008428EF"/>
    <w:rsid w:val="00843672"/>
    <w:rsid w:val="00845912"/>
    <w:rsid w:val="008465E1"/>
    <w:rsid w:val="00847E65"/>
    <w:rsid w:val="00854C36"/>
    <w:rsid w:val="0085738C"/>
    <w:rsid w:val="008573CE"/>
    <w:rsid w:val="008607CF"/>
    <w:rsid w:val="00860853"/>
    <w:rsid w:val="00862216"/>
    <w:rsid w:val="008629F7"/>
    <w:rsid w:val="00863B76"/>
    <w:rsid w:val="00864569"/>
    <w:rsid w:val="00866487"/>
    <w:rsid w:val="00866612"/>
    <w:rsid w:val="00867759"/>
    <w:rsid w:val="00870404"/>
    <w:rsid w:val="008716FE"/>
    <w:rsid w:val="008726D2"/>
    <w:rsid w:val="008748AF"/>
    <w:rsid w:val="00874C8D"/>
    <w:rsid w:val="00874D0D"/>
    <w:rsid w:val="00875661"/>
    <w:rsid w:val="00876DF4"/>
    <w:rsid w:val="00876EBC"/>
    <w:rsid w:val="008771AD"/>
    <w:rsid w:val="0088000F"/>
    <w:rsid w:val="00880E44"/>
    <w:rsid w:val="0088484E"/>
    <w:rsid w:val="00884DBC"/>
    <w:rsid w:val="0088609A"/>
    <w:rsid w:val="008876F7"/>
    <w:rsid w:val="00892614"/>
    <w:rsid w:val="00892F13"/>
    <w:rsid w:val="00894F35"/>
    <w:rsid w:val="00895A1E"/>
    <w:rsid w:val="008A4827"/>
    <w:rsid w:val="008A5AC3"/>
    <w:rsid w:val="008A7A65"/>
    <w:rsid w:val="008B2571"/>
    <w:rsid w:val="008B759B"/>
    <w:rsid w:val="008B7607"/>
    <w:rsid w:val="008B796A"/>
    <w:rsid w:val="008B7D3A"/>
    <w:rsid w:val="008C10F4"/>
    <w:rsid w:val="008C1154"/>
    <w:rsid w:val="008C3EBB"/>
    <w:rsid w:val="008C665A"/>
    <w:rsid w:val="008D0B87"/>
    <w:rsid w:val="008D269E"/>
    <w:rsid w:val="008D4846"/>
    <w:rsid w:val="008D6B2C"/>
    <w:rsid w:val="008D70BF"/>
    <w:rsid w:val="008E0351"/>
    <w:rsid w:val="008E0985"/>
    <w:rsid w:val="008E5722"/>
    <w:rsid w:val="008E744C"/>
    <w:rsid w:val="008F039F"/>
    <w:rsid w:val="008F0919"/>
    <w:rsid w:val="00900B6A"/>
    <w:rsid w:val="00901427"/>
    <w:rsid w:val="00902694"/>
    <w:rsid w:val="0090465E"/>
    <w:rsid w:val="00910749"/>
    <w:rsid w:val="00912A11"/>
    <w:rsid w:val="0091403F"/>
    <w:rsid w:val="00915A3C"/>
    <w:rsid w:val="00921E41"/>
    <w:rsid w:val="009231F0"/>
    <w:rsid w:val="0092477B"/>
    <w:rsid w:val="00930E8B"/>
    <w:rsid w:val="00931090"/>
    <w:rsid w:val="009317E4"/>
    <w:rsid w:val="00933433"/>
    <w:rsid w:val="009337A2"/>
    <w:rsid w:val="00933C55"/>
    <w:rsid w:val="009352C9"/>
    <w:rsid w:val="00936F6D"/>
    <w:rsid w:val="0094137B"/>
    <w:rsid w:val="009428E5"/>
    <w:rsid w:val="00946B1D"/>
    <w:rsid w:val="00946BD1"/>
    <w:rsid w:val="00951B96"/>
    <w:rsid w:val="00954BD1"/>
    <w:rsid w:val="009561AD"/>
    <w:rsid w:val="00956B8B"/>
    <w:rsid w:val="00961D59"/>
    <w:rsid w:val="00961EB5"/>
    <w:rsid w:val="00962166"/>
    <w:rsid w:val="0096526B"/>
    <w:rsid w:val="00965321"/>
    <w:rsid w:val="00967BB2"/>
    <w:rsid w:val="00970CEA"/>
    <w:rsid w:val="00971526"/>
    <w:rsid w:val="00971E2D"/>
    <w:rsid w:val="00973520"/>
    <w:rsid w:val="009758A2"/>
    <w:rsid w:val="009762D6"/>
    <w:rsid w:val="00977224"/>
    <w:rsid w:val="00982128"/>
    <w:rsid w:val="00982763"/>
    <w:rsid w:val="00982B32"/>
    <w:rsid w:val="00983F73"/>
    <w:rsid w:val="00987C36"/>
    <w:rsid w:val="00993292"/>
    <w:rsid w:val="009932B0"/>
    <w:rsid w:val="00994CD2"/>
    <w:rsid w:val="0099520B"/>
    <w:rsid w:val="009977E7"/>
    <w:rsid w:val="00997D5B"/>
    <w:rsid w:val="009A027A"/>
    <w:rsid w:val="009A080B"/>
    <w:rsid w:val="009A172C"/>
    <w:rsid w:val="009A29E3"/>
    <w:rsid w:val="009A41F3"/>
    <w:rsid w:val="009A432C"/>
    <w:rsid w:val="009A69E5"/>
    <w:rsid w:val="009A74BE"/>
    <w:rsid w:val="009B020F"/>
    <w:rsid w:val="009B429F"/>
    <w:rsid w:val="009B605C"/>
    <w:rsid w:val="009B6402"/>
    <w:rsid w:val="009C3ED3"/>
    <w:rsid w:val="009D28AD"/>
    <w:rsid w:val="009D5AF8"/>
    <w:rsid w:val="009D758B"/>
    <w:rsid w:val="009E1A9E"/>
    <w:rsid w:val="009E3D4F"/>
    <w:rsid w:val="009F2EEA"/>
    <w:rsid w:val="009F33DD"/>
    <w:rsid w:val="009F3BC4"/>
    <w:rsid w:val="00A00989"/>
    <w:rsid w:val="00A00B58"/>
    <w:rsid w:val="00A040E5"/>
    <w:rsid w:val="00A0473E"/>
    <w:rsid w:val="00A05A17"/>
    <w:rsid w:val="00A05F82"/>
    <w:rsid w:val="00A12A8E"/>
    <w:rsid w:val="00A14F1D"/>
    <w:rsid w:val="00A24F17"/>
    <w:rsid w:val="00A26AE3"/>
    <w:rsid w:val="00A276D7"/>
    <w:rsid w:val="00A32745"/>
    <w:rsid w:val="00A335BA"/>
    <w:rsid w:val="00A35294"/>
    <w:rsid w:val="00A35AC9"/>
    <w:rsid w:val="00A35D4D"/>
    <w:rsid w:val="00A41344"/>
    <w:rsid w:val="00A43362"/>
    <w:rsid w:val="00A43C75"/>
    <w:rsid w:val="00A466D3"/>
    <w:rsid w:val="00A46D7D"/>
    <w:rsid w:val="00A46F3C"/>
    <w:rsid w:val="00A4712E"/>
    <w:rsid w:val="00A478FB"/>
    <w:rsid w:val="00A53417"/>
    <w:rsid w:val="00A56EA0"/>
    <w:rsid w:val="00A60591"/>
    <w:rsid w:val="00A60786"/>
    <w:rsid w:val="00A61089"/>
    <w:rsid w:val="00A61526"/>
    <w:rsid w:val="00A6170E"/>
    <w:rsid w:val="00A62C19"/>
    <w:rsid w:val="00A64381"/>
    <w:rsid w:val="00A64B94"/>
    <w:rsid w:val="00A67369"/>
    <w:rsid w:val="00A67EE1"/>
    <w:rsid w:val="00A70510"/>
    <w:rsid w:val="00A74D45"/>
    <w:rsid w:val="00A7557E"/>
    <w:rsid w:val="00A771A0"/>
    <w:rsid w:val="00A8055A"/>
    <w:rsid w:val="00A816E6"/>
    <w:rsid w:val="00A82611"/>
    <w:rsid w:val="00A82EE3"/>
    <w:rsid w:val="00A82F63"/>
    <w:rsid w:val="00A83567"/>
    <w:rsid w:val="00A84B92"/>
    <w:rsid w:val="00A86333"/>
    <w:rsid w:val="00A90180"/>
    <w:rsid w:val="00A945E0"/>
    <w:rsid w:val="00A96850"/>
    <w:rsid w:val="00A97F20"/>
    <w:rsid w:val="00AA1608"/>
    <w:rsid w:val="00AA2FF8"/>
    <w:rsid w:val="00AA416E"/>
    <w:rsid w:val="00AA61DE"/>
    <w:rsid w:val="00AA63E2"/>
    <w:rsid w:val="00AA64AD"/>
    <w:rsid w:val="00AA6A3B"/>
    <w:rsid w:val="00AA77CE"/>
    <w:rsid w:val="00AA797E"/>
    <w:rsid w:val="00AB031E"/>
    <w:rsid w:val="00AB159F"/>
    <w:rsid w:val="00AB4349"/>
    <w:rsid w:val="00AB5AE0"/>
    <w:rsid w:val="00AB5BFA"/>
    <w:rsid w:val="00AB745D"/>
    <w:rsid w:val="00AC166D"/>
    <w:rsid w:val="00AC171C"/>
    <w:rsid w:val="00AC3775"/>
    <w:rsid w:val="00AC4FF0"/>
    <w:rsid w:val="00AC55A8"/>
    <w:rsid w:val="00AC5E11"/>
    <w:rsid w:val="00AC6597"/>
    <w:rsid w:val="00AC751B"/>
    <w:rsid w:val="00AC7CA1"/>
    <w:rsid w:val="00AD0030"/>
    <w:rsid w:val="00AD0AD6"/>
    <w:rsid w:val="00AD10F2"/>
    <w:rsid w:val="00AD4582"/>
    <w:rsid w:val="00AD4946"/>
    <w:rsid w:val="00AD55F7"/>
    <w:rsid w:val="00AD6A83"/>
    <w:rsid w:val="00AD7592"/>
    <w:rsid w:val="00AE4A72"/>
    <w:rsid w:val="00AE6197"/>
    <w:rsid w:val="00AF02F4"/>
    <w:rsid w:val="00AF3181"/>
    <w:rsid w:val="00AF5047"/>
    <w:rsid w:val="00AF56E5"/>
    <w:rsid w:val="00AF5D97"/>
    <w:rsid w:val="00AF617D"/>
    <w:rsid w:val="00AF6EDB"/>
    <w:rsid w:val="00B0037E"/>
    <w:rsid w:val="00B03808"/>
    <w:rsid w:val="00B04661"/>
    <w:rsid w:val="00B05A35"/>
    <w:rsid w:val="00B06B33"/>
    <w:rsid w:val="00B0705A"/>
    <w:rsid w:val="00B07143"/>
    <w:rsid w:val="00B115AF"/>
    <w:rsid w:val="00B1288D"/>
    <w:rsid w:val="00B15B95"/>
    <w:rsid w:val="00B16B2D"/>
    <w:rsid w:val="00B17229"/>
    <w:rsid w:val="00B20F48"/>
    <w:rsid w:val="00B21CB1"/>
    <w:rsid w:val="00B21D46"/>
    <w:rsid w:val="00B27E71"/>
    <w:rsid w:val="00B3084E"/>
    <w:rsid w:val="00B308EB"/>
    <w:rsid w:val="00B30B30"/>
    <w:rsid w:val="00B31AA0"/>
    <w:rsid w:val="00B32E08"/>
    <w:rsid w:val="00B34A2F"/>
    <w:rsid w:val="00B34DFB"/>
    <w:rsid w:val="00B3590B"/>
    <w:rsid w:val="00B35C07"/>
    <w:rsid w:val="00B36FC4"/>
    <w:rsid w:val="00B40125"/>
    <w:rsid w:val="00B41532"/>
    <w:rsid w:val="00B424F2"/>
    <w:rsid w:val="00B46948"/>
    <w:rsid w:val="00B5052B"/>
    <w:rsid w:val="00B51B3A"/>
    <w:rsid w:val="00B52D9F"/>
    <w:rsid w:val="00B53AB0"/>
    <w:rsid w:val="00B555F2"/>
    <w:rsid w:val="00B556C2"/>
    <w:rsid w:val="00B5702E"/>
    <w:rsid w:val="00B601D8"/>
    <w:rsid w:val="00B6024C"/>
    <w:rsid w:val="00B62B83"/>
    <w:rsid w:val="00B64DF1"/>
    <w:rsid w:val="00B66BFD"/>
    <w:rsid w:val="00B674F5"/>
    <w:rsid w:val="00B77E83"/>
    <w:rsid w:val="00B807FB"/>
    <w:rsid w:val="00B80C68"/>
    <w:rsid w:val="00B82BC8"/>
    <w:rsid w:val="00B83AFF"/>
    <w:rsid w:val="00B87FC8"/>
    <w:rsid w:val="00B9331B"/>
    <w:rsid w:val="00B955A1"/>
    <w:rsid w:val="00B95819"/>
    <w:rsid w:val="00B97B5C"/>
    <w:rsid w:val="00BA0998"/>
    <w:rsid w:val="00BA3861"/>
    <w:rsid w:val="00BA7367"/>
    <w:rsid w:val="00BB2593"/>
    <w:rsid w:val="00BB5746"/>
    <w:rsid w:val="00BC0039"/>
    <w:rsid w:val="00BC2D42"/>
    <w:rsid w:val="00BD0D30"/>
    <w:rsid w:val="00BD37A4"/>
    <w:rsid w:val="00BD3BBA"/>
    <w:rsid w:val="00BD5051"/>
    <w:rsid w:val="00BE623D"/>
    <w:rsid w:val="00BE6837"/>
    <w:rsid w:val="00BF31AC"/>
    <w:rsid w:val="00BF3486"/>
    <w:rsid w:val="00BF585A"/>
    <w:rsid w:val="00C0006B"/>
    <w:rsid w:val="00C02272"/>
    <w:rsid w:val="00C037A9"/>
    <w:rsid w:val="00C04585"/>
    <w:rsid w:val="00C10086"/>
    <w:rsid w:val="00C10947"/>
    <w:rsid w:val="00C1356A"/>
    <w:rsid w:val="00C14CF7"/>
    <w:rsid w:val="00C16B76"/>
    <w:rsid w:val="00C212F8"/>
    <w:rsid w:val="00C235B3"/>
    <w:rsid w:val="00C248B1"/>
    <w:rsid w:val="00C31336"/>
    <w:rsid w:val="00C321A5"/>
    <w:rsid w:val="00C32F07"/>
    <w:rsid w:val="00C34EC9"/>
    <w:rsid w:val="00C415FE"/>
    <w:rsid w:val="00C41912"/>
    <w:rsid w:val="00C43CFA"/>
    <w:rsid w:val="00C50EA6"/>
    <w:rsid w:val="00C51236"/>
    <w:rsid w:val="00C52049"/>
    <w:rsid w:val="00C522E4"/>
    <w:rsid w:val="00C565C3"/>
    <w:rsid w:val="00C61F22"/>
    <w:rsid w:val="00C626EF"/>
    <w:rsid w:val="00C62E26"/>
    <w:rsid w:val="00C637DF"/>
    <w:rsid w:val="00C63CDD"/>
    <w:rsid w:val="00C63DD2"/>
    <w:rsid w:val="00C649EF"/>
    <w:rsid w:val="00C6641B"/>
    <w:rsid w:val="00C703B5"/>
    <w:rsid w:val="00C72280"/>
    <w:rsid w:val="00C72520"/>
    <w:rsid w:val="00C75FB8"/>
    <w:rsid w:val="00C761D9"/>
    <w:rsid w:val="00C767C2"/>
    <w:rsid w:val="00C80EE5"/>
    <w:rsid w:val="00C817A9"/>
    <w:rsid w:val="00C86C70"/>
    <w:rsid w:val="00C901AD"/>
    <w:rsid w:val="00C907BC"/>
    <w:rsid w:val="00C9135C"/>
    <w:rsid w:val="00C91A63"/>
    <w:rsid w:val="00C96707"/>
    <w:rsid w:val="00CA1E72"/>
    <w:rsid w:val="00CA2A1D"/>
    <w:rsid w:val="00CA3E3C"/>
    <w:rsid w:val="00CA4CD5"/>
    <w:rsid w:val="00CA6B23"/>
    <w:rsid w:val="00CB005B"/>
    <w:rsid w:val="00CB2CBF"/>
    <w:rsid w:val="00CB4C89"/>
    <w:rsid w:val="00CB4FEF"/>
    <w:rsid w:val="00CB630E"/>
    <w:rsid w:val="00CB6E43"/>
    <w:rsid w:val="00CB7CE3"/>
    <w:rsid w:val="00CB7F5D"/>
    <w:rsid w:val="00CC1BCF"/>
    <w:rsid w:val="00CC3946"/>
    <w:rsid w:val="00CC3FD1"/>
    <w:rsid w:val="00CC4D4B"/>
    <w:rsid w:val="00CC5DEE"/>
    <w:rsid w:val="00CC7DB8"/>
    <w:rsid w:val="00CD0355"/>
    <w:rsid w:val="00CD0C1F"/>
    <w:rsid w:val="00CD2F26"/>
    <w:rsid w:val="00CD3413"/>
    <w:rsid w:val="00CD38FE"/>
    <w:rsid w:val="00CD6DFF"/>
    <w:rsid w:val="00CD6F32"/>
    <w:rsid w:val="00CE11B3"/>
    <w:rsid w:val="00CE18BC"/>
    <w:rsid w:val="00CE34F9"/>
    <w:rsid w:val="00CE4190"/>
    <w:rsid w:val="00CE422A"/>
    <w:rsid w:val="00CE42E4"/>
    <w:rsid w:val="00CE5CD9"/>
    <w:rsid w:val="00CE6CBB"/>
    <w:rsid w:val="00CF31A2"/>
    <w:rsid w:val="00CF5927"/>
    <w:rsid w:val="00CF6378"/>
    <w:rsid w:val="00CF6A73"/>
    <w:rsid w:val="00D001F5"/>
    <w:rsid w:val="00D03956"/>
    <w:rsid w:val="00D05F1B"/>
    <w:rsid w:val="00D0677F"/>
    <w:rsid w:val="00D06F45"/>
    <w:rsid w:val="00D07FA2"/>
    <w:rsid w:val="00D10109"/>
    <w:rsid w:val="00D10F52"/>
    <w:rsid w:val="00D14209"/>
    <w:rsid w:val="00D14F91"/>
    <w:rsid w:val="00D155F4"/>
    <w:rsid w:val="00D16876"/>
    <w:rsid w:val="00D171A2"/>
    <w:rsid w:val="00D2042C"/>
    <w:rsid w:val="00D20564"/>
    <w:rsid w:val="00D21E63"/>
    <w:rsid w:val="00D2339D"/>
    <w:rsid w:val="00D245C9"/>
    <w:rsid w:val="00D26F70"/>
    <w:rsid w:val="00D31A03"/>
    <w:rsid w:val="00D3521E"/>
    <w:rsid w:val="00D43B9E"/>
    <w:rsid w:val="00D43BE4"/>
    <w:rsid w:val="00D465EB"/>
    <w:rsid w:val="00D46CE7"/>
    <w:rsid w:val="00D53104"/>
    <w:rsid w:val="00D55D20"/>
    <w:rsid w:val="00D565AD"/>
    <w:rsid w:val="00D654ED"/>
    <w:rsid w:val="00D77631"/>
    <w:rsid w:val="00D826D6"/>
    <w:rsid w:val="00D84933"/>
    <w:rsid w:val="00D84E42"/>
    <w:rsid w:val="00D85149"/>
    <w:rsid w:val="00D8775F"/>
    <w:rsid w:val="00D93463"/>
    <w:rsid w:val="00D94913"/>
    <w:rsid w:val="00DA035B"/>
    <w:rsid w:val="00DA193D"/>
    <w:rsid w:val="00DA1EA3"/>
    <w:rsid w:val="00DA24BB"/>
    <w:rsid w:val="00DA359B"/>
    <w:rsid w:val="00DA430A"/>
    <w:rsid w:val="00DA4A40"/>
    <w:rsid w:val="00DB2959"/>
    <w:rsid w:val="00DB29C0"/>
    <w:rsid w:val="00DB35D8"/>
    <w:rsid w:val="00DB3E8E"/>
    <w:rsid w:val="00DC094F"/>
    <w:rsid w:val="00DC276A"/>
    <w:rsid w:val="00DC619A"/>
    <w:rsid w:val="00DC732A"/>
    <w:rsid w:val="00DC73C1"/>
    <w:rsid w:val="00DC76EC"/>
    <w:rsid w:val="00DD03B7"/>
    <w:rsid w:val="00DD4FD8"/>
    <w:rsid w:val="00DD523F"/>
    <w:rsid w:val="00DD7536"/>
    <w:rsid w:val="00DE11EC"/>
    <w:rsid w:val="00DE2824"/>
    <w:rsid w:val="00DE4DA4"/>
    <w:rsid w:val="00DE5DF4"/>
    <w:rsid w:val="00DE7614"/>
    <w:rsid w:val="00DE7CAC"/>
    <w:rsid w:val="00DF1054"/>
    <w:rsid w:val="00DF631B"/>
    <w:rsid w:val="00DF65DE"/>
    <w:rsid w:val="00DF796C"/>
    <w:rsid w:val="00E006CF"/>
    <w:rsid w:val="00E0399B"/>
    <w:rsid w:val="00E06E1F"/>
    <w:rsid w:val="00E0702E"/>
    <w:rsid w:val="00E07591"/>
    <w:rsid w:val="00E10359"/>
    <w:rsid w:val="00E1084D"/>
    <w:rsid w:val="00E11AD3"/>
    <w:rsid w:val="00E11ADC"/>
    <w:rsid w:val="00E11E89"/>
    <w:rsid w:val="00E14C4A"/>
    <w:rsid w:val="00E1780E"/>
    <w:rsid w:val="00E20CAA"/>
    <w:rsid w:val="00E2142F"/>
    <w:rsid w:val="00E219F3"/>
    <w:rsid w:val="00E21E4E"/>
    <w:rsid w:val="00E25A59"/>
    <w:rsid w:val="00E26058"/>
    <w:rsid w:val="00E27F2B"/>
    <w:rsid w:val="00E30ECC"/>
    <w:rsid w:val="00E32CBA"/>
    <w:rsid w:val="00E34019"/>
    <w:rsid w:val="00E35C86"/>
    <w:rsid w:val="00E4141B"/>
    <w:rsid w:val="00E43E37"/>
    <w:rsid w:val="00E449A4"/>
    <w:rsid w:val="00E4503E"/>
    <w:rsid w:val="00E46F87"/>
    <w:rsid w:val="00E477E5"/>
    <w:rsid w:val="00E51134"/>
    <w:rsid w:val="00E526EE"/>
    <w:rsid w:val="00E52B42"/>
    <w:rsid w:val="00E537FF"/>
    <w:rsid w:val="00E546AD"/>
    <w:rsid w:val="00E60EA5"/>
    <w:rsid w:val="00E634D5"/>
    <w:rsid w:val="00E65B38"/>
    <w:rsid w:val="00E70316"/>
    <w:rsid w:val="00E7041A"/>
    <w:rsid w:val="00E75723"/>
    <w:rsid w:val="00E76731"/>
    <w:rsid w:val="00E770D3"/>
    <w:rsid w:val="00E77259"/>
    <w:rsid w:val="00E81820"/>
    <w:rsid w:val="00E92CCB"/>
    <w:rsid w:val="00E932D6"/>
    <w:rsid w:val="00E94C89"/>
    <w:rsid w:val="00E94FA7"/>
    <w:rsid w:val="00E95B4C"/>
    <w:rsid w:val="00E96809"/>
    <w:rsid w:val="00E9710E"/>
    <w:rsid w:val="00EA2403"/>
    <w:rsid w:val="00EA276B"/>
    <w:rsid w:val="00EA306E"/>
    <w:rsid w:val="00EA44EA"/>
    <w:rsid w:val="00EA45E6"/>
    <w:rsid w:val="00EA70AC"/>
    <w:rsid w:val="00EB3C3F"/>
    <w:rsid w:val="00EB4924"/>
    <w:rsid w:val="00EB55AD"/>
    <w:rsid w:val="00EB6C25"/>
    <w:rsid w:val="00EB6CC6"/>
    <w:rsid w:val="00EB7D12"/>
    <w:rsid w:val="00EC0E2C"/>
    <w:rsid w:val="00EC0F7A"/>
    <w:rsid w:val="00EC1019"/>
    <w:rsid w:val="00EC2489"/>
    <w:rsid w:val="00EC69C2"/>
    <w:rsid w:val="00ED1C5B"/>
    <w:rsid w:val="00ED23E1"/>
    <w:rsid w:val="00ED4BF6"/>
    <w:rsid w:val="00ED57E6"/>
    <w:rsid w:val="00ED6957"/>
    <w:rsid w:val="00EE0485"/>
    <w:rsid w:val="00EE04A9"/>
    <w:rsid w:val="00EE5E99"/>
    <w:rsid w:val="00EF2039"/>
    <w:rsid w:val="00EF3702"/>
    <w:rsid w:val="00EF4863"/>
    <w:rsid w:val="00EF4F12"/>
    <w:rsid w:val="00EF5FC1"/>
    <w:rsid w:val="00EF616C"/>
    <w:rsid w:val="00EF6A0A"/>
    <w:rsid w:val="00F0226A"/>
    <w:rsid w:val="00F03F2C"/>
    <w:rsid w:val="00F0425E"/>
    <w:rsid w:val="00F059F0"/>
    <w:rsid w:val="00F10540"/>
    <w:rsid w:val="00F15196"/>
    <w:rsid w:val="00F178A0"/>
    <w:rsid w:val="00F20C07"/>
    <w:rsid w:val="00F210D6"/>
    <w:rsid w:val="00F22702"/>
    <w:rsid w:val="00F24518"/>
    <w:rsid w:val="00F2521A"/>
    <w:rsid w:val="00F257D3"/>
    <w:rsid w:val="00F25D27"/>
    <w:rsid w:val="00F27068"/>
    <w:rsid w:val="00F31529"/>
    <w:rsid w:val="00F3211F"/>
    <w:rsid w:val="00F34201"/>
    <w:rsid w:val="00F34A6B"/>
    <w:rsid w:val="00F3591B"/>
    <w:rsid w:val="00F36D09"/>
    <w:rsid w:val="00F41703"/>
    <w:rsid w:val="00F42880"/>
    <w:rsid w:val="00F44924"/>
    <w:rsid w:val="00F51C70"/>
    <w:rsid w:val="00F52B13"/>
    <w:rsid w:val="00F52C3F"/>
    <w:rsid w:val="00F54414"/>
    <w:rsid w:val="00F55324"/>
    <w:rsid w:val="00F55527"/>
    <w:rsid w:val="00F56062"/>
    <w:rsid w:val="00F6028D"/>
    <w:rsid w:val="00F60C4D"/>
    <w:rsid w:val="00F64DBF"/>
    <w:rsid w:val="00F664FE"/>
    <w:rsid w:val="00F70643"/>
    <w:rsid w:val="00F716E4"/>
    <w:rsid w:val="00F72BC1"/>
    <w:rsid w:val="00F72FF0"/>
    <w:rsid w:val="00F76ABA"/>
    <w:rsid w:val="00F76C21"/>
    <w:rsid w:val="00F777EA"/>
    <w:rsid w:val="00F82C3C"/>
    <w:rsid w:val="00F82CBB"/>
    <w:rsid w:val="00F82DDC"/>
    <w:rsid w:val="00F82DF6"/>
    <w:rsid w:val="00F84865"/>
    <w:rsid w:val="00F90A05"/>
    <w:rsid w:val="00F91891"/>
    <w:rsid w:val="00F954DA"/>
    <w:rsid w:val="00F955AD"/>
    <w:rsid w:val="00F955E8"/>
    <w:rsid w:val="00F97E0D"/>
    <w:rsid w:val="00FA285D"/>
    <w:rsid w:val="00FA606C"/>
    <w:rsid w:val="00FA7D4A"/>
    <w:rsid w:val="00FB1E4B"/>
    <w:rsid w:val="00FB781E"/>
    <w:rsid w:val="00FC2083"/>
    <w:rsid w:val="00FC6304"/>
    <w:rsid w:val="00FC6A93"/>
    <w:rsid w:val="00FD1A37"/>
    <w:rsid w:val="00FD38FF"/>
    <w:rsid w:val="00FD393A"/>
    <w:rsid w:val="00FD52EC"/>
    <w:rsid w:val="00FD6F4A"/>
    <w:rsid w:val="00FD74BB"/>
    <w:rsid w:val="00FD799D"/>
    <w:rsid w:val="00FE00A2"/>
    <w:rsid w:val="00FE1953"/>
    <w:rsid w:val="00FE1965"/>
    <w:rsid w:val="00FE5986"/>
    <w:rsid w:val="00FE7E6B"/>
    <w:rsid w:val="00FF098C"/>
    <w:rsid w:val="00FF0C52"/>
    <w:rsid w:val="00FF348E"/>
    <w:rsid w:val="00FF4F71"/>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D333B90"/>
  <w15:docId w15:val="{9B1A1450-1698-4BAD-A091-546C0334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61D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1D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564"/>
  </w:style>
  <w:style w:type="paragraph" w:styleId="Footer">
    <w:name w:val="footer"/>
    <w:basedOn w:val="Normal"/>
    <w:link w:val="FooterChar"/>
    <w:uiPriority w:val="99"/>
    <w:unhideWhenUsed/>
    <w:rsid w:val="00D20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564"/>
  </w:style>
  <w:style w:type="paragraph" w:styleId="BalloonText">
    <w:name w:val="Balloon Text"/>
    <w:basedOn w:val="Normal"/>
    <w:link w:val="BalloonTextChar"/>
    <w:uiPriority w:val="99"/>
    <w:semiHidden/>
    <w:unhideWhenUsed/>
    <w:rsid w:val="00D20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564"/>
    <w:rPr>
      <w:rFonts w:ascii="Tahoma" w:hAnsi="Tahoma" w:cs="Tahoma"/>
      <w:sz w:val="16"/>
      <w:szCs w:val="16"/>
    </w:rPr>
  </w:style>
  <w:style w:type="paragraph" w:styleId="ListParagraph">
    <w:name w:val="List Paragraph"/>
    <w:basedOn w:val="Normal"/>
    <w:uiPriority w:val="34"/>
    <w:qFormat/>
    <w:rsid w:val="0030483E"/>
    <w:pPr>
      <w:ind w:left="720"/>
      <w:contextualSpacing/>
    </w:pPr>
  </w:style>
  <w:style w:type="character" w:styleId="LineNumber">
    <w:name w:val="line number"/>
    <w:basedOn w:val="DefaultParagraphFont"/>
    <w:uiPriority w:val="99"/>
    <w:semiHidden/>
    <w:unhideWhenUsed/>
    <w:rsid w:val="00EF2039"/>
  </w:style>
  <w:style w:type="character" w:styleId="IntenseReference">
    <w:name w:val="Intense Reference"/>
    <w:basedOn w:val="DefaultParagraphFont"/>
    <w:uiPriority w:val="32"/>
    <w:qFormat/>
    <w:rsid w:val="00884DBC"/>
    <w:rPr>
      <w:b/>
      <w:bCs/>
      <w:smallCaps/>
      <w:color w:val="C0504D" w:themeColor="accent2"/>
      <w:spacing w:val="5"/>
      <w:u w:val="single"/>
    </w:rPr>
  </w:style>
  <w:style w:type="character" w:styleId="BookTitle">
    <w:name w:val="Book Title"/>
    <w:basedOn w:val="DefaultParagraphFont"/>
    <w:uiPriority w:val="33"/>
    <w:qFormat/>
    <w:rsid w:val="00884DBC"/>
    <w:rPr>
      <w:b/>
      <w:bCs/>
      <w:smallCaps/>
      <w:spacing w:val="5"/>
    </w:rPr>
  </w:style>
  <w:style w:type="character" w:styleId="SubtleReference">
    <w:name w:val="Subtle Reference"/>
    <w:basedOn w:val="DefaultParagraphFont"/>
    <w:uiPriority w:val="31"/>
    <w:qFormat/>
    <w:rsid w:val="00884DBC"/>
    <w:rPr>
      <w:smallCaps/>
      <w:color w:val="C0504D" w:themeColor="accent2"/>
      <w:u w:val="single"/>
    </w:rPr>
  </w:style>
  <w:style w:type="paragraph" w:styleId="IntenseQuote">
    <w:name w:val="Intense Quote"/>
    <w:aliases w:val="Kris' COS Style"/>
    <w:basedOn w:val="Normal"/>
    <w:next w:val="Normal"/>
    <w:link w:val="IntenseQuoteChar"/>
    <w:autoRedefine/>
    <w:uiPriority w:val="30"/>
    <w:qFormat/>
    <w:rsid w:val="008C10F4"/>
    <w:pPr>
      <w:pBdr>
        <w:top w:val="single" w:sz="4" w:space="1" w:color="C0504D" w:themeColor="accent2"/>
        <w:right w:val="single" w:sz="4" w:space="4" w:color="C0504D" w:themeColor="accent2"/>
      </w:pBdr>
      <w:shd w:val="clear" w:color="auto" w:fill="C0504D" w:themeFill="accent2"/>
      <w:spacing w:before="200" w:after="280" w:line="240" w:lineRule="auto"/>
      <w:ind w:right="936"/>
    </w:pPr>
    <w:rPr>
      <w:b/>
      <w:bCs/>
      <w:iCs/>
      <w:color w:val="FFFFFF" w:themeColor="background1"/>
      <w:sz w:val="40"/>
    </w:rPr>
  </w:style>
  <w:style w:type="character" w:customStyle="1" w:styleId="IntenseQuoteChar">
    <w:name w:val="Intense Quote Char"/>
    <w:aliases w:val="Kris' COS Style Char"/>
    <w:basedOn w:val="DefaultParagraphFont"/>
    <w:link w:val="IntenseQuote"/>
    <w:uiPriority w:val="30"/>
    <w:rsid w:val="008C10F4"/>
    <w:rPr>
      <w:b/>
      <w:bCs/>
      <w:iCs/>
      <w:color w:val="FFFFFF" w:themeColor="background1"/>
      <w:sz w:val="40"/>
      <w:shd w:val="clear" w:color="auto" w:fill="C0504D" w:themeFill="accent2"/>
    </w:rPr>
  </w:style>
  <w:style w:type="paragraph" w:styleId="Quote">
    <w:name w:val="Quote"/>
    <w:aliases w:val="COS Sub Header"/>
    <w:basedOn w:val="Normal"/>
    <w:next w:val="Normal"/>
    <w:link w:val="QuoteChar"/>
    <w:uiPriority w:val="29"/>
    <w:qFormat/>
    <w:rsid w:val="00884DBC"/>
    <w:pPr>
      <w:pBdr>
        <w:bottom w:val="single" w:sz="18" w:space="1" w:color="C0504D" w:themeColor="accent2"/>
      </w:pBdr>
    </w:pPr>
    <w:rPr>
      <w:b/>
      <w:iCs/>
      <w:color w:val="000000" w:themeColor="text1"/>
      <w:sz w:val="28"/>
    </w:rPr>
  </w:style>
  <w:style w:type="character" w:customStyle="1" w:styleId="QuoteChar">
    <w:name w:val="Quote Char"/>
    <w:aliases w:val="COS Sub Header Char"/>
    <w:basedOn w:val="DefaultParagraphFont"/>
    <w:link w:val="Quote"/>
    <w:uiPriority w:val="29"/>
    <w:rsid w:val="00884DBC"/>
    <w:rPr>
      <w:b/>
      <w:iCs/>
      <w:color w:val="000000" w:themeColor="text1"/>
      <w:sz w:val="28"/>
    </w:rPr>
  </w:style>
  <w:style w:type="character" w:customStyle="1" w:styleId="Heading1Char">
    <w:name w:val="Heading 1 Char"/>
    <w:basedOn w:val="DefaultParagraphFont"/>
    <w:link w:val="Heading1"/>
    <w:uiPriority w:val="9"/>
    <w:rsid w:val="00961D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61D59"/>
    <w:pPr>
      <w:outlineLvl w:val="9"/>
    </w:pPr>
    <w:rPr>
      <w:lang w:eastAsia="ja-JP"/>
    </w:rPr>
  </w:style>
  <w:style w:type="character" w:customStyle="1" w:styleId="Heading2Char">
    <w:name w:val="Heading 2 Char"/>
    <w:basedOn w:val="DefaultParagraphFont"/>
    <w:link w:val="Heading2"/>
    <w:uiPriority w:val="9"/>
    <w:semiHidden/>
    <w:rsid w:val="00961D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61D59"/>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961D59"/>
    <w:pPr>
      <w:spacing w:after="100"/>
    </w:pPr>
  </w:style>
  <w:style w:type="paragraph" w:styleId="TOC2">
    <w:name w:val="toc 2"/>
    <w:basedOn w:val="Normal"/>
    <w:next w:val="Normal"/>
    <w:autoRedefine/>
    <w:uiPriority w:val="39"/>
    <w:unhideWhenUsed/>
    <w:rsid w:val="00961D59"/>
    <w:pPr>
      <w:spacing w:after="100"/>
      <w:ind w:left="220"/>
    </w:pPr>
  </w:style>
  <w:style w:type="character" w:styleId="Hyperlink">
    <w:name w:val="Hyperlink"/>
    <w:basedOn w:val="DefaultParagraphFont"/>
    <w:uiPriority w:val="99"/>
    <w:unhideWhenUsed/>
    <w:rsid w:val="00E34019"/>
    <w:rPr>
      <w:color w:val="0000FF" w:themeColor="hyperlink"/>
      <w:u w:val="single"/>
    </w:rPr>
  </w:style>
  <w:style w:type="character" w:styleId="FollowedHyperlink">
    <w:name w:val="FollowedHyperlink"/>
    <w:basedOn w:val="DefaultParagraphFont"/>
    <w:uiPriority w:val="99"/>
    <w:semiHidden/>
    <w:unhideWhenUsed/>
    <w:rsid w:val="001741FA"/>
    <w:rPr>
      <w:color w:val="800080" w:themeColor="followedHyperlink"/>
      <w:u w:val="single"/>
    </w:rPr>
  </w:style>
  <w:style w:type="paragraph" w:styleId="Caption">
    <w:name w:val="caption"/>
    <w:basedOn w:val="Normal"/>
    <w:next w:val="Normal"/>
    <w:uiPriority w:val="35"/>
    <w:unhideWhenUsed/>
    <w:qFormat/>
    <w:rsid w:val="00D0677F"/>
    <w:pPr>
      <w:spacing w:line="240" w:lineRule="auto"/>
    </w:pPr>
    <w:rPr>
      <w:b/>
      <w:bCs/>
      <w:color w:val="4F81BD" w:themeColor="accent1"/>
      <w:sz w:val="18"/>
      <w:szCs w:val="18"/>
    </w:rPr>
  </w:style>
  <w:style w:type="paragraph" w:styleId="NormalWeb">
    <w:name w:val="Normal (Web)"/>
    <w:basedOn w:val="Normal"/>
    <w:uiPriority w:val="99"/>
    <w:unhideWhenUsed/>
    <w:rsid w:val="00FE1953"/>
    <w:pPr>
      <w:spacing w:before="100" w:beforeAutospacing="1" w:after="100" w:afterAutospacing="1" w:line="240" w:lineRule="auto"/>
    </w:pPr>
    <w:rPr>
      <w:rFonts w:ascii="Arial Unicode MS" w:eastAsia="Arial Unicode MS" w:hAnsi="Arial Unicode MS" w:cs="Arial Unicode MS"/>
      <w:sz w:val="24"/>
      <w:szCs w:val="24"/>
    </w:rPr>
  </w:style>
  <w:style w:type="table" w:styleId="TableGrid">
    <w:name w:val="Table Grid"/>
    <w:basedOn w:val="TableNormal"/>
    <w:uiPriority w:val="59"/>
    <w:rsid w:val="00C63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15D4"/>
    <w:pPr>
      <w:spacing w:after="0" w:line="240" w:lineRule="auto"/>
    </w:pPr>
  </w:style>
  <w:style w:type="paragraph" w:customStyle="1" w:styleId="Default">
    <w:name w:val="Default"/>
    <w:rsid w:val="00580528"/>
    <w:pPr>
      <w:autoSpaceDE w:val="0"/>
      <w:autoSpaceDN w:val="0"/>
      <w:adjustRightInd w:val="0"/>
      <w:spacing w:after="0" w:line="240" w:lineRule="auto"/>
    </w:pPr>
    <w:rPr>
      <w:rFonts w:ascii="Times New Roman" w:hAnsi="Times New Roman" w:cs="Times New Roman"/>
      <w:color w:val="000000"/>
      <w:sz w:val="24"/>
      <w:szCs w:val="24"/>
    </w:rPr>
  </w:style>
  <w:style w:type="paragraph" w:styleId="TOC3">
    <w:name w:val="toc 3"/>
    <w:basedOn w:val="Normal"/>
    <w:next w:val="Normal"/>
    <w:autoRedefine/>
    <w:uiPriority w:val="39"/>
    <w:unhideWhenUsed/>
    <w:rsid w:val="005C200D"/>
    <w:pPr>
      <w:spacing w:after="100" w:line="259" w:lineRule="auto"/>
      <w:ind w:left="440"/>
    </w:pPr>
    <w:rPr>
      <w:rFonts w:eastAsiaTheme="minorEastAsia"/>
    </w:rPr>
  </w:style>
  <w:style w:type="paragraph" w:styleId="TOC4">
    <w:name w:val="toc 4"/>
    <w:basedOn w:val="Normal"/>
    <w:next w:val="Normal"/>
    <w:autoRedefine/>
    <w:uiPriority w:val="39"/>
    <w:unhideWhenUsed/>
    <w:rsid w:val="005C200D"/>
    <w:pPr>
      <w:spacing w:after="100" w:line="259" w:lineRule="auto"/>
      <w:ind w:left="660"/>
    </w:pPr>
    <w:rPr>
      <w:rFonts w:eastAsiaTheme="minorEastAsia"/>
    </w:rPr>
  </w:style>
  <w:style w:type="paragraph" w:styleId="TOC5">
    <w:name w:val="toc 5"/>
    <w:basedOn w:val="Normal"/>
    <w:next w:val="Normal"/>
    <w:autoRedefine/>
    <w:uiPriority w:val="39"/>
    <w:unhideWhenUsed/>
    <w:rsid w:val="005C200D"/>
    <w:pPr>
      <w:spacing w:after="100" w:line="259" w:lineRule="auto"/>
      <w:ind w:left="880"/>
    </w:pPr>
    <w:rPr>
      <w:rFonts w:eastAsiaTheme="minorEastAsia"/>
    </w:rPr>
  </w:style>
  <w:style w:type="paragraph" w:styleId="TOC6">
    <w:name w:val="toc 6"/>
    <w:basedOn w:val="Normal"/>
    <w:next w:val="Normal"/>
    <w:autoRedefine/>
    <w:uiPriority w:val="39"/>
    <w:unhideWhenUsed/>
    <w:rsid w:val="005C200D"/>
    <w:pPr>
      <w:spacing w:after="100" w:line="259" w:lineRule="auto"/>
      <w:ind w:left="1100"/>
    </w:pPr>
    <w:rPr>
      <w:rFonts w:eastAsiaTheme="minorEastAsia"/>
    </w:rPr>
  </w:style>
  <w:style w:type="paragraph" w:styleId="TOC7">
    <w:name w:val="toc 7"/>
    <w:basedOn w:val="Normal"/>
    <w:next w:val="Normal"/>
    <w:autoRedefine/>
    <w:uiPriority w:val="39"/>
    <w:unhideWhenUsed/>
    <w:rsid w:val="005C200D"/>
    <w:pPr>
      <w:spacing w:after="100" w:line="259" w:lineRule="auto"/>
      <w:ind w:left="1320"/>
    </w:pPr>
    <w:rPr>
      <w:rFonts w:eastAsiaTheme="minorEastAsia"/>
    </w:rPr>
  </w:style>
  <w:style w:type="paragraph" w:styleId="TOC8">
    <w:name w:val="toc 8"/>
    <w:basedOn w:val="Normal"/>
    <w:next w:val="Normal"/>
    <w:autoRedefine/>
    <w:uiPriority w:val="39"/>
    <w:unhideWhenUsed/>
    <w:rsid w:val="005C200D"/>
    <w:pPr>
      <w:spacing w:after="100" w:line="259" w:lineRule="auto"/>
      <w:ind w:left="1540"/>
    </w:pPr>
    <w:rPr>
      <w:rFonts w:eastAsiaTheme="minorEastAsia"/>
    </w:rPr>
  </w:style>
  <w:style w:type="paragraph" w:styleId="TOC9">
    <w:name w:val="toc 9"/>
    <w:basedOn w:val="Normal"/>
    <w:next w:val="Normal"/>
    <w:autoRedefine/>
    <w:uiPriority w:val="39"/>
    <w:unhideWhenUsed/>
    <w:rsid w:val="005C200D"/>
    <w:pPr>
      <w:spacing w:after="100" w:line="259" w:lineRule="auto"/>
      <w:ind w:left="1760"/>
    </w:pPr>
    <w:rPr>
      <w:rFonts w:eastAsiaTheme="minorEastAsia"/>
    </w:rPr>
  </w:style>
  <w:style w:type="paragraph" w:styleId="FootnoteText">
    <w:name w:val="footnote text"/>
    <w:basedOn w:val="Normal"/>
    <w:link w:val="FootnoteTextChar"/>
    <w:uiPriority w:val="99"/>
    <w:semiHidden/>
    <w:unhideWhenUsed/>
    <w:rsid w:val="00AC166D"/>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AC166D"/>
    <w:rPr>
      <w:sz w:val="20"/>
      <w:szCs w:val="20"/>
      <w:lang w:val="en-CA"/>
    </w:rPr>
  </w:style>
  <w:style w:type="character" w:styleId="FootnoteReference">
    <w:name w:val="footnote reference"/>
    <w:basedOn w:val="DefaultParagraphFont"/>
    <w:uiPriority w:val="99"/>
    <w:semiHidden/>
    <w:unhideWhenUsed/>
    <w:rsid w:val="00AC1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54010">
      <w:bodyDiv w:val="1"/>
      <w:marLeft w:val="0"/>
      <w:marRight w:val="0"/>
      <w:marTop w:val="0"/>
      <w:marBottom w:val="0"/>
      <w:divBdr>
        <w:top w:val="none" w:sz="0" w:space="0" w:color="auto"/>
        <w:left w:val="none" w:sz="0" w:space="0" w:color="auto"/>
        <w:bottom w:val="none" w:sz="0" w:space="0" w:color="auto"/>
        <w:right w:val="none" w:sz="0" w:space="0" w:color="auto"/>
      </w:divBdr>
    </w:div>
    <w:div w:id="103704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0DBDA-7699-427C-831D-27A2065F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5</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Taylor</dc:creator>
  <cp:lastModifiedBy>Grace Flood</cp:lastModifiedBy>
  <cp:revision>4</cp:revision>
  <cp:lastPrinted>2019-01-14T15:17:00Z</cp:lastPrinted>
  <dcterms:created xsi:type="dcterms:W3CDTF">2023-02-01T13:45:00Z</dcterms:created>
  <dcterms:modified xsi:type="dcterms:W3CDTF">2023-02-03T18:48:00Z</dcterms:modified>
</cp:coreProperties>
</file>