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29468960" w:rsidR="003832E7" w:rsidRPr="003832E7" w:rsidRDefault="00A705ED" w:rsidP="003832E7">
      <w:pPr>
        <w:pStyle w:val="Default"/>
        <w:jc w:val="right"/>
        <w:rPr>
          <w:rFonts w:ascii="Arial" w:hAnsi="Arial" w:cs="Arial"/>
          <w:sz w:val="22"/>
          <w:szCs w:val="22"/>
        </w:rPr>
      </w:pPr>
      <w:bookmarkStart w:id="0" w:name="_Hlk126230846"/>
      <w:r>
        <w:rPr>
          <w:rFonts w:ascii="Arial" w:hAnsi="Arial" w:cs="Arial"/>
          <w:bCs/>
          <w:sz w:val="22"/>
          <w:szCs w:val="22"/>
        </w:rPr>
        <w:t>Rideau St. Lawrence Inc.</w:t>
      </w:r>
    </w:p>
    <w:bookmarkEnd w:id="0"/>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17679DE8" w:rsidR="00A07077" w:rsidRPr="00D57E8C" w:rsidRDefault="00623602" w:rsidP="00AB251C">
      <w:pPr>
        <w:pStyle w:val="Default"/>
        <w:spacing w:after="240"/>
        <w:jc w:val="right"/>
        <w:rPr>
          <w:rFonts w:ascii="Arial" w:hAnsi="Arial" w:cs="Arial"/>
          <w:sz w:val="22"/>
          <w:szCs w:val="22"/>
        </w:rPr>
      </w:pPr>
      <w:r>
        <w:rPr>
          <w:rFonts w:ascii="Arial" w:hAnsi="Arial" w:cs="Arial"/>
          <w:sz w:val="22"/>
          <w:szCs w:val="22"/>
        </w:rPr>
        <w:t>EB-202</w:t>
      </w:r>
      <w:r w:rsidR="005E27C0">
        <w:rPr>
          <w:rFonts w:ascii="Arial" w:hAnsi="Arial" w:cs="Arial"/>
          <w:sz w:val="22"/>
          <w:szCs w:val="22"/>
        </w:rPr>
        <w:t>2</w:t>
      </w:r>
      <w:r w:rsidR="009D5F4B" w:rsidRPr="00D57E8C">
        <w:rPr>
          <w:rFonts w:ascii="Arial" w:hAnsi="Arial" w:cs="Arial"/>
          <w:sz w:val="22"/>
          <w:szCs w:val="22"/>
        </w:rPr>
        <w:t>-</w:t>
      </w:r>
      <w:r w:rsidR="00A705ED">
        <w:rPr>
          <w:rFonts w:ascii="Arial" w:hAnsi="Arial" w:cs="Arial"/>
          <w:sz w:val="22"/>
          <w:szCs w:val="22"/>
        </w:rPr>
        <w:t>0061</w:t>
      </w:r>
    </w:p>
    <w:p w14:paraId="31F8E0D6" w14:textId="1CC3A0E3" w:rsidR="00A07077" w:rsidRPr="00D57E8C" w:rsidRDefault="00A705ED" w:rsidP="00A07077">
      <w:pPr>
        <w:pStyle w:val="Default"/>
        <w:jc w:val="center"/>
        <w:rPr>
          <w:rFonts w:ascii="Arial" w:hAnsi="Arial" w:cs="Arial"/>
          <w:sz w:val="28"/>
          <w:szCs w:val="28"/>
        </w:rPr>
      </w:pPr>
      <w:r w:rsidRPr="00A705ED">
        <w:rPr>
          <w:rFonts w:ascii="Arial" w:hAnsi="Arial" w:cs="Arial"/>
          <w:b/>
          <w:bCs/>
          <w:sz w:val="28"/>
          <w:szCs w:val="28"/>
        </w:rPr>
        <w:t>Rideau St. Lawrence Inc.</w:t>
      </w:r>
    </w:p>
    <w:p w14:paraId="33D6510D" w14:textId="0DC21821" w:rsidR="00A07077" w:rsidRDefault="00623602" w:rsidP="00AB251C">
      <w:pPr>
        <w:pStyle w:val="Default"/>
        <w:spacing w:after="360"/>
        <w:jc w:val="center"/>
        <w:rPr>
          <w:rFonts w:ascii="Arial" w:hAnsi="Arial" w:cs="Arial"/>
          <w:b/>
          <w:bCs/>
          <w:sz w:val="28"/>
          <w:szCs w:val="28"/>
        </w:rPr>
      </w:pPr>
      <w:r>
        <w:rPr>
          <w:rFonts w:ascii="Arial" w:hAnsi="Arial" w:cs="Arial"/>
          <w:b/>
          <w:bCs/>
          <w:sz w:val="28"/>
          <w:szCs w:val="28"/>
        </w:rPr>
        <w:t>EB-202</w:t>
      </w:r>
      <w:r w:rsidR="005E27C0">
        <w:rPr>
          <w:rFonts w:ascii="Arial" w:hAnsi="Arial" w:cs="Arial"/>
          <w:b/>
          <w:bCs/>
          <w:sz w:val="28"/>
          <w:szCs w:val="28"/>
        </w:rPr>
        <w:t>2</w:t>
      </w:r>
      <w:r w:rsidR="00B069AA" w:rsidRPr="00D57E8C">
        <w:rPr>
          <w:rFonts w:ascii="Arial" w:hAnsi="Arial" w:cs="Arial"/>
          <w:b/>
          <w:bCs/>
          <w:sz w:val="28"/>
          <w:szCs w:val="28"/>
        </w:rPr>
        <w:t>-</w:t>
      </w:r>
      <w:r w:rsidR="00A705ED">
        <w:rPr>
          <w:rFonts w:ascii="Arial" w:hAnsi="Arial" w:cs="Arial"/>
          <w:b/>
          <w:bCs/>
          <w:sz w:val="28"/>
          <w:szCs w:val="28"/>
        </w:rPr>
        <w:t>0061</w:t>
      </w:r>
    </w:p>
    <w:p w14:paraId="2A0CB1B0" w14:textId="14689D7D" w:rsidR="00E86F26" w:rsidRPr="00E86F26" w:rsidRDefault="00E86F26" w:rsidP="00AB251C">
      <w:pPr>
        <w:autoSpaceDE w:val="0"/>
        <w:autoSpaceDN w:val="0"/>
        <w:adjustRightInd w:val="0"/>
        <w:spacing w:after="240" w:line="240" w:lineRule="auto"/>
        <w:rPr>
          <w:rFonts w:ascii="Arial" w:eastAsia="Calibri" w:hAnsi="Arial" w:cs="Arial"/>
          <w:sz w:val="24"/>
          <w:szCs w:val="24"/>
        </w:rPr>
      </w:pPr>
      <w:bookmarkStart w:id="1" w:name="_Hlk55806661"/>
      <w:r w:rsidRPr="00E86F26">
        <w:rPr>
          <w:rFonts w:ascii="Arial" w:eastAsia="Calibri" w:hAnsi="Arial" w:cs="Arial"/>
          <w:sz w:val="24"/>
          <w:szCs w:val="24"/>
        </w:rPr>
        <w:t xml:space="preserve">Please note, </w:t>
      </w:r>
      <w:r w:rsidR="00A705ED" w:rsidRPr="00A705ED">
        <w:rPr>
          <w:rFonts w:ascii="Arial" w:eastAsia="Calibri" w:hAnsi="Arial" w:cs="Arial"/>
          <w:sz w:val="24"/>
          <w:szCs w:val="24"/>
        </w:rPr>
        <w:t>Rideau St. Lawrence Inc.</w:t>
      </w:r>
      <w:r w:rsidR="00A705ED">
        <w:rPr>
          <w:rFonts w:ascii="Arial" w:eastAsia="Calibri" w:hAnsi="Arial" w:cs="Arial"/>
          <w:sz w:val="24"/>
          <w:szCs w:val="24"/>
        </w:rPr>
        <w:t xml:space="preserve"> (RSL)</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1"/>
    <w:p w14:paraId="4C019134" w14:textId="40320023" w:rsidR="00A705ED" w:rsidRPr="00A705ED" w:rsidRDefault="00A705ED" w:rsidP="00A705ED">
      <w:pPr>
        <w:pStyle w:val="Default"/>
        <w:rPr>
          <w:rFonts w:ascii="Arial" w:hAnsi="Arial" w:cs="Arial"/>
        </w:rPr>
      </w:pPr>
      <w:r w:rsidRPr="00A705ED">
        <w:rPr>
          <w:rFonts w:ascii="Arial" w:hAnsi="Arial" w:cs="Arial"/>
          <w:b/>
          <w:bCs/>
        </w:rPr>
        <w:t>Staff Question-</w:t>
      </w:r>
      <w:r>
        <w:rPr>
          <w:rFonts w:ascii="Arial" w:hAnsi="Arial" w:cs="Arial"/>
          <w:b/>
          <w:bCs/>
        </w:rPr>
        <w:t>3</w:t>
      </w:r>
    </w:p>
    <w:p w14:paraId="732C4A9C" w14:textId="77777777" w:rsidR="00A705ED" w:rsidRPr="00A705ED" w:rsidRDefault="00A705ED" w:rsidP="00A705ED">
      <w:pPr>
        <w:pStyle w:val="Default"/>
        <w:rPr>
          <w:rFonts w:ascii="Arial" w:hAnsi="Arial" w:cs="Arial"/>
        </w:rPr>
      </w:pPr>
    </w:p>
    <w:p w14:paraId="053730E5" w14:textId="77777777" w:rsidR="00A705ED" w:rsidRPr="00A705ED" w:rsidRDefault="00A705ED" w:rsidP="00A705ED">
      <w:pPr>
        <w:pStyle w:val="Default"/>
        <w:spacing w:after="240" w:line="276" w:lineRule="auto"/>
        <w:contextualSpacing/>
        <w:rPr>
          <w:rFonts w:ascii="Arial" w:hAnsi="Arial" w:cs="Arial"/>
        </w:rPr>
      </w:pPr>
      <w:r w:rsidRPr="00A705ED">
        <w:rPr>
          <w:rFonts w:ascii="Arial" w:hAnsi="Arial" w:cs="Arial"/>
        </w:rPr>
        <w:t xml:space="preserve">Ref: </w:t>
      </w:r>
      <w:r w:rsidRPr="00A705ED">
        <w:rPr>
          <w:rFonts w:ascii="Arial" w:hAnsi="Arial" w:cs="Arial"/>
        </w:rPr>
        <w:tab/>
        <w:t>(1) Rate Generator Model, Tab 3 – Continuity Schedule</w:t>
      </w:r>
    </w:p>
    <w:p w14:paraId="315B7C29" w14:textId="77777777" w:rsidR="00A705ED" w:rsidRPr="00A705ED" w:rsidRDefault="00A705ED" w:rsidP="00A705ED">
      <w:pPr>
        <w:pStyle w:val="Default"/>
        <w:spacing w:after="240" w:line="276" w:lineRule="auto"/>
        <w:rPr>
          <w:rFonts w:ascii="Arial" w:hAnsi="Arial" w:cs="Arial"/>
        </w:rPr>
      </w:pPr>
      <w:r w:rsidRPr="00A705ED">
        <w:rPr>
          <w:rFonts w:ascii="Arial" w:hAnsi="Arial" w:cs="Arial"/>
        </w:rPr>
        <w:tab/>
        <w:t>(2) Manager’s Summary, p. 28</w:t>
      </w:r>
    </w:p>
    <w:p w14:paraId="3DF4EDC4" w14:textId="77777777" w:rsidR="00A705ED" w:rsidRPr="00A705ED" w:rsidRDefault="00A705ED" w:rsidP="00A705ED">
      <w:pPr>
        <w:spacing w:after="240"/>
        <w:rPr>
          <w:rFonts w:ascii="Arial" w:hAnsi="Arial" w:cs="Arial"/>
          <w:sz w:val="24"/>
          <w:szCs w:val="24"/>
        </w:rPr>
      </w:pPr>
      <w:r w:rsidRPr="00A705ED">
        <w:rPr>
          <w:rFonts w:ascii="Arial" w:hAnsi="Arial" w:cs="Arial"/>
          <w:sz w:val="24"/>
          <w:szCs w:val="24"/>
        </w:rPr>
        <w:t>The LV Variance Account records the net of the amount charged by a host distributor to an embedded distributor for transmission or low voltage services (Account 4750) and the amount billed to the embedded distributor’s customers based on the embedded distributor’s latest approved rates (Account 4075).</w:t>
      </w:r>
      <w:r w:rsidRPr="00A705ED">
        <w:rPr>
          <w:rStyle w:val="FootnoteReference"/>
          <w:rFonts w:ascii="Arial" w:hAnsi="Arial" w:cs="Arial"/>
          <w:sz w:val="24"/>
          <w:szCs w:val="24"/>
        </w:rPr>
        <w:footnoteReference w:id="1"/>
      </w:r>
    </w:p>
    <w:p w14:paraId="11DBC334" w14:textId="10F2DAE6" w:rsidR="00A705ED" w:rsidRPr="00A705ED" w:rsidRDefault="00A705ED" w:rsidP="00A705ED">
      <w:pPr>
        <w:spacing w:after="240"/>
        <w:rPr>
          <w:rFonts w:ascii="Arial" w:hAnsi="Arial" w:cs="Arial"/>
          <w:sz w:val="24"/>
          <w:szCs w:val="24"/>
        </w:rPr>
      </w:pPr>
      <w:r w:rsidRPr="00A705ED">
        <w:rPr>
          <w:rFonts w:ascii="Arial" w:hAnsi="Arial" w:cs="Arial"/>
          <w:sz w:val="24"/>
          <w:szCs w:val="24"/>
        </w:rPr>
        <w:t>At reference 1, the total claim for the Low Voltage (LV) Variance Account is $119,007, accounting for approximately 54% of the Group 1 Account</w:t>
      </w:r>
      <w:r>
        <w:rPr>
          <w:rFonts w:ascii="Arial" w:hAnsi="Arial" w:cs="Arial"/>
          <w:sz w:val="24"/>
          <w:szCs w:val="24"/>
        </w:rPr>
        <w:t xml:space="preserve"> balances </w:t>
      </w:r>
      <w:r w:rsidRPr="00A705ED">
        <w:rPr>
          <w:rFonts w:ascii="Arial" w:hAnsi="Arial" w:cs="Arial"/>
          <w:sz w:val="24"/>
          <w:szCs w:val="24"/>
        </w:rPr>
        <w:t>of $222,091.</w:t>
      </w:r>
    </w:p>
    <w:p w14:paraId="36DC6F38" w14:textId="77777777" w:rsidR="00A705ED" w:rsidRPr="00A705ED" w:rsidRDefault="00A705ED" w:rsidP="00A705ED">
      <w:pPr>
        <w:spacing w:after="240"/>
        <w:rPr>
          <w:rFonts w:ascii="Arial" w:hAnsi="Arial" w:cs="Arial"/>
          <w:sz w:val="24"/>
          <w:szCs w:val="24"/>
        </w:rPr>
      </w:pPr>
      <w:r w:rsidRPr="00A705ED">
        <w:rPr>
          <w:rFonts w:ascii="Arial" w:hAnsi="Arial" w:cs="Arial"/>
          <w:sz w:val="24"/>
          <w:szCs w:val="24"/>
        </w:rPr>
        <w:t>At reference 2, RSL stated that RSL will continue using the low voltage service rates pursuant to the decision from RSL’s 2022 cost of service application.</w:t>
      </w:r>
      <w:r w:rsidRPr="00A705ED">
        <w:rPr>
          <w:rStyle w:val="FootnoteReference"/>
          <w:rFonts w:ascii="Arial" w:hAnsi="Arial" w:cs="Arial"/>
          <w:sz w:val="24"/>
          <w:szCs w:val="24"/>
        </w:rPr>
        <w:footnoteReference w:id="2"/>
      </w:r>
    </w:p>
    <w:p w14:paraId="37E0ADF5" w14:textId="77777777" w:rsidR="00A705ED" w:rsidRPr="00A705ED" w:rsidRDefault="00A705ED" w:rsidP="00A705ED">
      <w:pPr>
        <w:spacing w:after="240"/>
        <w:rPr>
          <w:rFonts w:ascii="Arial" w:hAnsi="Arial" w:cs="Arial"/>
          <w:sz w:val="24"/>
          <w:szCs w:val="24"/>
        </w:rPr>
      </w:pPr>
      <w:r w:rsidRPr="00A705ED">
        <w:rPr>
          <w:rFonts w:ascii="Arial" w:hAnsi="Arial" w:cs="Arial"/>
          <w:sz w:val="24"/>
          <w:szCs w:val="24"/>
        </w:rPr>
        <w:t>Questions:</w:t>
      </w:r>
    </w:p>
    <w:p w14:paraId="417E6C64" w14:textId="77777777" w:rsidR="00A705ED" w:rsidRPr="00A705ED" w:rsidRDefault="00A705ED" w:rsidP="00A705ED">
      <w:pPr>
        <w:pStyle w:val="ListParagraph"/>
        <w:numPr>
          <w:ilvl w:val="0"/>
          <w:numId w:val="28"/>
        </w:numPr>
        <w:spacing w:after="240"/>
        <w:rPr>
          <w:rFonts w:ascii="Arial" w:hAnsi="Arial" w:cs="Arial"/>
          <w:sz w:val="24"/>
          <w:szCs w:val="24"/>
        </w:rPr>
      </w:pPr>
      <w:r w:rsidRPr="00A705ED">
        <w:rPr>
          <w:rFonts w:ascii="Arial" w:hAnsi="Arial" w:cs="Arial"/>
          <w:sz w:val="24"/>
          <w:szCs w:val="24"/>
        </w:rPr>
        <w:t>Please explain why the LV Variance Account balance is relatively high when the LV rates were just recently set in RSL’s cost of service application last year.</w:t>
      </w:r>
    </w:p>
    <w:p w14:paraId="75979E61" w14:textId="5031F78E" w:rsidR="00B72BAE" w:rsidRDefault="00C11B71" w:rsidP="00C11B71">
      <w:pPr>
        <w:spacing w:after="240"/>
        <w:rPr>
          <w:rFonts w:ascii="Arial" w:hAnsi="Arial" w:cs="Arial"/>
          <w:bCs/>
          <w:color w:val="C00000"/>
          <w:sz w:val="24"/>
          <w:szCs w:val="24"/>
        </w:rPr>
      </w:pPr>
      <w:r w:rsidRPr="00C11B71">
        <w:rPr>
          <w:rFonts w:ascii="Arial" w:hAnsi="Arial" w:cs="Arial"/>
          <w:bCs/>
          <w:color w:val="C00000"/>
          <w:sz w:val="24"/>
          <w:szCs w:val="24"/>
        </w:rPr>
        <w:t xml:space="preserve">Response:  </w:t>
      </w:r>
      <w:r w:rsidR="00B72BAE">
        <w:rPr>
          <w:rFonts w:ascii="Arial" w:hAnsi="Arial" w:cs="Arial"/>
          <w:bCs/>
          <w:color w:val="C00000"/>
          <w:sz w:val="24"/>
          <w:szCs w:val="24"/>
        </w:rPr>
        <w:t xml:space="preserve">a) RSL confirms that the claim of </w:t>
      </w:r>
      <w:r w:rsidR="00B72BAE">
        <w:rPr>
          <w:rFonts w:ascii="Arial" w:hAnsi="Arial" w:cs="Arial"/>
          <w:bCs/>
          <w:color w:val="C00000"/>
          <w:sz w:val="24"/>
          <w:szCs w:val="24"/>
        </w:rPr>
        <w:t xml:space="preserve">$119,007 </w:t>
      </w:r>
      <w:r w:rsidR="00B72BAE">
        <w:rPr>
          <w:rFonts w:ascii="Arial" w:hAnsi="Arial" w:cs="Arial"/>
          <w:bCs/>
          <w:color w:val="C00000"/>
          <w:sz w:val="24"/>
          <w:szCs w:val="24"/>
        </w:rPr>
        <w:t xml:space="preserve">for the LV Variance Account to be disposed of through this application </w:t>
      </w:r>
      <w:r w:rsidR="00B72BAE" w:rsidRPr="00B72BAE">
        <w:rPr>
          <w:rFonts w:ascii="Arial" w:hAnsi="Arial" w:cs="Arial"/>
          <w:bCs/>
          <w:color w:val="C00000"/>
          <w:sz w:val="24"/>
          <w:szCs w:val="24"/>
        </w:rPr>
        <w:t>(EB-2022-0061)</w:t>
      </w:r>
      <w:r w:rsidR="00B72BAE">
        <w:rPr>
          <w:rFonts w:ascii="Arial" w:hAnsi="Arial" w:cs="Arial"/>
          <w:bCs/>
          <w:color w:val="C00000"/>
          <w:sz w:val="24"/>
          <w:szCs w:val="24"/>
        </w:rPr>
        <w:t xml:space="preserve"> is appropriate and correct for the following points:</w:t>
      </w:r>
    </w:p>
    <w:p w14:paraId="3DD5C786" w14:textId="09429757" w:rsidR="00C11B71" w:rsidRDefault="00C11B71" w:rsidP="00B72BAE">
      <w:pPr>
        <w:pStyle w:val="ListParagraph"/>
        <w:numPr>
          <w:ilvl w:val="0"/>
          <w:numId w:val="29"/>
        </w:numPr>
        <w:spacing w:after="240"/>
        <w:rPr>
          <w:rFonts w:ascii="Arial" w:hAnsi="Arial" w:cs="Arial"/>
          <w:bCs/>
          <w:color w:val="C00000"/>
          <w:sz w:val="24"/>
          <w:szCs w:val="24"/>
        </w:rPr>
      </w:pPr>
      <w:r w:rsidRPr="00B72BAE">
        <w:rPr>
          <w:rFonts w:ascii="Arial" w:hAnsi="Arial" w:cs="Arial"/>
          <w:bCs/>
          <w:color w:val="C00000"/>
          <w:sz w:val="24"/>
          <w:szCs w:val="24"/>
        </w:rPr>
        <w:t xml:space="preserve">2020 Low Voltage (LV) balance was claimed through </w:t>
      </w:r>
      <w:bookmarkStart w:id="2" w:name="_Hlk126238343"/>
      <w:r w:rsidRPr="00B72BAE">
        <w:rPr>
          <w:rFonts w:ascii="Arial" w:hAnsi="Arial" w:cs="Arial"/>
          <w:bCs/>
          <w:color w:val="C00000"/>
          <w:sz w:val="24"/>
          <w:szCs w:val="24"/>
        </w:rPr>
        <w:t>the 2022 COS (</w:t>
      </w:r>
      <w:r w:rsidRPr="00B72BAE">
        <w:rPr>
          <w:rFonts w:ascii="Arial" w:hAnsi="Arial" w:cs="Arial"/>
          <w:bCs/>
          <w:color w:val="C00000"/>
          <w:sz w:val="24"/>
          <w:szCs w:val="24"/>
        </w:rPr>
        <w:t>EB-2021-0056</w:t>
      </w:r>
      <w:r w:rsidRPr="00B72BAE">
        <w:rPr>
          <w:rFonts w:ascii="Arial" w:hAnsi="Arial" w:cs="Arial"/>
          <w:bCs/>
          <w:color w:val="C00000"/>
          <w:sz w:val="24"/>
          <w:szCs w:val="24"/>
        </w:rPr>
        <w:t>).</w:t>
      </w:r>
      <w:bookmarkEnd w:id="2"/>
    </w:p>
    <w:p w14:paraId="5AB49A41" w14:textId="77777777" w:rsidR="00B72BAE" w:rsidRPr="00B72BAE" w:rsidRDefault="00B72BAE" w:rsidP="00B72BAE">
      <w:pPr>
        <w:pStyle w:val="ListParagraph"/>
        <w:spacing w:after="240"/>
        <w:rPr>
          <w:rFonts w:ascii="Arial" w:hAnsi="Arial" w:cs="Arial"/>
          <w:bCs/>
          <w:color w:val="C00000"/>
          <w:sz w:val="24"/>
          <w:szCs w:val="24"/>
        </w:rPr>
      </w:pPr>
    </w:p>
    <w:p w14:paraId="42952604" w14:textId="0C3FDE5F" w:rsidR="00C11B71" w:rsidRDefault="00C11B71" w:rsidP="00B72BAE">
      <w:pPr>
        <w:pStyle w:val="ListParagraph"/>
        <w:numPr>
          <w:ilvl w:val="0"/>
          <w:numId w:val="29"/>
        </w:numPr>
        <w:spacing w:after="240"/>
        <w:rPr>
          <w:rFonts w:ascii="Arial" w:hAnsi="Arial" w:cs="Arial"/>
          <w:bCs/>
          <w:color w:val="C00000"/>
          <w:sz w:val="24"/>
          <w:szCs w:val="24"/>
        </w:rPr>
      </w:pPr>
      <w:r w:rsidRPr="00B72BAE">
        <w:rPr>
          <w:rFonts w:ascii="Arial" w:hAnsi="Arial" w:cs="Arial"/>
          <w:bCs/>
          <w:color w:val="C00000"/>
          <w:sz w:val="24"/>
          <w:szCs w:val="24"/>
        </w:rPr>
        <w:lastRenderedPageBreak/>
        <w:t xml:space="preserve">The claim for </w:t>
      </w:r>
      <w:r w:rsidR="00B72BAE">
        <w:rPr>
          <w:rFonts w:ascii="Arial" w:hAnsi="Arial" w:cs="Arial"/>
          <w:bCs/>
          <w:color w:val="C00000"/>
          <w:sz w:val="24"/>
          <w:szCs w:val="24"/>
        </w:rPr>
        <w:t>LV</w:t>
      </w:r>
      <w:r w:rsidRPr="00B72BAE">
        <w:rPr>
          <w:rFonts w:ascii="Arial" w:hAnsi="Arial" w:cs="Arial"/>
          <w:bCs/>
          <w:color w:val="C00000"/>
          <w:sz w:val="24"/>
          <w:szCs w:val="24"/>
        </w:rPr>
        <w:t xml:space="preserve"> through this application (</w:t>
      </w:r>
      <w:r w:rsidRPr="00B72BAE">
        <w:rPr>
          <w:rFonts w:ascii="Arial" w:hAnsi="Arial" w:cs="Arial"/>
          <w:bCs/>
          <w:color w:val="C00000"/>
          <w:sz w:val="24"/>
          <w:szCs w:val="24"/>
        </w:rPr>
        <w:t>EB-2022-0061</w:t>
      </w:r>
      <w:r w:rsidRPr="00B72BAE">
        <w:rPr>
          <w:rFonts w:ascii="Arial" w:hAnsi="Arial" w:cs="Arial"/>
          <w:bCs/>
          <w:color w:val="C00000"/>
          <w:sz w:val="24"/>
          <w:szCs w:val="24"/>
        </w:rPr>
        <w:t>) is 2021 balance.</w:t>
      </w:r>
    </w:p>
    <w:p w14:paraId="2CFEBC40" w14:textId="77777777" w:rsidR="00B72BAE" w:rsidRPr="00B72BAE" w:rsidRDefault="00B72BAE" w:rsidP="00B72BAE">
      <w:pPr>
        <w:pStyle w:val="ListParagraph"/>
        <w:spacing w:after="240"/>
        <w:rPr>
          <w:rFonts w:ascii="Arial" w:hAnsi="Arial" w:cs="Arial"/>
          <w:bCs/>
          <w:color w:val="C00000"/>
          <w:sz w:val="24"/>
          <w:szCs w:val="24"/>
        </w:rPr>
      </w:pPr>
    </w:p>
    <w:p w14:paraId="1C4D508C" w14:textId="77777777" w:rsidR="00B72BAE" w:rsidRDefault="00C11B71" w:rsidP="00B72BAE">
      <w:pPr>
        <w:pStyle w:val="ListParagraph"/>
        <w:numPr>
          <w:ilvl w:val="0"/>
          <w:numId w:val="29"/>
        </w:numPr>
        <w:spacing w:after="240"/>
        <w:rPr>
          <w:rFonts w:ascii="Arial" w:hAnsi="Arial" w:cs="Arial"/>
          <w:bCs/>
          <w:color w:val="C00000"/>
          <w:sz w:val="24"/>
          <w:szCs w:val="24"/>
        </w:rPr>
      </w:pPr>
      <w:r w:rsidRPr="00B72BAE">
        <w:rPr>
          <w:rFonts w:ascii="Arial" w:hAnsi="Arial" w:cs="Arial"/>
          <w:bCs/>
          <w:color w:val="C00000"/>
          <w:sz w:val="24"/>
          <w:szCs w:val="24"/>
        </w:rPr>
        <w:t xml:space="preserve">The LV rates set in </w:t>
      </w:r>
      <w:r w:rsidRPr="00B72BAE">
        <w:rPr>
          <w:rFonts w:ascii="Arial" w:hAnsi="Arial" w:cs="Arial"/>
          <w:bCs/>
          <w:color w:val="C00000"/>
          <w:sz w:val="24"/>
          <w:szCs w:val="24"/>
        </w:rPr>
        <w:t>the 2022 COS (EB-2021-0056)</w:t>
      </w:r>
      <w:r w:rsidRPr="00B72BAE">
        <w:rPr>
          <w:rFonts w:ascii="Arial" w:hAnsi="Arial" w:cs="Arial"/>
          <w:bCs/>
          <w:color w:val="C00000"/>
          <w:sz w:val="24"/>
          <w:szCs w:val="24"/>
        </w:rPr>
        <w:t xml:space="preserve"> did not become effective until July 1, 2022.  </w:t>
      </w:r>
    </w:p>
    <w:p w14:paraId="5D17C0BB" w14:textId="77777777" w:rsidR="00B72BAE" w:rsidRPr="00B72BAE" w:rsidRDefault="00B72BAE" w:rsidP="00B72BAE">
      <w:pPr>
        <w:pStyle w:val="ListParagraph"/>
        <w:rPr>
          <w:rFonts w:ascii="Arial" w:hAnsi="Arial" w:cs="Arial"/>
          <w:bCs/>
          <w:color w:val="C00000"/>
          <w:sz w:val="24"/>
          <w:szCs w:val="24"/>
        </w:rPr>
      </w:pPr>
    </w:p>
    <w:p w14:paraId="52FBB899" w14:textId="6778B1E3" w:rsidR="00C11B71" w:rsidRPr="00B72BAE" w:rsidRDefault="00C11B71" w:rsidP="00B72BAE">
      <w:pPr>
        <w:pStyle w:val="ListParagraph"/>
        <w:numPr>
          <w:ilvl w:val="0"/>
          <w:numId w:val="29"/>
        </w:numPr>
        <w:spacing w:after="240"/>
        <w:rPr>
          <w:rFonts w:ascii="Arial" w:hAnsi="Arial" w:cs="Arial"/>
          <w:bCs/>
          <w:color w:val="C00000"/>
          <w:sz w:val="24"/>
          <w:szCs w:val="24"/>
        </w:rPr>
      </w:pPr>
      <w:r w:rsidRPr="00B72BAE">
        <w:rPr>
          <w:rFonts w:ascii="Arial" w:hAnsi="Arial" w:cs="Arial"/>
          <w:bCs/>
          <w:color w:val="C00000"/>
          <w:sz w:val="24"/>
          <w:szCs w:val="24"/>
        </w:rPr>
        <w:t>The effective rates pertaining to the 2021 LV balance are set in RSL’s 2016 COS (</w:t>
      </w:r>
      <w:r w:rsidRPr="00B72BAE">
        <w:rPr>
          <w:rFonts w:ascii="Arial" w:hAnsi="Arial" w:cs="Arial"/>
          <w:bCs/>
          <w:color w:val="C00000"/>
          <w:sz w:val="24"/>
          <w:szCs w:val="24"/>
        </w:rPr>
        <w:t>EB-2015-0100</w:t>
      </w:r>
      <w:r w:rsidRPr="00B72BAE">
        <w:rPr>
          <w:rFonts w:ascii="Arial" w:hAnsi="Arial" w:cs="Arial"/>
          <w:bCs/>
          <w:color w:val="C00000"/>
          <w:sz w:val="24"/>
          <w:szCs w:val="24"/>
        </w:rPr>
        <w:t>)</w:t>
      </w:r>
      <w:r w:rsidR="00B72BAE" w:rsidRPr="00B72BAE">
        <w:rPr>
          <w:rFonts w:ascii="Arial" w:hAnsi="Arial" w:cs="Arial"/>
          <w:bCs/>
          <w:color w:val="C00000"/>
          <w:sz w:val="24"/>
          <w:szCs w:val="24"/>
        </w:rPr>
        <w:t>.</w:t>
      </w:r>
    </w:p>
    <w:p w14:paraId="2C6525D6" w14:textId="77777777" w:rsidR="00C11B71" w:rsidRPr="00C11B71" w:rsidRDefault="00C11B71" w:rsidP="00C11B71">
      <w:pPr>
        <w:spacing w:after="240"/>
        <w:rPr>
          <w:rFonts w:ascii="Arial" w:hAnsi="Arial" w:cs="Arial"/>
          <w:bCs/>
          <w:color w:val="C00000"/>
          <w:sz w:val="24"/>
          <w:szCs w:val="24"/>
        </w:rPr>
      </w:pPr>
    </w:p>
    <w:p w14:paraId="43AE605B" w14:textId="6EE034B4" w:rsidR="00D57E8C" w:rsidRPr="002D056D" w:rsidRDefault="00D57E8C" w:rsidP="00AB251C">
      <w:pPr>
        <w:spacing w:after="240"/>
        <w:rPr>
          <w:rFonts w:ascii="Arial" w:hAnsi="Arial" w:cs="Arial"/>
          <w:b/>
          <w:sz w:val="24"/>
          <w:szCs w:val="24"/>
        </w:rPr>
      </w:pPr>
    </w:p>
    <w:sectPr w:rsidR="00D57E8C" w:rsidRPr="002D056D" w:rsidSect="00EA091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440E" w14:textId="77777777" w:rsidR="00A705ED" w:rsidRDefault="00A705ED" w:rsidP="00A705ED">
      <w:pPr>
        <w:spacing w:after="0" w:line="240" w:lineRule="auto"/>
      </w:pPr>
      <w:r>
        <w:separator/>
      </w:r>
    </w:p>
  </w:endnote>
  <w:endnote w:type="continuationSeparator" w:id="0">
    <w:p w14:paraId="5D22834C" w14:textId="77777777" w:rsidR="00A705ED" w:rsidRDefault="00A705ED" w:rsidP="00A70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CDBCB" w14:textId="77777777" w:rsidR="00A705ED" w:rsidRDefault="00A705ED" w:rsidP="00A705ED">
      <w:pPr>
        <w:spacing w:after="0" w:line="240" w:lineRule="auto"/>
      </w:pPr>
      <w:r>
        <w:separator/>
      </w:r>
    </w:p>
  </w:footnote>
  <w:footnote w:type="continuationSeparator" w:id="0">
    <w:p w14:paraId="7C045CF6" w14:textId="77777777" w:rsidR="00A705ED" w:rsidRDefault="00A705ED" w:rsidP="00A705ED">
      <w:pPr>
        <w:spacing w:after="0" w:line="240" w:lineRule="auto"/>
      </w:pPr>
      <w:r>
        <w:continuationSeparator/>
      </w:r>
    </w:p>
  </w:footnote>
  <w:footnote w:id="1">
    <w:p w14:paraId="78524141" w14:textId="77777777" w:rsidR="00A705ED" w:rsidRPr="006D2959" w:rsidRDefault="00A705ED" w:rsidP="00A705ED">
      <w:pPr>
        <w:pStyle w:val="FootnoteText"/>
        <w:rPr>
          <w:rFonts w:ascii="Arial" w:hAnsi="Arial" w:cs="Arial"/>
        </w:rPr>
      </w:pPr>
      <w:r w:rsidRPr="006D2959">
        <w:rPr>
          <w:rStyle w:val="FootnoteReference"/>
          <w:rFonts w:ascii="Arial" w:hAnsi="Arial" w:cs="Arial"/>
        </w:rPr>
        <w:footnoteRef/>
      </w:r>
      <w:r w:rsidRPr="006D2959">
        <w:rPr>
          <w:rFonts w:ascii="Arial" w:hAnsi="Arial" w:cs="Arial"/>
        </w:rPr>
        <w:t xml:space="preserve"> </w:t>
      </w:r>
      <w:hyperlink r:id="rId1" w:history="1">
        <w:r>
          <w:rPr>
            <w:rStyle w:val="Hyperlink"/>
            <w:rFonts w:ascii="Arial" w:hAnsi="Arial" w:cs="Arial"/>
          </w:rPr>
          <w:t>Accounting Guidance for Low Voltage Variance Account, May 1, 2006</w:t>
        </w:r>
      </w:hyperlink>
    </w:p>
  </w:footnote>
  <w:footnote w:id="2">
    <w:p w14:paraId="2A1110BF" w14:textId="77777777" w:rsidR="00A705ED" w:rsidRPr="004F4D07" w:rsidRDefault="00A705ED" w:rsidP="00A705ED">
      <w:pPr>
        <w:pStyle w:val="FootnoteText"/>
        <w:rPr>
          <w:rFonts w:ascii="Arial" w:hAnsi="Arial" w:cs="Arial"/>
        </w:rPr>
      </w:pPr>
      <w:r w:rsidRPr="004F4D07">
        <w:rPr>
          <w:rStyle w:val="FootnoteReference"/>
          <w:rFonts w:ascii="Arial" w:hAnsi="Arial" w:cs="Arial"/>
        </w:rPr>
        <w:footnoteRef/>
      </w:r>
      <w:r w:rsidRPr="004F4D07">
        <w:rPr>
          <w:rFonts w:ascii="Arial" w:hAnsi="Arial" w:cs="Arial"/>
        </w:rPr>
        <w:t xml:space="preserve"> EB-2022-0056, Decision and Rate Order, June 14,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3A4BFB"/>
    <w:multiLevelType w:val="hybridMultilevel"/>
    <w:tmpl w:val="23AAA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2AA5FA7"/>
    <w:multiLevelType w:val="hybridMultilevel"/>
    <w:tmpl w:val="8C0E9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70834639">
    <w:abstractNumId w:val="0"/>
  </w:num>
  <w:num w:numId="2" w16cid:durableId="1896622674">
    <w:abstractNumId w:val="6"/>
  </w:num>
  <w:num w:numId="3" w16cid:durableId="1010252401">
    <w:abstractNumId w:val="21"/>
  </w:num>
  <w:num w:numId="4" w16cid:durableId="1337729680">
    <w:abstractNumId w:val="28"/>
  </w:num>
  <w:num w:numId="5" w16cid:durableId="1847549745">
    <w:abstractNumId w:val="11"/>
  </w:num>
  <w:num w:numId="6" w16cid:durableId="371880434">
    <w:abstractNumId w:val="8"/>
  </w:num>
  <w:num w:numId="7" w16cid:durableId="984435939">
    <w:abstractNumId w:val="16"/>
  </w:num>
  <w:num w:numId="8" w16cid:durableId="483008509">
    <w:abstractNumId w:val="12"/>
  </w:num>
  <w:num w:numId="9" w16cid:durableId="821240739">
    <w:abstractNumId w:val="13"/>
  </w:num>
  <w:num w:numId="10" w16cid:durableId="434449753">
    <w:abstractNumId w:val="5"/>
  </w:num>
  <w:num w:numId="11" w16cid:durableId="173420647">
    <w:abstractNumId w:val="15"/>
  </w:num>
  <w:num w:numId="12" w16cid:durableId="222757746">
    <w:abstractNumId w:val="23"/>
  </w:num>
  <w:num w:numId="13" w16cid:durableId="784271331">
    <w:abstractNumId w:val="4"/>
  </w:num>
  <w:num w:numId="14" w16cid:durableId="1962149184">
    <w:abstractNumId w:val="2"/>
  </w:num>
  <w:num w:numId="15" w16cid:durableId="1395472398">
    <w:abstractNumId w:val="27"/>
  </w:num>
  <w:num w:numId="16" w16cid:durableId="1601452525">
    <w:abstractNumId w:val="7"/>
  </w:num>
  <w:num w:numId="17" w16cid:durableId="2005477236">
    <w:abstractNumId w:val="18"/>
  </w:num>
  <w:num w:numId="18" w16cid:durableId="1166751497">
    <w:abstractNumId w:val="25"/>
  </w:num>
  <w:num w:numId="19" w16cid:durableId="1174607786">
    <w:abstractNumId w:val="26"/>
  </w:num>
  <w:num w:numId="20" w16cid:durableId="140118633">
    <w:abstractNumId w:val="10"/>
  </w:num>
  <w:num w:numId="21" w16cid:durableId="398095219">
    <w:abstractNumId w:val="24"/>
  </w:num>
  <w:num w:numId="22" w16cid:durableId="249043382">
    <w:abstractNumId w:val="9"/>
  </w:num>
  <w:num w:numId="23" w16cid:durableId="1496607318">
    <w:abstractNumId w:val="22"/>
  </w:num>
  <w:num w:numId="24" w16cid:durableId="1048333652">
    <w:abstractNumId w:val="20"/>
  </w:num>
  <w:num w:numId="25" w16cid:durableId="866911711">
    <w:abstractNumId w:val="3"/>
  </w:num>
  <w:num w:numId="26" w16cid:durableId="1961763326">
    <w:abstractNumId w:val="14"/>
  </w:num>
  <w:num w:numId="27" w16cid:durableId="1441678612">
    <w:abstractNumId w:val="17"/>
  </w:num>
  <w:num w:numId="28" w16cid:durableId="1302006248">
    <w:abstractNumId w:val="1"/>
  </w:num>
  <w:num w:numId="29" w16cid:durableId="12304630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D223C"/>
    <w:rsid w:val="000E4006"/>
    <w:rsid w:val="000F1E3A"/>
    <w:rsid w:val="00133BE1"/>
    <w:rsid w:val="00164E99"/>
    <w:rsid w:val="00183CC8"/>
    <w:rsid w:val="00187E9B"/>
    <w:rsid w:val="001927C2"/>
    <w:rsid w:val="001A4DCD"/>
    <w:rsid w:val="00203092"/>
    <w:rsid w:val="002208C0"/>
    <w:rsid w:val="00224C06"/>
    <w:rsid w:val="0025687C"/>
    <w:rsid w:val="00274A48"/>
    <w:rsid w:val="00291CCC"/>
    <w:rsid w:val="002A6415"/>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400DFC"/>
    <w:rsid w:val="00412DC6"/>
    <w:rsid w:val="00425009"/>
    <w:rsid w:val="004377B0"/>
    <w:rsid w:val="00472C81"/>
    <w:rsid w:val="00475032"/>
    <w:rsid w:val="004859EF"/>
    <w:rsid w:val="00511EC2"/>
    <w:rsid w:val="005164F5"/>
    <w:rsid w:val="0052560F"/>
    <w:rsid w:val="005666F2"/>
    <w:rsid w:val="00572064"/>
    <w:rsid w:val="00584369"/>
    <w:rsid w:val="00587A35"/>
    <w:rsid w:val="005E27C0"/>
    <w:rsid w:val="005F4693"/>
    <w:rsid w:val="00623602"/>
    <w:rsid w:val="0064279A"/>
    <w:rsid w:val="00651C98"/>
    <w:rsid w:val="006A5D23"/>
    <w:rsid w:val="006E3D58"/>
    <w:rsid w:val="00704EE5"/>
    <w:rsid w:val="007066E2"/>
    <w:rsid w:val="0072241F"/>
    <w:rsid w:val="00722640"/>
    <w:rsid w:val="0073197E"/>
    <w:rsid w:val="00746080"/>
    <w:rsid w:val="007508EC"/>
    <w:rsid w:val="00772B57"/>
    <w:rsid w:val="00781D04"/>
    <w:rsid w:val="007C2D45"/>
    <w:rsid w:val="007F49EB"/>
    <w:rsid w:val="00805FDA"/>
    <w:rsid w:val="00812C1B"/>
    <w:rsid w:val="008173B1"/>
    <w:rsid w:val="00835AD0"/>
    <w:rsid w:val="00841787"/>
    <w:rsid w:val="008747B3"/>
    <w:rsid w:val="008813C3"/>
    <w:rsid w:val="008926F0"/>
    <w:rsid w:val="008964E8"/>
    <w:rsid w:val="008A48F6"/>
    <w:rsid w:val="008E6045"/>
    <w:rsid w:val="0090113B"/>
    <w:rsid w:val="0093258A"/>
    <w:rsid w:val="0094373C"/>
    <w:rsid w:val="00946DEE"/>
    <w:rsid w:val="00951E2B"/>
    <w:rsid w:val="00952939"/>
    <w:rsid w:val="00961EA0"/>
    <w:rsid w:val="009A5C44"/>
    <w:rsid w:val="009B03AF"/>
    <w:rsid w:val="009C4216"/>
    <w:rsid w:val="009D5F4B"/>
    <w:rsid w:val="009E626E"/>
    <w:rsid w:val="009E7CBF"/>
    <w:rsid w:val="00A07077"/>
    <w:rsid w:val="00A50DD0"/>
    <w:rsid w:val="00A516B0"/>
    <w:rsid w:val="00A5620A"/>
    <w:rsid w:val="00A705ED"/>
    <w:rsid w:val="00AA06D9"/>
    <w:rsid w:val="00AB251C"/>
    <w:rsid w:val="00AC2406"/>
    <w:rsid w:val="00AD3FCF"/>
    <w:rsid w:val="00B03802"/>
    <w:rsid w:val="00B069AA"/>
    <w:rsid w:val="00B23A36"/>
    <w:rsid w:val="00B25576"/>
    <w:rsid w:val="00B25EF5"/>
    <w:rsid w:val="00B50EB2"/>
    <w:rsid w:val="00B6722A"/>
    <w:rsid w:val="00B72BAE"/>
    <w:rsid w:val="00B82D78"/>
    <w:rsid w:val="00BA434C"/>
    <w:rsid w:val="00BD4F65"/>
    <w:rsid w:val="00BD7607"/>
    <w:rsid w:val="00C06F9E"/>
    <w:rsid w:val="00C11B71"/>
    <w:rsid w:val="00C13E6B"/>
    <w:rsid w:val="00C2370B"/>
    <w:rsid w:val="00C27193"/>
    <w:rsid w:val="00C624D5"/>
    <w:rsid w:val="00C848A0"/>
    <w:rsid w:val="00C859E5"/>
    <w:rsid w:val="00C878C5"/>
    <w:rsid w:val="00C96AEA"/>
    <w:rsid w:val="00CC0B6D"/>
    <w:rsid w:val="00CD01B4"/>
    <w:rsid w:val="00CE1CD3"/>
    <w:rsid w:val="00CE4F01"/>
    <w:rsid w:val="00D30F16"/>
    <w:rsid w:val="00D55546"/>
    <w:rsid w:val="00D57E8C"/>
    <w:rsid w:val="00D6213C"/>
    <w:rsid w:val="00D647C0"/>
    <w:rsid w:val="00D77694"/>
    <w:rsid w:val="00D77B0F"/>
    <w:rsid w:val="00DB6B52"/>
    <w:rsid w:val="00DE5488"/>
    <w:rsid w:val="00DE75AC"/>
    <w:rsid w:val="00DF5A52"/>
    <w:rsid w:val="00E17C58"/>
    <w:rsid w:val="00E231C2"/>
    <w:rsid w:val="00E429DA"/>
    <w:rsid w:val="00E616AB"/>
    <w:rsid w:val="00E62C2A"/>
    <w:rsid w:val="00E8586E"/>
    <w:rsid w:val="00E86F26"/>
    <w:rsid w:val="00E96A06"/>
    <w:rsid w:val="00EA0919"/>
    <w:rsid w:val="00EB5240"/>
    <w:rsid w:val="00EC03AF"/>
    <w:rsid w:val="00EC0B55"/>
    <w:rsid w:val="00EE3753"/>
    <w:rsid w:val="00F034BF"/>
    <w:rsid w:val="00F233A3"/>
    <w:rsid w:val="00F23D7A"/>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705E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A705ED"/>
    <w:rPr>
      <w:sz w:val="20"/>
      <w:szCs w:val="20"/>
      <w:lang w:val="en-US"/>
    </w:rPr>
  </w:style>
  <w:style w:type="character" w:styleId="FootnoteReference">
    <w:name w:val="footnote reference"/>
    <w:basedOn w:val="DefaultParagraphFont"/>
    <w:uiPriority w:val="99"/>
    <w:semiHidden/>
    <w:unhideWhenUsed/>
    <w:rsid w:val="00A705ED"/>
    <w:rPr>
      <w:vertAlign w:val="superscript"/>
    </w:rPr>
  </w:style>
  <w:style w:type="character" w:styleId="Hyperlink">
    <w:name w:val="Hyperlink"/>
    <w:basedOn w:val="DefaultParagraphFont"/>
    <w:uiPriority w:val="99"/>
    <w:unhideWhenUsed/>
    <w:rsid w:val="00A705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oeb.ca/documents/cases_smartmeters_lvcharges_ltr_1306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770954CE02EF4C909541F59DCA3BCB" ma:contentTypeVersion="16" ma:contentTypeDescription="Create a new document." ma:contentTypeScope="" ma:versionID="e894f974e7485c3824957fb8f5073629">
  <xsd:schema xmlns:xsd="http://www.w3.org/2001/XMLSchema" xmlns:xs="http://www.w3.org/2001/XMLSchema" xmlns:p="http://schemas.microsoft.com/office/2006/metadata/properties" xmlns:ns2="1108e97c-2fda-4b8f-a4bc-e2ee972c5b13" xmlns:ns3="a14c7317-d61c-44ab-aea5-8a713b8afb7d" targetNamespace="http://schemas.microsoft.com/office/2006/metadata/properties" ma:root="true" ma:fieldsID="afab567441fc85131f30e997597d9bf3" ns2:_="" ns3:_="">
    <xsd:import namespace="1108e97c-2fda-4b8f-a4bc-e2ee972c5b13"/>
    <xsd:import namespace="a14c7317-d61c-44ab-aea5-8a713b8afb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8e97c-2fda-4b8f-a4bc-e2ee972c5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4aa7c5-2c5c-4294-8eb0-8197aea18c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c7317-d61c-44ab-aea5-8a713b8afb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4b3f75-3e3d-4944-8750-a76af8938d98}" ma:internalName="TaxCatchAll" ma:showField="CatchAllData" ma:web="a14c7317-d61c-44ab-aea5-8a713b8af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2.xml><?xml version="1.0" encoding="utf-8"?>
<ds:datastoreItem xmlns:ds="http://schemas.openxmlformats.org/officeDocument/2006/customXml" ds:itemID="{FB476341-678A-40C2-BAC0-2F9EC98CD68A}">
  <ds:schemaRefs>
    <ds:schemaRef ds:uri="http://schemas.microsoft.com/sharepoint/v3/contenttype/forms"/>
  </ds:schemaRefs>
</ds:datastoreItem>
</file>

<file path=customXml/itemProps3.xml><?xml version="1.0" encoding="utf-8"?>
<ds:datastoreItem xmlns:ds="http://schemas.openxmlformats.org/officeDocument/2006/customXml" ds:itemID="{4FE2D2A5-4C6D-4E0D-B876-B82D4FC95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8e97c-2fda-4b8f-a4bc-e2ee972c5b13"/>
    <ds:schemaRef ds:uri="a14c7317-d61c-44ab-aea5-8a713b8af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Jane Wei</cp:lastModifiedBy>
  <cp:revision>4</cp:revision>
  <cp:lastPrinted>2014-09-29T14:43:00Z</cp:lastPrinted>
  <dcterms:created xsi:type="dcterms:W3CDTF">2023-02-02T18:40:00Z</dcterms:created>
  <dcterms:modified xsi:type="dcterms:W3CDTF">2023-02-02T19:18:00Z</dcterms:modified>
</cp:coreProperties>
</file>