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1715" w14:textId="10BC741B" w:rsidR="00E45B6D" w:rsidRDefault="006D6541" w:rsidP="00E45B6D">
      <w:pPr>
        <w:jc w:val="center"/>
        <w:rPr>
          <w:rFonts w:ascii="Arial" w:hAnsi="Arial" w:cs="Arial"/>
          <w:b/>
          <w:caps/>
          <w:sz w:val="36"/>
          <w:szCs w:val="36"/>
        </w:rPr>
      </w:pPr>
      <w:bookmarkStart w:id="0" w:name="_Hlk128580795"/>
      <w:bookmarkEnd w:id="0"/>
      <w:r>
        <w:rPr>
          <w:rFonts w:ascii="Arial" w:hAnsi="Arial" w:cs="Arial"/>
          <w:b/>
          <w:caps/>
          <w:sz w:val="36"/>
          <w:szCs w:val="36"/>
        </w:rPr>
        <w:t>SYNERGY NORTH</w:t>
      </w:r>
      <w:r w:rsidR="0094121B">
        <w:rPr>
          <w:rFonts w:ascii="Arial" w:hAnsi="Arial" w:cs="Arial"/>
          <w:b/>
          <w:caps/>
          <w:sz w:val="36"/>
          <w:szCs w:val="36"/>
        </w:rPr>
        <w:t xml:space="preserve"> CORPORATION</w:t>
      </w:r>
    </w:p>
    <w:p w14:paraId="3CC7845C" w14:textId="77777777" w:rsidR="00E45B6D" w:rsidRDefault="00E45B6D" w:rsidP="00E45B6D">
      <w:pPr>
        <w:jc w:val="center"/>
        <w:rPr>
          <w:rFonts w:ascii="Arial" w:hAnsi="Arial" w:cs="Arial"/>
          <w:b/>
          <w:caps/>
          <w:sz w:val="20"/>
          <w:szCs w:val="22"/>
        </w:rPr>
      </w:pPr>
    </w:p>
    <w:p w14:paraId="4D2D9503" w14:textId="77777777" w:rsidR="00E45B6D" w:rsidRDefault="00E45B6D" w:rsidP="00E45B6D">
      <w:pPr>
        <w:jc w:val="center"/>
        <w:rPr>
          <w:rFonts w:ascii="Arial" w:hAnsi="Arial" w:cs="Arial"/>
          <w:b/>
          <w:caps/>
          <w:sz w:val="20"/>
          <w:szCs w:val="22"/>
        </w:rPr>
      </w:pPr>
    </w:p>
    <w:p w14:paraId="68BA7AE4" w14:textId="77777777" w:rsidR="00E45B6D" w:rsidRDefault="00E45B6D" w:rsidP="00E45B6D">
      <w:pPr>
        <w:jc w:val="center"/>
        <w:rPr>
          <w:rFonts w:ascii="Arial" w:hAnsi="Arial" w:cs="Arial"/>
          <w:b/>
          <w:caps/>
          <w:sz w:val="20"/>
          <w:szCs w:val="22"/>
        </w:rPr>
      </w:pPr>
    </w:p>
    <w:p w14:paraId="55095EC2" w14:textId="77777777" w:rsidR="00E45B6D" w:rsidRPr="00784031" w:rsidRDefault="00E45B6D" w:rsidP="00E45B6D">
      <w:pPr>
        <w:jc w:val="center"/>
        <w:rPr>
          <w:rFonts w:ascii="Arial" w:hAnsi="Arial" w:cs="Arial"/>
          <w:b/>
          <w:caps/>
          <w:sz w:val="20"/>
          <w:szCs w:val="22"/>
        </w:rPr>
      </w:pPr>
      <w:r>
        <w:rPr>
          <w:rFonts w:ascii="Arial" w:hAnsi="Arial" w:cs="Arial"/>
          <w:b/>
          <w:caps/>
          <w:noProof/>
          <w:sz w:val="20"/>
          <w:szCs w:val="22"/>
          <w:lang w:val="en-CA" w:eastAsia="en-CA"/>
        </w:rPr>
        <mc:AlternateContent>
          <mc:Choice Requires="wps">
            <w:drawing>
              <wp:anchor distT="0" distB="0" distL="114300" distR="114300" simplePos="0" relativeHeight="251661312" behindDoc="0" locked="0" layoutInCell="1" allowOverlap="1" wp14:anchorId="75B51CC0" wp14:editId="401CD854">
                <wp:simplePos x="0" y="0"/>
                <wp:positionH relativeFrom="column">
                  <wp:posOffset>-450850</wp:posOffset>
                </wp:positionH>
                <wp:positionV relativeFrom="paragraph">
                  <wp:posOffset>9525</wp:posOffset>
                </wp:positionV>
                <wp:extent cx="621093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6210935" cy="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45AE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75pt" to="45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" strokecolor="#40a7c2 [3048]"/>
            </w:pict>
          </mc:Fallback>
        </mc:AlternateContent>
      </w:r>
      <w:r w:rsidRPr="00784031">
        <w:rPr>
          <w:rFonts w:ascii="Arial" w:hAnsi="Arial" w:cs="Arial"/>
          <w:b/>
          <w:caps/>
          <w:sz w:val="20"/>
          <w:szCs w:val="22"/>
        </w:rPr>
        <w:br/>
      </w:r>
    </w:p>
    <w:p w14:paraId="638521D3" w14:textId="77777777" w:rsidR="00E45B6D" w:rsidRDefault="00E45B6D" w:rsidP="00E45B6D">
      <w:pPr>
        <w:jc w:val="center"/>
        <w:rPr>
          <w:rFonts w:ascii="Arial" w:hAnsi="Arial" w:cs="Arial"/>
          <w:b/>
          <w:caps/>
          <w:sz w:val="28"/>
          <w:szCs w:val="28"/>
        </w:rPr>
      </w:pPr>
    </w:p>
    <w:p w14:paraId="056F8455" w14:textId="77777777" w:rsidR="00E45B6D" w:rsidRDefault="00E45B6D" w:rsidP="00E45B6D">
      <w:pPr>
        <w:jc w:val="center"/>
        <w:rPr>
          <w:rFonts w:ascii="Arial" w:hAnsi="Arial" w:cs="Arial"/>
          <w:b/>
          <w:caps/>
          <w:sz w:val="28"/>
          <w:szCs w:val="28"/>
        </w:rPr>
      </w:pPr>
    </w:p>
    <w:p w14:paraId="22345AD7" w14:textId="5966AF67" w:rsidR="00E45B6D" w:rsidRPr="009007C4" w:rsidRDefault="0094121B" w:rsidP="00E45B6D">
      <w:pPr>
        <w:jc w:val="center"/>
        <w:rPr>
          <w:rFonts w:ascii="Arial" w:hAnsi="Arial" w:cs="Arial"/>
          <w:b/>
          <w:caps/>
          <w:sz w:val="28"/>
          <w:szCs w:val="28"/>
        </w:rPr>
      </w:pPr>
      <w:r>
        <w:rPr>
          <w:rFonts w:ascii="Arial" w:hAnsi="Arial" w:cs="Arial"/>
          <w:b/>
          <w:caps/>
          <w:sz w:val="28"/>
          <w:szCs w:val="28"/>
        </w:rPr>
        <w:t>202</w:t>
      </w:r>
      <w:r w:rsidR="000866D6">
        <w:rPr>
          <w:rFonts w:ascii="Arial" w:hAnsi="Arial" w:cs="Arial"/>
          <w:b/>
          <w:caps/>
          <w:sz w:val="28"/>
          <w:szCs w:val="28"/>
        </w:rPr>
        <w:t>3</w:t>
      </w:r>
      <w:r w:rsidR="00E45B6D" w:rsidRPr="009007C4">
        <w:rPr>
          <w:rFonts w:ascii="Arial" w:hAnsi="Arial" w:cs="Arial"/>
          <w:b/>
          <w:caps/>
          <w:sz w:val="28"/>
          <w:szCs w:val="28"/>
        </w:rPr>
        <w:t xml:space="preserve"> Electricity Distribution Rate application</w:t>
      </w:r>
      <w:r w:rsidR="00E45B6D" w:rsidRPr="009007C4">
        <w:rPr>
          <w:rFonts w:ascii="Arial" w:hAnsi="Arial" w:cs="Arial"/>
          <w:b/>
          <w:caps/>
          <w:sz w:val="28"/>
          <w:szCs w:val="28"/>
        </w:rPr>
        <w:br/>
      </w:r>
    </w:p>
    <w:p w14:paraId="2BCC763F" w14:textId="77777777" w:rsidR="00426112" w:rsidRDefault="00426112" w:rsidP="00E45B6D">
      <w:pPr>
        <w:jc w:val="center"/>
        <w:rPr>
          <w:rFonts w:ascii="Arial" w:hAnsi="Arial" w:cs="Arial"/>
          <w:b/>
          <w:caps/>
          <w:sz w:val="28"/>
          <w:szCs w:val="28"/>
        </w:rPr>
      </w:pPr>
      <w:r>
        <w:rPr>
          <w:rFonts w:ascii="Arial" w:hAnsi="Arial" w:cs="Arial"/>
          <w:b/>
          <w:caps/>
          <w:sz w:val="28"/>
          <w:szCs w:val="28"/>
        </w:rPr>
        <w:t xml:space="preserve">Disposal of accounts 1588 &amp; 1589 </w:t>
      </w:r>
    </w:p>
    <w:p w14:paraId="4D8DB928" w14:textId="2ED13AE0" w:rsidR="00E45B6D" w:rsidRPr="009007C4" w:rsidRDefault="00426112" w:rsidP="00E45B6D">
      <w:pPr>
        <w:jc w:val="center"/>
        <w:rPr>
          <w:rFonts w:ascii="Arial" w:hAnsi="Arial" w:cs="Arial"/>
          <w:b/>
          <w:caps/>
          <w:sz w:val="28"/>
          <w:szCs w:val="28"/>
        </w:rPr>
      </w:pPr>
      <w:r>
        <w:rPr>
          <w:rFonts w:ascii="Arial" w:hAnsi="Arial" w:cs="Arial"/>
          <w:b/>
          <w:caps/>
          <w:sz w:val="28"/>
          <w:szCs w:val="28"/>
        </w:rPr>
        <w:t xml:space="preserve">bifurcated from </w:t>
      </w:r>
      <w:r w:rsidR="00DC6E0E">
        <w:rPr>
          <w:rFonts w:ascii="Arial" w:hAnsi="Arial" w:cs="Arial"/>
          <w:b/>
          <w:caps/>
          <w:sz w:val="28"/>
          <w:szCs w:val="28"/>
        </w:rPr>
        <w:t>EB-</w:t>
      </w:r>
      <w:r w:rsidR="000866D6">
        <w:rPr>
          <w:rFonts w:ascii="Arial" w:hAnsi="Arial" w:cs="Arial"/>
          <w:b/>
          <w:caps/>
          <w:sz w:val="28"/>
          <w:szCs w:val="28"/>
        </w:rPr>
        <w:t>2022-0063</w:t>
      </w:r>
    </w:p>
    <w:p w14:paraId="5104FF35" w14:textId="77777777" w:rsidR="00E45B6D" w:rsidRPr="00784031" w:rsidRDefault="00E45B6D" w:rsidP="00057518">
      <w:pPr>
        <w:rPr>
          <w:rFonts w:ascii="Arial" w:hAnsi="Arial" w:cs="Arial"/>
          <w:b/>
          <w:caps/>
          <w:sz w:val="20"/>
          <w:szCs w:val="22"/>
        </w:rPr>
        <w:sectPr w:rsidR="00E45B6D" w:rsidRPr="00784031" w:rsidSect="00057518">
          <w:headerReference w:type="default" r:id="rId8"/>
          <w:pgSz w:w="12240" w:h="15840" w:code="1"/>
          <w:pgMar w:top="1440" w:right="1797" w:bottom="1440" w:left="1797" w:header="720" w:footer="720" w:gutter="0"/>
          <w:cols w:space="720"/>
          <w:vAlign w:val="center"/>
          <w:titlePg/>
          <w:docGrid w:linePitch="360"/>
        </w:sectPr>
      </w:pPr>
    </w:p>
    <w:p w14:paraId="273B0002" w14:textId="77777777" w:rsidR="00874DE1" w:rsidRDefault="00874DE1" w:rsidP="00562A5B">
      <w:pPr>
        <w:pStyle w:val="TOC1"/>
      </w:pPr>
    </w:p>
    <w:p w14:paraId="20FEAD83" w14:textId="4412AFDC" w:rsidR="0033030D" w:rsidRPr="00AB52C8" w:rsidRDefault="0033030D" w:rsidP="00510417">
      <w:pPr>
        <w:spacing w:after="200" w:line="276" w:lineRule="auto"/>
      </w:pPr>
      <w:r w:rsidRPr="009007C4">
        <w:rPr>
          <w:rFonts w:ascii="Arial" w:hAnsi="Arial" w:cs="Arial"/>
          <w:b/>
          <w:sz w:val="20"/>
          <w:szCs w:val="22"/>
        </w:rPr>
        <w:t>ONTARIO ENERGY BOARD</w:t>
      </w:r>
    </w:p>
    <w:p w14:paraId="65533ED9" w14:textId="77777777" w:rsidR="0033030D" w:rsidRPr="009007C4" w:rsidRDefault="0033030D" w:rsidP="0033741A">
      <w:pPr>
        <w:autoSpaceDE w:val="0"/>
        <w:autoSpaceDN w:val="0"/>
        <w:adjustRightInd w:val="0"/>
        <w:ind w:firstLine="720"/>
        <w:jc w:val="both"/>
        <w:rPr>
          <w:rFonts w:ascii="Arial" w:hAnsi="Arial" w:cs="Arial"/>
          <w:sz w:val="20"/>
          <w:szCs w:val="22"/>
        </w:rPr>
      </w:pPr>
    </w:p>
    <w:p w14:paraId="7E71ECBA" w14:textId="5E05D3CD" w:rsidR="0033030D" w:rsidRDefault="0033030D" w:rsidP="008D4E5C">
      <w:pPr>
        <w:autoSpaceDE w:val="0"/>
        <w:autoSpaceDN w:val="0"/>
        <w:adjustRightInd w:val="0"/>
        <w:spacing w:line="276" w:lineRule="auto"/>
        <w:ind w:left="720"/>
        <w:jc w:val="both"/>
        <w:rPr>
          <w:rFonts w:ascii="Arial" w:hAnsi="Arial" w:cs="Arial"/>
          <w:sz w:val="20"/>
          <w:szCs w:val="22"/>
        </w:rPr>
      </w:pPr>
      <w:r w:rsidRPr="009007C4">
        <w:rPr>
          <w:rFonts w:ascii="Arial" w:hAnsi="Arial" w:cs="Arial"/>
          <w:b/>
          <w:sz w:val="20"/>
          <w:szCs w:val="22"/>
        </w:rPr>
        <w:t>IN THE MATTER OF</w:t>
      </w:r>
      <w:r w:rsidRPr="009007C4">
        <w:rPr>
          <w:rFonts w:ascii="Arial" w:hAnsi="Arial" w:cs="Arial"/>
          <w:sz w:val="20"/>
          <w:szCs w:val="22"/>
        </w:rPr>
        <w:t xml:space="preserve"> the Ontario Energy Board Act, 1998, being Schedule B to the Energy Competition Act, 1998, </w:t>
      </w:r>
      <w:proofErr w:type="spellStart"/>
      <w:r w:rsidRPr="009007C4">
        <w:rPr>
          <w:rFonts w:ascii="Arial" w:hAnsi="Arial" w:cs="Arial"/>
          <w:sz w:val="20"/>
          <w:szCs w:val="22"/>
        </w:rPr>
        <w:t>S.O</w:t>
      </w:r>
      <w:proofErr w:type="spellEnd"/>
      <w:r w:rsidRPr="009007C4">
        <w:rPr>
          <w:rFonts w:ascii="Arial" w:hAnsi="Arial" w:cs="Arial"/>
          <w:sz w:val="20"/>
          <w:szCs w:val="22"/>
        </w:rPr>
        <w:t>. 1998, c.15;</w:t>
      </w:r>
    </w:p>
    <w:p w14:paraId="209B42D4" w14:textId="77777777" w:rsidR="008D4E5C" w:rsidRPr="009007C4" w:rsidRDefault="008D4E5C" w:rsidP="00520579">
      <w:pPr>
        <w:autoSpaceDE w:val="0"/>
        <w:autoSpaceDN w:val="0"/>
        <w:adjustRightInd w:val="0"/>
        <w:ind w:left="720"/>
        <w:jc w:val="both"/>
        <w:rPr>
          <w:rFonts w:ascii="Arial" w:hAnsi="Arial" w:cs="Arial"/>
          <w:sz w:val="20"/>
          <w:szCs w:val="22"/>
        </w:rPr>
      </w:pPr>
    </w:p>
    <w:p w14:paraId="1CF1C836" w14:textId="05D2542C" w:rsidR="00520579" w:rsidRDefault="0033030D" w:rsidP="00520579">
      <w:pPr>
        <w:autoSpaceDE w:val="0"/>
        <w:autoSpaceDN w:val="0"/>
        <w:adjustRightInd w:val="0"/>
        <w:spacing w:line="276" w:lineRule="auto"/>
        <w:ind w:left="720"/>
        <w:jc w:val="both"/>
        <w:rPr>
          <w:rFonts w:ascii="Arial" w:hAnsi="Arial" w:cs="Arial"/>
          <w:sz w:val="20"/>
          <w:szCs w:val="22"/>
        </w:rPr>
      </w:pPr>
      <w:r w:rsidRPr="009007C4">
        <w:rPr>
          <w:rFonts w:ascii="Arial" w:hAnsi="Arial" w:cs="Arial"/>
          <w:b/>
          <w:sz w:val="20"/>
          <w:szCs w:val="22"/>
        </w:rPr>
        <w:t>AND IN THE MATTER</w:t>
      </w:r>
      <w:r w:rsidRPr="009007C4">
        <w:rPr>
          <w:rFonts w:ascii="Arial" w:hAnsi="Arial" w:cs="Arial"/>
          <w:sz w:val="20"/>
          <w:szCs w:val="22"/>
        </w:rPr>
        <w:t xml:space="preserve"> </w:t>
      </w:r>
      <w:r w:rsidRPr="009007C4">
        <w:rPr>
          <w:rFonts w:ascii="Arial" w:hAnsi="Arial" w:cs="Arial"/>
          <w:b/>
          <w:sz w:val="20"/>
          <w:szCs w:val="22"/>
        </w:rPr>
        <w:t>OF</w:t>
      </w:r>
      <w:r w:rsidRPr="009007C4">
        <w:rPr>
          <w:rFonts w:ascii="Arial" w:hAnsi="Arial" w:cs="Arial"/>
          <w:sz w:val="20"/>
          <w:szCs w:val="22"/>
        </w:rPr>
        <w:t xml:space="preserve"> an Application by </w:t>
      </w:r>
      <w:r w:rsidR="006D6541">
        <w:rPr>
          <w:rFonts w:ascii="Arial" w:hAnsi="Arial" w:cs="Arial"/>
          <w:sz w:val="20"/>
          <w:szCs w:val="22"/>
        </w:rPr>
        <w:t>SYNERGY NORTH</w:t>
      </w:r>
      <w:r w:rsidR="00D26576">
        <w:rPr>
          <w:rFonts w:ascii="Arial" w:hAnsi="Arial" w:cs="Arial"/>
          <w:sz w:val="20"/>
          <w:szCs w:val="22"/>
        </w:rPr>
        <w:t xml:space="preserve"> CORPORATION</w:t>
      </w:r>
      <w:r w:rsidR="005C4005">
        <w:rPr>
          <w:rFonts w:ascii="Arial" w:hAnsi="Arial" w:cs="Arial"/>
          <w:sz w:val="20"/>
          <w:szCs w:val="22"/>
        </w:rPr>
        <w:t xml:space="preserve"> </w:t>
      </w:r>
      <w:r w:rsidRPr="009007C4">
        <w:rPr>
          <w:rFonts w:ascii="Arial" w:hAnsi="Arial" w:cs="Arial"/>
          <w:sz w:val="20"/>
          <w:szCs w:val="22"/>
        </w:rPr>
        <w:t>to the Ontario Energy Board for an Order or Orders approving or fixing just and</w:t>
      </w:r>
      <w:r w:rsidR="001F5873" w:rsidRPr="009007C4">
        <w:rPr>
          <w:rFonts w:ascii="Arial" w:hAnsi="Arial" w:cs="Arial"/>
          <w:sz w:val="20"/>
          <w:szCs w:val="22"/>
        </w:rPr>
        <w:t xml:space="preserve"> </w:t>
      </w:r>
      <w:r w:rsidRPr="009007C4">
        <w:rPr>
          <w:rFonts w:ascii="Arial" w:hAnsi="Arial" w:cs="Arial"/>
          <w:sz w:val="20"/>
          <w:szCs w:val="22"/>
        </w:rPr>
        <w:t xml:space="preserve">reasonable rates and other service charges for the distribution of </w:t>
      </w:r>
      <w:r w:rsidRPr="00B705E9">
        <w:rPr>
          <w:rFonts w:ascii="Arial" w:hAnsi="Arial" w:cs="Arial"/>
          <w:sz w:val="20"/>
          <w:szCs w:val="22"/>
        </w:rPr>
        <w:t xml:space="preserve">electricity </w:t>
      </w:r>
      <w:r w:rsidRPr="00A942DC">
        <w:rPr>
          <w:rFonts w:ascii="Arial" w:hAnsi="Arial" w:cs="Arial"/>
          <w:sz w:val="20"/>
          <w:szCs w:val="22"/>
        </w:rPr>
        <w:t>as of M</w:t>
      </w:r>
      <w:r w:rsidR="0094121B" w:rsidRPr="00A942DC">
        <w:rPr>
          <w:rFonts w:ascii="Arial" w:hAnsi="Arial" w:cs="Arial"/>
          <w:sz w:val="20"/>
          <w:szCs w:val="22"/>
        </w:rPr>
        <w:t>ay 1, 202</w:t>
      </w:r>
      <w:r w:rsidR="00F77A04">
        <w:rPr>
          <w:rFonts w:ascii="Arial" w:hAnsi="Arial" w:cs="Arial"/>
          <w:sz w:val="20"/>
          <w:szCs w:val="22"/>
        </w:rPr>
        <w:t>3</w:t>
      </w:r>
      <w:r w:rsidR="006E3D2A">
        <w:rPr>
          <w:rFonts w:ascii="Arial" w:hAnsi="Arial" w:cs="Arial"/>
          <w:sz w:val="20"/>
          <w:szCs w:val="22"/>
        </w:rPr>
        <w:t>.</w:t>
      </w:r>
    </w:p>
    <w:p w14:paraId="70F3BD40" w14:textId="77777777" w:rsidR="00520579" w:rsidRPr="00520579" w:rsidRDefault="00520579" w:rsidP="00520579">
      <w:pPr>
        <w:autoSpaceDE w:val="0"/>
        <w:autoSpaceDN w:val="0"/>
        <w:adjustRightInd w:val="0"/>
        <w:ind w:left="720"/>
        <w:jc w:val="both"/>
        <w:rPr>
          <w:rFonts w:ascii="Arial" w:hAnsi="Arial" w:cs="Arial"/>
          <w:sz w:val="20"/>
          <w:szCs w:val="22"/>
        </w:rPr>
      </w:pPr>
    </w:p>
    <w:p w14:paraId="3B3AA1DC" w14:textId="66852538" w:rsidR="00230878" w:rsidRPr="00A942DC" w:rsidRDefault="00906384" w:rsidP="00520579">
      <w:pPr>
        <w:autoSpaceDE w:val="0"/>
        <w:autoSpaceDN w:val="0"/>
        <w:adjustRightInd w:val="0"/>
        <w:spacing w:line="276" w:lineRule="auto"/>
        <w:ind w:left="720"/>
        <w:jc w:val="both"/>
        <w:rPr>
          <w:rFonts w:ascii="Arial" w:hAnsi="Arial" w:cs="Arial"/>
          <w:sz w:val="20"/>
          <w:szCs w:val="22"/>
        </w:rPr>
      </w:pPr>
      <w:r w:rsidRPr="00A942DC">
        <w:rPr>
          <w:rFonts w:ascii="Arial" w:hAnsi="Arial" w:cs="Arial"/>
          <w:b/>
          <w:sz w:val="20"/>
          <w:szCs w:val="22"/>
        </w:rPr>
        <w:t>TITLE OF PROCEEDING</w:t>
      </w:r>
      <w:r w:rsidRPr="00A942DC">
        <w:rPr>
          <w:rFonts w:ascii="Arial" w:hAnsi="Arial" w:cs="Arial"/>
          <w:sz w:val="20"/>
          <w:szCs w:val="22"/>
        </w:rPr>
        <w:t xml:space="preserve">:  An Application by </w:t>
      </w:r>
      <w:r w:rsidR="006D6541">
        <w:rPr>
          <w:rFonts w:ascii="Arial" w:hAnsi="Arial" w:cs="Arial"/>
          <w:sz w:val="20"/>
          <w:szCs w:val="22"/>
        </w:rPr>
        <w:t>SYNERGY NORTH</w:t>
      </w:r>
      <w:r w:rsidR="00D26576" w:rsidRPr="00A942DC">
        <w:rPr>
          <w:rFonts w:ascii="Arial" w:hAnsi="Arial" w:cs="Arial"/>
          <w:sz w:val="20"/>
          <w:szCs w:val="22"/>
        </w:rPr>
        <w:t xml:space="preserve"> CORPORATION</w:t>
      </w:r>
      <w:r w:rsidRPr="00A942DC">
        <w:rPr>
          <w:rFonts w:ascii="Arial" w:hAnsi="Arial" w:cs="Arial"/>
          <w:sz w:val="20"/>
          <w:szCs w:val="22"/>
        </w:rPr>
        <w:t xml:space="preserve"> for an Order or Orders </w:t>
      </w:r>
      <w:r w:rsidR="00FA4098" w:rsidRPr="00A942DC">
        <w:rPr>
          <w:rFonts w:ascii="Arial" w:hAnsi="Arial" w:cs="Arial"/>
          <w:sz w:val="20"/>
          <w:szCs w:val="22"/>
        </w:rPr>
        <w:t>by Rate Zone</w:t>
      </w:r>
      <w:r w:rsidR="005C4005" w:rsidRPr="00A942DC">
        <w:rPr>
          <w:rFonts w:ascii="Arial" w:hAnsi="Arial" w:cs="Arial"/>
          <w:sz w:val="20"/>
          <w:szCs w:val="22"/>
        </w:rPr>
        <w:t xml:space="preserve"> </w:t>
      </w:r>
      <w:r w:rsidRPr="00A942DC">
        <w:rPr>
          <w:rFonts w:ascii="Arial" w:hAnsi="Arial" w:cs="Arial"/>
          <w:sz w:val="20"/>
          <w:szCs w:val="22"/>
        </w:rPr>
        <w:t>approving or fixing just and reasonable distribution rates and othe</w:t>
      </w:r>
      <w:r w:rsidR="0094121B" w:rsidRPr="00A942DC">
        <w:rPr>
          <w:rFonts w:ascii="Arial" w:hAnsi="Arial" w:cs="Arial"/>
          <w:sz w:val="20"/>
          <w:szCs w:val="22"/>
        </w:rPr>
        <w:t>r charges, effective May 1, 202</w:t>
      </w:r>
      <w:r w:rsidR="00F77A04">
        <w:rPr>
          <w:rFonts w:ascii="Arial" w:hAnsi="Arial" w:cs="Arial"/>
          <w:sz w:val="20"/>
          <w:szCs w:val="22"/>
        </w:rPr>
        <w:t>3</w:t>
      </w:r>
      <w:r w:rsidRPr="00A942DC">
        <w:rPr>
          <w:rFonts w:ascii="Arial" w:hAnsi="Arial" w:cs="Arial"/>
          <w:sz w:val="20"/>
          <w:szCs w:val="22"/>
        </w:rPr>
        <w:t>.</w:t>
      </w:r>
    </w:p>
    <w:p w14:paraId="4C4136E9" w14:textId="77777777" w:rsidR="00220A1E" w:rsidRPr="00A942DC" w:rsidRDefault="00220A1E" w:rsidP="00220A1E">
      <w:pPr>
        <w:rPr>
          <w:rFonts w:ascii="Arial" w:hAnsi="Arial" w:cs="Arial"/>
          <w:b/>
          <w:szCs w:val="28"/>
        </w:rPr>
      </w:pPr>
      <w:bookmarkStart w:id="1" w:name="_Toc368992417"/>
      <w:bookmarkStart w:id="2" w:name="_Toc430700755"/>
      <w:bookmarkStart w:id="3" w:name="_Toc430701245"/>
      <w:bookmarkStart w:id="4" w:name="_Toc497556719"/>
    </w:p>
    <w:p w14:paraId="53605A60" w14:textId="1252F883" w:rsidR="00936CA7" w:rsidRPr="00A942DC" w:rsidRDefault="001F5873" w:rsidP="00A942DC">
      <w:pPr>
        <w:rPr>
          <w:rFonts w:ascii="Arial" w:hAnsi="Arial" w:cs="Arial"/>
          <w:sz w:val="20"/>
          <w:szCs w:val="22"/>
        </w:rPr>
      </w:pPr>
      <w:r w:rsidRPr="00A942DC">
        <w:rPr>
          <w:rFonts w:ascii="Arial" w:hAnsi="Arial" w:cs="Arial"/>
          <w:b/>
          <w:szCs w:val="28"/>
        </w:rPr>
        <w:t>Application</w:t>
      </w:r>
      <w:bookmarkEnd w:id="1"/>
      <w:bookmarkEnd w:id="2"/>
      <w:bookmarkEnd w:id="3"/>
      <w:r w:rsidR="003C104C" w:rsidRPr="00A942DC">
        <w:rPr>
          <w:rFonts w:ascii="Arial" w:hAnsi="Arial" w:cs="Arial"/>
          <w:b/>
          <w:szCs w:val="28"/>
        </w:rPr>
        <w:t xml:space="preserve"> – Relief </w:t>
      </w:r>
      <w:r w:rsidR="00B27ED9">
        <w:rPr>
          <w:rFonts w:ascii="Arial" w:hAnsi="Arial" w:cs="Arial"/>
          <w:b/>
          <w:szCs w:val="28"/>
        </w:rPr>
        <w:t>S</w:t>
      </w:r>
      <w:r w:rsidR="003C104C" w:rsidRPr="00A942DC">
        <w:rPr>
          <w:rFonts w:ascii="Arial" w:hAnsi="Arial" w:cs="Arial"/>
          <w:b/>
          <w:szCs w:val="28"/>
        </w:rPr>
        <w:t>ought</w:t>
      </w:r>
      <w:bookmarkEnd w:id="4"/>
    </w:p>
    <w:p w14:paraId="3277FADB" w14:textId="77777777" w:rsidR="0033030D" w:rsidRPr="00A942DC" w:rsidRDefault="0033030D" w:rsidP="0033741A">
      <w:pPr>
        <w:jc w:val="both"/>
        <w:rPr>
          <w:rFonts w:ascii="Arial" w:hAnsi="Arial" w:cs="Arial"/>
          <w:b/>
          <w:caps/>
          <w:sz w:val="20"/>
          <w:szCs w:val="22"/>
        </w:rPr>
      </w:pPr>
    </w:p>
    <w:p w14:paraId="3FDF5F34" w14:textId="51A3D9F8" w:rsidR="00936CA7" w:rsidRPr="00A942DC" w:rsidRDefault="006D6541" w:rsidP="001B4A0A">
      <w:pPr>
        <w:pStyle w:val="ListParagraph"/>
        <w:numPr>
          <w:ilvl w:val="0"/>
          <w:numId w:val="6"/>
        </w:num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sidRPr="00A942DC">
        <w:rPr>
          <w:rFonts w:ascii="Arial" w:eastAsiaTheme="minorHAnsi" w:hAnsi="Arial" w:cs="Arial"/>
          <w:sz w:val="20"/>
          <w:szCs w:val="22"/>
          <w:lang w:val="en-CA"/>
        </w:rPr>
        <w:t xml:space="preserve"> CORPORATION </w:t>
      </w:r>
      <w:r w:rsidR="00936CA7" w:rsidRPr="00A942DC">
        <w:rPr>
          <w:rFonts w:ascii="Arial" w:eastAsiaTheme="minorHAnsi" w:hAnsi="Arial" w:cs="Arial"/>
          <w:sz w:val="20"/>
          <w:szCs w:val="22"/>
          <w:lang w:val="en-CA"/>
        </w:rPr>
        <w:t>(</w:t>
      </w:r>
      <w:r>
        <w:rPr>
          <w:rFonts w:ascii="Arial" w:eastAsiaTheme="minorHAnsi" w:hAnsi="Arial" w:cs="Arial"/>
          <w:sz w:val="20"/>
          <w:szCs w:val="22"/>
          <w:lang w:val="en-CA"/>
        </w:rPr>
        <w:t>SYNERGY NORTH</w:t>
      </w:r>
      <w:r w:rsidR="00936CA7" w:rsidRPr="00A942DC">
        <w:rPr>
          <w:rFonts w:ascii="Arial" w:eastAsiaTheme="minorHAnsi" w:hAnsi="Arial" w:cs="Arial"/>
          <w:sz w:val="20"/>
          <w:szCs w:val="22"/>
          <w:lang w:val="en-CA"/>
        </w:rPr>
        <w:t xml:space="preserve">) is a distributor as defined in, and is licensed as such under, the </w:t>
      </w:r>
      <w:r w:rsidR="00936CA7" w:rsidRPr="00A942DC">
        <w:rPr>
          <w:rFonts w:ascii="Arial" w:eastAsiaTheme="minorHAnsi" w:hAnsi="Arial" w:cs="Arial"/>
          <w:i/>
          <w:iCs/>
          <w:sz w:val="20"/>
          <w:szCs w:val="22"/>
          <w:lang w:val="en-CA"/>
        </w:rPr>
        <w:t xml:space="preserve">Ontario Energy Board Act, 1998 </w:t>
      </w:r>
      <w:r w:rsidR="00936CA7" w:rsidRPr="00A942DC">
        <w:rPr>
          <w:rFonts w:ascii="Arial" w:eastAsiaTheme="minorHAnsi" w:hAnsi="Arial" w:cs="Arial"/>
          <w:sz w:val="20"/>
          <w:szCs w:val="22"/>
          <w:lang w:val="en-CA"/>
        </w:rPr>
        <w:t xml:space="preserve">(the “Act”). </w:t>
      </w:r>
      <w:r>
        <w:rPr>
          <w:rFonts w:ascii="Arial" w:eastAsiaTheme="minorHAnsi" w:hAnsi="Arial" w:cs="Arial"/>
          <w:sz w:val="20"/>
          <w:szCs w:val="22"/>
          <w:lang w:val="en-CA"/>
        </w:rPr>
        <w:t>SYNERGY NORTH</w:t>
      </w:r>
      <w:r w:rsidR="00936CA7" w:rsidRPr="00A942DC">
        <w:rPr>
          <w:rFonts w:ascii="Arial" w:eastAsiaTheme="minorHAnsi" w:hAnsi="Arial" w:cs="Arial"/>
          <w:sz w:val="20"/>
          <w:szCs w:val="22"/>
          <w:lang w:val="en-CA"/>
        </w:rPr>
        <w:t xml:space="preserve"> holds Electric</w:t>
      </w:r>
      <w:r w:rsidR="0094121B" w:rsidRPr="00A942DC">
        <w:rPr>
          <w:rFonts w:ascii="Arial" w:eastAsiaTheme="minorHAnsi" w:hAnsi="Arial" w:cs="Arial"/>
          <w:sz w:val="20"/>
          <w:szCs w:val="22"/>
          <w:lang w:val="en-CA"/>
        </w:rPr>
        <w:t>ity Distribution Licence ED-2018</w:t>
      </w:r>
      <w:r w:rsidR="00936CA7" w:rsidRPr="00A942DC">
        <w:rPr>
          <w:rFonts w:ascii="Arial" w:eastAsiaTheme="minorHAnsi" w:hAnsi="Arial" w:cs="Arial"/>
          <w:sz w:val="20"/>
          <w:szCs w:val="22"/>
          <w:lang w:val="en-CA"/>
        </w:rPr>
        <w:t>-</w:t>
      </w:r>
      <w:r w:rsidR="0094121B" w:rsidRPr="00A942DC">
        <w:rPr>
          <w:rFonts w:ascii="Arial" w:eastAsiaTheme="minorHAnsi" w:hAnsi="Arial" w:cs="Arial"/>
          <w:sz w:val="20"/>
          <w:szCs w:val="22"/>
          <w:lang w:val="en-CA"/>
        </w:rPr>
        <w:t>0233</w:t>
      </w:r>
      <w:r w:rsidR="00936CA7" w:rsidRPr="00A942DC">
        <w:rPr>
          <w:rFonts w:ascii="Arial" w:eastAsiaTheme="minorHAnsi" w:hAnsi="Arial" w:cs="Arial"/>
          <w:sz w:val="20"/>
          <w:szCs w:val="22"/>
          <w:lang w:val="en-CA"/>
        </w:rPr>
        <w:t>.</w:t>
      </w:r>
    </w:p>
    <w:p w14:paraId="775417D8" w14:textId="77777777" w:rsidR="00936CA7" w:rsidRPr="00A942DC" w:rsidRDefault="0094121B" w:rsidP="0094121B">
      <w:pPr>
        <w:tabs>
          <w:tab w:val="left" w:pos="1073"/>
        </w:tabs>
        <w:autoSpaceDE w:val="0"/>
        <w:autoSpaceDN w:val="0"/>
        <w:adjustRightInd w:val="0"/>
        <w:spacing w:line="360" w:lineRule="auto"/>
        <w:jc w:val="both"/>
        <w:rPr>
          <w:rFonts w:ascii="Arial" w:eastAsiaTheme="minorHAnsi" w:hAnsi="Arial" w:cs="Arial"/>
          <w:sz w:val="20"/>
          <w:szCs w:val="22"/>
          <w:lang w:val="en-CA"/>
        </w:rPr>
      </w:pPr>
      <w:r w:rsidRPr="00A942DC">
        <w:rPr>
          <w:rFonts w:ascii="Arial" w:eastAsiaTheme="minorHAnsi" w:hAnsi="Arial" w:cs="Arial"/>
          <w:sz w:val="20"/>
          <w:szCs w:val="22"/>
          <w:lang w:val="en-CA"/>
        </w:rPr>
        <w:tab/>
      </w:r>
    </w:p>
    <w:p w14:paraId="70239E05" w14:textId="0B24CFD9" w:rsidR="00936CA7" w:rsidRPr="00A942DC" w:rsidRDefault="006D6541" w:rsidP="001B4A0A">
      <w:pPr>
        <w:pStyle w:val="ListParagraph"/>
        <w:numPr>
          <w:ilvl w:val="0"/>
          <w:numId w:val="6"/>
        </w:num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936CA7" w:rsidRPr="00A942DC">
        <w:rPr>
          <w:rFonts w:ascii="Arial" w:eastAsiaTheme="minorHAnsi" w:hAnsi="Arial" w:cs="Arial"/>
          <w:sz w:val="20"/>
          <w:szCs w:val="22"/>
          <w:lang w:val="en-CA"/>
        </w:rPr>
        <w:t xml:space="preserve"> hereby applies to the Ontario Energy Board (the “Board”), pursuant to</w:t>
      </w:r>
      <w:r w:rsidR="002E0615" w:rsidRPr="00A942DC">
        <w:rPr>
          <w:rFonts w:ascii="Arial" w:eastAsiaTheme="minorHAnsi" w:hAnsi="Arial" w:cs="Arial"/>
          <w:sz w:val="20"/>
          <w:szCs w:val="22"/>
          <w:lang w:val="en-CA"/>
        </w:rPr>
        <w:t xml:space="preserve"> </w:t>
      </w:r>
      <w:r w:rsidR="00936CA7" w:rsidRPr="00A942DC">
        <w:rPr>
          <w:rFonts w:ascii="Arial" w:eastAsiaTheme="minorHAnsi" w:hAnsi="Arial" w:cs="Arial"/>
          <w:sz w:val="20"/>
          <w:szCs w:val="22"/>
          <w:lang w:val="en-CA"/>
        </w:rPr>
        <w:t>section 78 of the Act, for an Order or Orders approving or fixing just and reasonable rates</w:t>
      </w:r>
      <w:r w:rsidR="002E0615" w:rsidRPr="00A942DC">
        <w:rPr>
          <w:rFonts w:ascii="Arial" w:eastAsiaTheme="minorHAnsi" w:hAnsi="Arial" w:cs="Arial"/>
          <w:sz w:val="20"/>
          <w:szCs w:val="22"/>
          <w:lang w:val="en-CA"/>
        </w:rPr>
        <w:t xml:space="preserve"> </w:t>
      </w:r>
      <w:r w:rsidR="00936CA7" w:rsidRPr="00A942DC">
        <w:rPr>
          <w:rFonts w:ascii="Arial" w:eastAsiaTheme="minorHAnsi" w:hAnsi="Arial" w:cs="Arial"/>
          <w:sz w:val="20"/>
          <w:szCs w:val="22"/>
          <w:lang w:val="en-CA"/>
        </w:rPr>
        <w:t>for distribut</w:t>
      </w:r>
      <w:r w:rsidR="0094121B" w:rsidRPr="00A942DC">
        <w:rPr>
          <w:rFonts w:ascii="Arial" w:eastAsiaTheme="minorHAnsi" w:hAnsi="Arial" w:cs="Arial"/>
          <w:sz w:val="20"/>
          <w:szCs w:val="22"/>
          <w:lang w:val="en-CA"/>
        </w:rPr>
        <w:t>ion service effective May 1, 202</w:t>
      </w:r>
      <w:r w:rsidR="00F77A04">
        <w:rPr>
          <w:rFonts w:ascii="Arial" w:eastAsiaTheme="minorHAnsi" w:hAnsi="Arial" w:cs="Arial"/>
          <w:sz w:val="20"/>
          <w:szCs w:val="22"/>
          <w:lang w:val="en-CA"/>
        </w:rPr>
        <w:t>3</w:t>
      </w:r>
      <w:r w:rsidR="0094121B" w:rsidRPr="00A942DC">
        <w:rPr>
          <w:rFonts w:ascii="Arial" w:eastAsiaTheme="minorHAnsi" w:hAnsi="Arial" w:cs="Arial"/>
          <w:sz w:val="20"/>
          <w:szCs w:val="22"/>
          <w:lang w:val="en-CA"/>
        </w:rPr>
        <w:t xml:space="preserve">. </w:t>
      </w:r>
      <w:r w:rsidR="00936CA7" w:rsidRPr="00A942DC">
        <w:rPr>
          <w:rFonts w:ascii="Arial" w:eastAsiaTheme="minorHAnsi" w:hAnsi="Arial" w:cs="Arial"/>
          <w:sz w:val="20"/>
          <w:szCs w:val="22"/>
          <w:lang w:val="en-CA"/>
        </w:rPr>
        <w:t>This Application is made in accordance</w:t>
      </w:r>
      <w:r w:rsidR="002E0615" w:rsidRPr="00A942DC">
        <w:rPr>
          <w:rFonts w:ascii="Arial" w:eastAsiaTheme="minorHAnsi" w:hAnsi="Arial" w:cs="Arial"/>
          <w:sz w:val="20"/>
          <w:szCs w:val="22"/>
          <w:lang w:val="en-CA"/>
        </w:rPr>
        <w:t xml:space="preserve"> </w:t>
      </w:r>
      <w:r w:rsidR="00936CA7" w:rsidRPr="00A942DC">
        <w:rPr>
          <w:rFonts w:ascii="Arial" w:eastAsiaTheme="minorHAnsi" w:hAnsi="Arial" w:cs="Arial"/>
          <w:sz w:val="20"/>
          <w:szCs w:val="22"/>
          <w:lang w:val="en-CA"/>
        </w:rPr>
        <w:t xml:space="preserve">with the Board’s update to Chapter 3 of </w:t>
      </w:r>
      <w:r w:rsidR="00936CA7" w:rsidRPr="001F7FB0">
        <w:rPr>
          <w:rFonts w:ascii="Arial" w:eastAsiaTheme="minorHAnsi" w:hAnsi="Arial" w:cs="Arial"/>
          <w:sz w:val="20"/>
          <w:szCs w:val="22"/>
          <w:lang w:val="en-CA"/>
        </w:rPr>
        <w:t xml:space="preserve">the </w:t>
      </w:r>
      <w:r w:rsidR="00936CA7" w:rsidRPr="001F7FB0">
        <w:rPr>
          <w:rFonts w:ascii="Arial" w:eastAsiaTheme="minorHAnsi" w:hAnsi="Arial" w:cs="Arial"/>
          <w:i/>
          <w:iCs/>
          <w:sz w:val="20"/>
          <w:szCs w:val="22"/>
          <w:lang w:val="en-CA"/>
        </w:rPr>
        <w:t>Filing Requirements</w:t>
      </w:r>
      <w:r w:rsidR="00936CA7" w:rsidRPr="00A942DC">
        <w:rPr>
          <w:rFonts w:ascii="Arial" w:eastAsiaTheme="minorHAnsi" w:hAnsi="Arial" w:cs="Arial"/>
          <w:i/>
          <w:iCs/>
          <w:sz w:val="20"/>
          <w:szCs w:val="22"/>
          <w:lang w:val="en-CA"/>
        </w:rPr>
        <w:t xml:space="preserve"> for Electricity Distribution Rate Applications</w:t>
      </w:r>
      <w:r w:rsidR="00D82EF0" w:rsidRPr="00A942DC">
        <w:rPr>
          <w:rFonts w:ascii="Arial" w:eastAsiaTheme="minorHAnsi" w:hAnsi="Arial" w:cs="Arial"/>
          <w:i/>
          <w:iCs/>
          <w:sz w:val="20"/>
          <w:szCs w:val="22"/>
          <w:lang w:val="en-CA"/>
        </w:rPr>
        <w:t xml:space="preserve"> – </w:t>
      </w:r>
      <w:r w:rsidR="00D82EF0" w:rsidRPr="00FB261F">
        <w:rPr>
          <w:rFonts w:ascii="Arial" w:eastAsiaTheme="minorHAnsi" w:hAnsi="Arial" w:cs="Arial"/>
          <w:i/>
          <w:iCs/>
          <w:sz w:val="20"/>
          <w:szCs w:val="22"/>
          <w:lang w:val="en-CA"/>
        </w:rPr>
        <w:t>202</w:t>
      </w:r>
      <w:r w:rsidR="00F77A04" w:rsidRPr="00FB261F">
        <w:rPr>
          <w:rFonts w:ascii="Arial" w:eastAsiaTheme="minorHAnsi" w:hAnsi="Arial" w:cs="Arial"/>
          <w:i/>
          <w:iCs/>
          <w:sz w:val="20"/>
          <w:szCs w:val="22"/>
          <w:lang w:val="en-CA"/>
        </w:rPr>
        <w:t>2</w:t>
      </w:r>
      <w:r w:rsidR="00D82EF0" w:rsidRPr="00FB261F">
        <w:rPr>
          <w:rFonts w:ascii="Arial" w:eastAsiaTheme="minorHAnsi" w:hAnsi="Arial" w:cs="Arial"/>
          <w:i/>
          <w:iCs/>
          <w:sz w:val="20"/>
          <w:szCs w:val="22"/>
          <w:lang w:val="en-CA"/>
        </w:rPr>
        <w:t xml:space="preserve"> Edition for 202</w:t>
      </w:r>
      <w:r w:rsidR="00F77A04" w:rsidRPr="00FB261F">
        <w:rPr>
          <w:rFonts w:ascii="Arial" w:eastAsiaTheme="minorHAnsi" w:hAnsi="Arial" w:cs="Arial"/>
          <w:i/>
          <w:iCs/>
          <w:sz w:val="20"/>
          <w:szCs w:val="22"/>
          <w:lang w:val="en-CA"/>
        </w:rPr>
        <w:t>3</w:t>
      </w:r>
      <w:r w:rsidR="00D82EF0" w:rsidRPr="00FB261F">
        <w:rPr>
          <w:rFonts w:ascii="Arial" w:eastAsiaTheme="minorHAnsi" w:hAnsi="Arial" w:cs="Arial"/>
          <w:i/>
          <w:iCs/>
          <w:sz w:val="20"/>
          <w:szCs w:val="22"/>
          <w:lang w:val="en-CA"/>
        </w:rPr>
        <w:t xml:space="preserve"> Rate Applications</w:t>
      </w:r>
      <w:r w:rsidR="00936CA7" w:rsidRPr="00FB261F">
        <w:rPr>
          <w:rFonts w:ascii="Arial" w:eastAsiaTheme="minorHAnsi" w:hAnsi="Arial" w:cs="Arial"/>
          <w:i/>
          <w:iCs/>
          <w:sz w:val="20"/>
          <w:szCs w:val="22"/>
          <w:lang w:val="en-CA"/>
        </w:rPr>
        <w:t xml:space="preserve">, </w:t>
      </w:r>
      <w:r w:rsidR="00936CA7" w:rsidRPr="00FB261F">
        <w:rPr>
          <w:rFonts w:ascii="Arial" w:eastAsiaTheme="minorHAnsi" w:hAnsi="Arial" w:cs="Arial"/>
          <w:sz w:val="20"/>
          <w:szCs w:val="22"/>
          <w:lang w:val="en-CA"/>
        </w:rPr>
        <w:t xml:space="preserve">issued on </w:t>
      </w:r>
      <w:r w:rsidR="00FB261F" w:rsidRPr="00FB261F">
        <w:rPr>
          <w:rFonts w:ascii="Arial" w:eastAsiaTheme="minorHAnsi" w:hAnsi="Arial" w:cs="Arial"/>
          <w:sz w:val="20"/>
          <w:szCs w:val="22"/>
          <w:lang w:val="en-CA"/>
        </w:rPr>
        <w:t>May 24, 2022</w:t>
      </w:r>
      <w:r w:rsidR="00354252" w:rsidRPr="00FB261F">
        <w:rPr>
          <w:rFonts w:ascii="Arial" w:eastAsiaTheme="minorHAnsi" w:hAnsi="Arial" w:cs="Arial"/>
          <w:sz w:val="20"/>
          <w:szCs w:val="22"/>
          <w:lang w:val="en-CA"/>
        </w:rPr>
        <w:t>,</w:t>
      </w:r>
      <w:r w:rsidR="00A15BB1" w:rsidRPr="00A942DC">
        <w:rPr>
          <w:rFonts w:ascii="Arial" w:eastAsiaTheme="minorHAnsi" w:hAnsi="Arial" w:cs="Arial"/>
          <w:sz w:val="20"/>
          <w:szCs w:val="22"/>
          <w:lang w:val="en-CA"/>
        </w:rPr>
        <w:t xml:space="preserve"> </w:t>
      </w:r>
      <w:r w:rsidR="00D82EF0" w:rsidRPr="00A942DC">
        <w:rPr>
          <w:rFonts w:ascii="Arial" w:eastAsiaTheme="minorHAnsi" w:hAnsi="Arial" w:cs="Arial"/>
          <w:sz w:val="20"/>
          <w:szCs w:val="22"/>
          <w:lang w:val="en-CA"/>
        </w:rPr>
        <w:t xml:space="preserve">and </w:t>
      </w:r>
      <w:r w:rsidR="00A15BB1" w:rsidRPr="00A942DC">
        <w:rPr>
          <w:rFonts w:ascii="Arial" w:eastAsiaTheme="minorHAnsi" w:hAnsi="Arial" w:cs="Arial"/>
          <w:sz w:val="20"/>
          <w:szCs w:val="22"/>
          <w:lang w:val="en-CA"/>
        </w:rPr>
        <w:t xml:space="preserve">using </w:t>
      </w:r>
      <w:r w:rsidR="00F41AD2" w:rsidRPr="00A942DC">
        <w:rPr>
          <w:rFonts w:ascii="Arial" w:eastAsiaTheme="minorHAnsi" w:hAnsi="Arial" w:cs="Arial"/>
          <w:sz w:val="20"/>
          <w:szCs w:val="22"/>
          <w:lang w:val="en-CA"/>
        </w:rPr>
        <w:t xml:space="preserve">the October 13, </w:t>
      </w:r>
      <w:r w:rsidR="00017818" w:rsidRPr="00A942DC">
        <w:rPr>
          <w:rFonts w:ascii="Arial" w:eastAsiaTheme="minorHAnsi" w:hAnsi="Arial" w:cs="Arial"/>
          <w:sz w:val="20"/>
          <w:szCs w:val="22"/>
          <w:lang w:val="en-CA"/>
        </w:rPr>
        <w:t>2016,</w:t>
      </w:r>
      <w:r w:rsidR="00F41AD2" w:rsidRPr="00A942DC">
        <w:rPr>
          <w:rFonts w:ascii="Arial" w:eastAsiaTheme="minorHAnsi" w:hAnsi="Arial" w:cs="Arial"/>
          <w:sz w:val="20"/>
          <w:szCs w:val="22"/>
          <w:lang w:val="en-CA"/>
        </w:rPr>
        <w:t xml:space="preserve"> </w:t>
      </w:r>
      <w:r w:rsidR="00F41AD2" w:rsidRPr="00A942DC">
        <w:rPr>
          <w:rFonts w:ascii="Arial" w:eastAsiaTheme="minorHAnsi" w:hAnsi="Arial" w:cs="Arial"/>
          <w:i/>
          <w:iCs/>
          <w:sz w:val="20"/>
          <w:szCs w:val="22"/>
          <w:lang w:val="en-CA"/>
        </w:rPr>
        <w:t xml:space="preserve">Handbook for Utility Rate Applications (the Handbook) </w:t>
      </w:r>
      <w:r w:rsidR="00A15BB1" w:rsidRPr="00A942DC">
        <w:rPr>
          <w:rFonts w:ascii="Arial" w:eastAsiaTheme="minorHAnsi" w:hAnsi="Arial" w:cs="Arial"/>
          <w:i/>
          <w:iCs/>
          <w:sz w:val="20"/>
          <w:szCs w:val="22"/>
          <w:lang w:val="en-CA"/>
        </w:rPr>
        <w:t>IR methodology</w:t>
      </w:r>
      <w:r w:rsidR="00A15BB1" w:rsidRPr="00A942DC">
        <w:rPr>
          <w:rFonts w:ascii="Arial" w:eastAsiaTheme="minorHAnsi" w:hAnsi="Arial" w:cs="Arial"/>
          <w:sz w:val="20"/>
          <w:szCs w:val="22"/>
          <w:lang w:val="en-CA"/>
        </w:rPr>
        <w:t>, including the following</w:t>
      </w:r>
      <w:r w:rsidR="005C4005" w:rsidRPr="00A942DC">
        <w:rPr>
          <w:rFonts w:ascii="Arial" w:eastAsiaTheme="minorHAnsi" w:hAnsi="Arial" w:cs="Arial"/>
          <w:sz w:val="20"/>
          <w:szCs w:val="22"/>
          <w:lang w:val="en-CA"/>
        </w:rPr>
        <w:t xml:space="preserve"> for each of </w:t>
      </w:r>
      <w:r>
        <w:rPr>
          <w:rFonts w:ascii="Arial" w:eastAsiaTheme="minorHAnsi" w:hAnsi="Arial" w:cs="Arial"/>
          <w:sz w:val="20"/>
          <w:szCs w:val="22"/>
          <w:lang w:val="en-CA"/>
        </w:rPr>
        <w:t>SYNERGY NORTH</w:t>
      </w:r>
      <w:r w:rsidR="00D26576" w:rsidRPr="00A942DC">
        <w:rPr>
          <w:rFonts w:ascii="Arial" w:eastAsiaTheme="minorHAnsi" w:hAnsi="Arial" w:cs="Arial"/>
          <w:sz w:val="20"/>
          <w:szCs w:val="22"/>
          <w:lang w:val="en-CA"/>
        </w:rPr>
        <w:t>’S</w:t>
      </w:r>
      <w:r w:rsidR="00FA4098" w:rsidRPr="00A942DC">
        <w:rPr>
          <w:rFonts w:ascii="Arial" w:eastAsiaTheme="minorHAnsi" w:hAnsi="Arial" w:cs="Arial"/>
          <w:sz w:val="20"/>
          <w:szCs w:val="22"/>
          <w:lang w:val="en-CA"/>
        </w:rPr>
        <w:t xml:space="preserve"> Rate Zone</w:t>
      </w:r>
      <w:r w:rsidR="005C4005" w:rsidRPr="00A942DC">
        <w:rPr>
          <w:rFonts w:ascii="Arial" w:eastAsiaTheme="minorHAnsi" w:hAnsi="Arial" w:cs="Arial"/>
          <w:sz w:val="20"/>
          <w:szCs w:val="22"/>
          <w:lang w:val="en-CA"/>
        </w:rPr>
        <w:t>s</w:t>
      </w:r>
      <w:r w:rsidR="00A15BB1" w:rsidRPr="00A942DC">
        <w:rPr>
          <w:rFonts w:ascii="Arial" w:eastAsiaTheme="minorHAnsi" w:hAnsi="Arial" w:cs="Arial"/>
          <w:sz w:val="20"/>
          <w:szCs w:val="22"/>
          <w:lang w:val="en-CA"/>
        </w:rPr>
        <w:t>:</w:t>
      </w:r>
    </w:p>
    <w:p w14:paraId="21721D08" w14:textId="77777777" w:rsidR="00A15BB1" w:rsidRPr="00A942DC" w:rsidRDefault="00A15BB1" w:rsidP="001B4A0A">
      <w:pPr>
        <w:pStyle w:val="ListParagraph"/>
        <w:spacing w:line="360" w:lineRule="auto"/>
        <w:rPr>
          <w:rFonts w:ascii="Arial" w:eastAsiaTheme="minorHAnsi" w:hAnsi="Arial" w:cs="Arial"/>
          <w:sz w:val="20"/>
          <w:szCs w:val="22"/>
          <w:lang w:val="en-CA"/>
        </w:rPr>
      </w:pPr>
    </w:p>
    <w:p w14:paraId="5B0C4E3A" w14:textId="27E873DA" w:rsidR="00A15BB1" w:rsidRPr="00FB261F" w:rsidRDefault="00FE0345" w:rsidP="001B4A0A">
      <w:pPr>
        <w:pStyle w:val="ListParagraph"/>
        <w:numPr>
          <w:ilvl w:val="1"/>
          <w:numId w:val="6"/>
        </w:num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Specifically, a</w:t>
      </w:r>
      <w:r w:rsidR="00AE2C75">
        <w:rPr>
          <w:rFonts w:ascii="Arial" w:eastAsiaTheme="minorHAnsi" w:hAnsi="Arial" w:cs="Arial"/>
          <w:sz w:val="20"/>
          <w:szCs w:val="22"/>
          <w:lang w:val="en-CA"/>
        </w:rPr>
        <w:t>n e</w:t>
      </w:r>
      <w:r w:rsidR="00A15BB1" w:rsidRPr="00A942DC">
        <w:rPr>
          <w:rFonts w:ascii="Arial" w:eastAsiaTheme="minorHAnsi" w:hAnsi="Arial" w:cs="Arial"/>
          <w:sz w:val="20"/>
          <w:szCs w:val="22"/>
          <w:lang w:val="en-CA"/>
        </w:rPr>
        <w:t xml:space="preserve">lection to dispose of </w:t>
      </w:r>
      <w:r w:rsidR="00AE2C75">
        <w:rPr>
          <w:rFonts w:ascii="Arial" w:eastAsiaTheme="minorHAnsi" w:hAnsi="Arial" w:cs="Arial"/>
          <w:sz w:val="20"/>
          <w:szCs w:val="22"/>
          <w:lang w:val="en-CA"/>
        </w:rPr>
        <w:t>Group 1 RSVA A</w:t>
      </w:r>
      <w:r w:rsidR="00A15BB1" w:rsidRPr="00A942DC">
        <w:rPr>
          <w:rFonts w:ascii="Arial" w:eastAsiaTheme="minorHAnsi" w:hAnsi="Arial" w:cs="Arial"/>
          <w:sz w:val="20"/>
          <w:szCs w:val="22"/>
          <w:lang w:val="en-CA"/>
        </w:rPr>
        <w:t>ccount</w:t>
      </w:r>
      <w:r w:rsidR="00AE2C75">
        <w:rPr>
          <w:rFonts w:ascii="Arial" w:eastAsiaTheme="minorHAnsi" w:hAnsi="Arial" w:cs="Arial"/>
          <w:sz w:val="20"/>
          <w:szCs w:val="22"/>
          <w:lang w:val="en-CA"/>
        </w:rPr>
        <w:t>s 1588 and 1589</w:t>
      </w:r>
      <w:r w:rsidR="00A15BB1" w:rsidRPr="00A942DC">
        <w:rPr>
          <w:rFonts w:ascii="Arial" w:eastAsiaTheme="minorHAnsi" w:hAnsi="Arial" w:cs="Arial"/>
          <w:sz w:val="20"/>
          <w:szCs w:val="22"/>
          <w:lang w:val="en-CA"/>
        </w:rPr>
        <w:t xml:space="preserve"> balances</w:t>
      </w:r>
      <w:r w:rsidR="00AD1D0C" w:rsidRPr="00A942DC">
        <w:rPr>
          <w:rFonts w:ascii="Arial" w:eastAsiaTheme="minorHAnsi" w:hAnsi="Arial" w:cs="Arial"/>
          <w:sz w:val="20"/>
          <w:szCs w:val="22"/>
          <w:lang w:val="en-CA"/>
        </w:rPr>
        <w:t xml:space="preserve">, </w:t>
      </w:r>
      <w:r w:rsidR="00AD1D0C" w:rsidRPr="00FB261F">
        <w:rPr>
          <w:rFonts w:ascii="Arial" w:eastAsiaTheme="minorHAnsi" w:hAnsi="Arial" w:cs="Arial"/>
          <w:sz w:val="20"/>
          <w:szCs w:val="22"/>
          <w:lang w:val="en-CA"/>
        </w:rPr>
        <w:t xml:space="preserve">per </w:t>
      </w:r>
      <w:r w:rsidR="00BB5194" w:rsidRPr="00FB261F">
        <w:rPr>
          <w:rFonts w:ascii="Arial" w:eastAsiaTheme="minorHAnsi" w:hAnsi="Arial" w:cs="Arial"/>
          <w:i/>
          <w:sz w:val="20"/>
          <w:szCs w:val="22"/>
          <w:lang w:val="en-CA"/>
        </w:rPr>
        <w:t>Section 3.2.</w:t>
      </w:r>
      <w:r w:rsidR="007C5B2D" w:rsidRPr="00FB261F">
        <w:rPr>
          <w:rFonts w:ascii="Arial" w:eastAsiaTheme="minorHAnsi" w:hAnsi="Arial" w:cs="Arial"/>
          <w:i/>
          <w:sz w:val="20"/>
          <w:szCs w:val="22"/>
          <w:lang w:val="en-CA"/>
        </w:rPr>
        <w:t>5</w:t>
      </w:r>
      <w:r w:rsidR="00312AAE" w:rsidRPr="00FB261F">
        <w:rPr>
          <w:rFonts w:ascii="Arial" w:eastAsiaTheme="minorHAnsi" w:hAnsi="Arial" w:cs="Arial"/>
          <w:i/>
          <w:sz w:val="20"/>
          <w:szCs w:val="22"/>
          <w:lang w:val="en-CA"/>
        </w:rPr>
        <w:t xml:space="preserve"> of</w:t>
      </w:r>
      <w:r w:rsidR="00BB5194" w:rsidRPr="00FB261F">
        <w:rPr>
          <w:rFonts w:ascii="Arial" w:eastAsiaTheme="minorHAnsi" w:hAnsi="Arial" w:cs="Arial"/>
          <w:i/>
          <w:sz w:val="20"/>
          <w:szCs w:val="22"/>
          <w:lang w:val="en-CA"/>
        </w:rPr>
        <w:t xml:space="preserve"> </w:t>
      </w:r>
      <w:r w:rsidR="00531499" w:rsidRPr="00FB261F">
        <w:rPr>
          <w:rFonts w:ascii="Arial" w:eastAsiaTheme="minorHAnsi" w:hAnsi="Arial" w:cs="Arial"/>
          <w:sz w:val="20"/>
          <w:szCs w:val="22"/>
          <w:lang w:val="en-CA"/>
        </w:rPr>
        <w:t xml:space="preserve">Chapter 3 of the </w:t>
      </w:r>
      <w:r w:rsidR="00531499" w:rsidRPr="00FB261F">
        <w:rPr>
          <w:rFonts w:ascii="Arial" w:eastAsiaTheme="minorHAnsi" w:hAnsi="Arial" w:cs="Arial"/>
          <w:i/>
          <w:iCs/>
          <w:sz w:val="20"/>
          <w:szCs w:val="22"/>
          <w:lang w:val="en-CA"/>
        </w:rPr>
        <w:t xml:space="preserve">Filing Requirements for Electricity Distribution Rate Applications, </w:t>
      </w:r>
      <w:r w:rsidR="007D270F" w:rsidRPr="00FB261F">
        <w:rPr>
          <w:rFonts w:ascii="Arial" w:eastAsiaTheme="minorHAnsi" w:hAnsi="Arial" w:cs="Arial"/>
          <w:sz w:val="20"/>
          <w:szCs w:val="22"/>
          <w:lang w:val="en-CA"/>
        </w:rPr>
        <w:t xml:space="preserve">issued on </w:t>
      </w:r>
      <w:r w:rsidR="00FB261F" w:rsidRPr="00FB261F">
        <w:rPr>
          <w:rFonts w:ascii="Arial" w:eastAsiaTheme="minorHAnsi" w:hAnsi="Arial" w:cs="Arial"/>
          <w:sz w:val="20"/>
          <w:szCs w:val="22"/>
          <w:lang w:val="en-CA"/>
        </w:rPr>
        <w:t>May 24, 2022</w:t>
      </w:r>
      <w:r>
        <w:rPr>
          <w:rFonts w:ascii="Arial" w:eastAsiaTheme="minorHAnsi" w:hAnsi="Arial" w:cs="Arial"/>
          <w:sz w:val="20"/>
          <w:szCs w:val="22"/>
          <w:lang w:val="en-CA"/>
        </w:rPr>
        <w:t>, for both Zones.</w:t>
      </w:r>
    </w:p>
    <w:p w14:paraId="677044A5" w14:textId="77777777" w:rsidR="00531499" w:rsidRPr="00A942DC" w:rsidRDefault="00531499" w:rsidP="001B4A0A">
      <w:pPr>
        <w:pStyle w:val="ListParagraph"/>
        <w:autoSpaceDE w:val="0"/>
        <w:autoSpaceDN w:val="0"/>
        <w:adjustRightInd w:val="0"/>
        <w:spacing w:line="360" w:lineRule="auto"/>
        <w:ind w:left="1080"/>
        <w:jc w:val="both"/>
        <w:rPr>
          <w:rFonts w:ascii="Arial" w:eastAsiaTheme="minorHAnsi" w:hAnsi="Arial" w:cs="Arial"/>
          <w:sz w:val="20"/>
          <w:szCs w:val="22"/>
          <w:lang w:val="en-CA"/>
        </w:rPr>
      </w:pPr>
    </w:p>
    <w:p w14:paraId="3F14DB59" w14:textId="5A781582" w:rsidR="00A15BB1" w:rsidRPr="00A942DC" w:rsidRDefault="00B12EF8" w:rsidP="001B4A0A">
      <w:pPr>
        <w:pStyle w:val="ListParagraph"/>
        <w:numPr>
          <w:ilvl w:val="0"/>
          <w:numId w:val="6"/>
        </w:numPr>
        <w:autoSpaceDE w:val="0"/>
        <w:autoSpaceDN w:val="0"/>
        <w:adjustRightInd w:val="0"/>
        <w:spacing w:line="360" w:lineRule="auto"/>
        <w:jc w:val="both"/>
        <w:rPr>
          <w:rFonts w:ascii="Arial" w:hAnsi="Arial" w:cs="Arial"/>
          <w:sz w:val="20"/>
          <w:szCs w:val="22"/>
        </w:rPr>
      </w:pPr>
      <w:r w:rsidRPr="00A942DC">
        <w:rPr>
          <w:rFonts w:ascii="Arial" w:hAnsi="Arial" w:cs="Arial"/>
          <w:sz w:val="20"/>
          <w:szCs w:val="22"/>
        </w:rPr>
        <w:t>If</w:t>
      </w:r>
      <w:r w:rsidR="00A15BB1" w:rsidRPr="00A942DC">
        <w:rPr>
          <w:rFonts w:ascii="Arial" w:hAnsi="Arial" w:cs="Arial"/>
          <w:sz w:val="20"/>
          <w:szCs w:val="22"/>
        </w:rPr>
        <w:t xml:space="preserve"> the effective date does not coincide with the Board’s deci</w:t>
      </w:r>
      <w:r w:rsidR="001D3116" w:rsidRPr="00A942DC">
        <w:rPr>
          <w:rFonts w:ascii="Arial" w:hAnsi="Arial" w:cs="Arial"/>
          <w:sz w:val="20"/>
          <w:szCs w:val="22"/>
        </w:rPr>
        <w:t>ded implementation date for 202</w:t>
      </w:r>
      <w:r w:rsidR="00C0612A">
        <w:rPr>
          <w:rFonts w:ascii="Arial" w:hAnsi="Arial" w:cs="Arial"/>
          <w:sz w:val="20"/>
          <w:szCs w:val="22"/>
        </w:rPr>
        <w:t>3</w:t>
      </w:r>
      <w:r w:rsidR="00A15BB1" w:rsidRPr="00A942DC">
        <w:rPr>
          <w:rFonts w:ascii="Arial" w:hAnsi="Arial" w:cs="Arial"/>
          <w:sz w:val="20"/>
          <w:szCs w:val="22"/>
        </w:rPr>
        <w:t xml:space="preserve"> distribution rates and charges, </w:t>
      </w:r>
      <w:r w:rsidR="006D6541">
        <w:rPr>
          <w:rFonts w:ascii="Arial" w:hAnsi="Arial" w:cs="Arial"/>
          <w:sz w:val="20"/>
          <w:szCs w:val="22"/>
        </w:rPr>
        <w:t>SYNERGY NORTH</w:t>
      </w:r>
      <w:r w:rsidR="00A15BB1" w:rsidRPr="00A942DC">
        <w:rPr>
          <w:rFonts w:ascii="Arial" w:hAnsi="Arial" w:cs="Arial"/>
          <w:sz w:val="20"/>
          <w:szCs w:val="22"/>
        </w:rPr>
        <w:t xml:space="preserve"> requests permission to recover the incremental </w:t>
      </w:r>
      <w:r w:rsidR="00AE2C75">
        <w:rPr>
          <w:rFonts w:ascii="Arial" w:hAnsi="Arial" w:cs="Arial"/>
          <w:sz w:val="20"/>
          <w:szCs w:val="22"/>
        </w:rPr>
        <w:t xml:space="preserve">disposal or recovery </w:t>
      </w:r>
      <w:r w:rsidR="00A15BB1" w:rsidRPr="00A942DC">
        <w:rPr>
          <w:rFonts w:ascii="Arial" w:hAnsi="Arial" w:cs="Arial"/>
          <w:sz w:val="20"/>
          <w:szCs w:val="22"/>
        </w:rPr>
        <w:t>from the effective date to the implementation date.</w:t>
      </w:r>
    </w:p>
    <w:p w14:paraId="1E2FBBA7" w14:textId="77777777" w:rsidR="00A15BB1" w:rsidRPr="00A942DC" w:rsidRDefault="00A15BB1" w:rsidP="001B4A0A">
      <w:pPr>
        <w:pStyle w:val="ListParagraph"/>
        <w:spacing w:line="360" w:lineRule="auto"/>
        <w:rPr>
          <w:rFonts w:ascii="Arial" w:eastAsiaTheme="minorHAnsi" w:hAnsi="Arial" w:cs="Arial"/>
          <w:sz w:val="20"/>
          <w:szCs w:val="22"/>
          <w:lang w:val="en-CA"/>
        </w:rPr>
      </w:pPr>
    </w:p>
    <w:p w14:paraId="085BB190" w14:textId="269011FF" w:rsidR="00AD1D0C" w:rsidRDefault="006D6541" w:rsidP="00603AC0">
      <w:pPr>
        <w:pStyle w:val="ListParagraph"/>
        <w:numPr>
          <w:ilvl w:val="0"/>
          <w:numId w:val="6"/>
        </w:numPr>
        <w:autoSpaceDE w:val="0"/>
        <w:autoSpaceDN w:val="0"/>
        <w:adjustRightInd w:val="0"/>
        <w:spacing w:line="360" w:lineRule="auto"/>
        <w:jc w:val="both"/>
        <w:rPr>
          <w:rFonts w:ascii="Arial" w:eastAsiaTheme="minorHAnsi" w:hAnsi="Arial" w:cs="Arial"/>
          <w:sz w:val="20"/>
          <w:szCs w:val="22"/>
          <w:lang w:val="en-CA"/>
        </w:rPr>
      </w:pPr>
      <w:r w:rsidRPr="00150CBC">
        <w:rPr>
          <w:rFonts w:ascii="Arial" w:eastAsiaTheme="minorHAnsi" w:hAnsi="Arial" w:cs="Arial"/>
          <w:sz w:val="20"/>
          <w:szCs w:val="22"/>
          <w:lang w:val="en-CA"/>
        </w:rPr>
        <w:t>SYNERGY NORTH</w:t>
      </w:r>
      <w:r w:rsidR="00A15BB1" w:rsidRPr="00150CBC">
        <w:rPr>
          <w:rFonts w:ascii="Arial" w:eastAsiaTheme="minorHAnsi" w:hAnsi="Arial" w:cs="Arial"/>
          <w:sz w:val="20"/>
          <w:szCs w:val="22"/>
          <w:lang w:val="en-CA"/>
        </w:rPr>
        <w:t xml:space="preserve"> has use</w:t>
      </w:r>
      <w:r w:rsidR="00C42536" w:rsidRPr="00150CBC">
        <w:rPr>
          <w:rFonts w:ascii="Arial" w:eastAsiaTheme="minorHAnsi" w:hAnsi="Arial" w:cs="Arial"/>
          <w:sz w:val="20"/>
          <w:szCs w:val="22"/>
          <w:lang w:val="en-CA"/>
        </w:rPr>
        <w:t>d the Board’s Excel Model</w:t>
      </w:r>
      <w:r w:rsidR="001D3116" w:rsidRPr="00150CBC">
        <w:rPr>
          <w:rFonts w:ascii="Arial" w:eastAsiaTheme="minorHAnsi" w:hAnsi="Arial" w:cs="Arial"/>
          <w:sz w:val="20"/>
          <w:szCs w:val="22"/>
          <w:lang w:val="en-CA"/>
        </w:rPr>
        <w:t>: 202</w:t>
      </w:r>
      <w:r w:rsidR="00C0612A" w:rsidRPr="00150CBC">
        <w:rPr>
          <w:rFonts w:ascii="Arial" w:eastAsiaTheme="minorHAnsi" w:hAnsi="Arial" w:cs="Arial"/>
          <w:sz w:val="20"/>
          <w:szCs w:val="22"/>
          <w:lang w:val="en-CA"/>
        </w:rPr>
        <w:t>3</w:t>
      </w:r>
      <w:r w:rsidR="001D3116" w:rsidRPr="00150CBC">
        <w:rPr>
          <w:rFonts w:ascii="Arial" w:eastAsiaTheme="minorHAnsi" w:hAnsi="Arial" w:cs="Arial"/>
          <w:sz w:val="20"/>
          <w:szCs w:val="22"/>
          <w:lang w:val="en-CA"/>
        </w:rPr>
        <w:t xml:space="preserve"> IRM Rate Generator (“202</w:t>
      </w:r>
      <w:r w:rsidR="00C0612A" w:rsidRPr="00150CBC">
        <w:rPr>
          <w:rFonts w:ascii="Arial" w:eastAsiaTheme="minorHAnsi" w:hAnsi="Arial" w:cs="Arial"/>
          <w:sz w:val="20"/>
          <w:szCs w:val="22"/>
          <w:lang w:val="en-CA"/>
        </w:rPr>
        <w:t>3</w:t>
      </w:r>
      <w:r w:rsidR="001D3116" w:rsidRPr="00150CBC">
        <w:rPr>
          <w:rFonts w:ascii="Arial" w:eastAsiaTheme="minorHAnsi" w:hAnsi="Arial" w:cs="Arial"/>
          <w:sz w:val="20"/>
          <w:szCs w:val="22"/>
          <w:lang w:val="en-CA"/>
        </w:rPr>
        <w:t xml:space="preserve"> Rate Model</w:t>
      </w:r>
      <w:r w:rsidR="00017818" w:rsidRPr="00150CBC">
        <w:rPr>
          <w:rFonts w:ascii="Arial" w:eastAsiaTheme="minorHAnsi" w:hAnsi="Arial" w:cs="Arial"/>
          <w:sz w:val="20"/>
          <w:szCs w:val="22"/>
          <w:lang w:val="en-CA"/>
        </w:rPr>
        <w:t>”) posted</w:t>
      </w:r>
      <w:r w:rsidR="00A15BB1" w:rsidRPr="00150CBC">
        <w:rPr>
          <w:rFonts w:ascii="Arial" w:eastAsiaTheme="minorHAnsi" w:hAnsi="Arial" w:cs="Arial"/>
          <w:sz w:val="20"/>
          <w:szCs w:val="22"/>
          <w:lang w:val="en-CA"/>
        </w:rPr>
        <w:t xml:space="preserve"> </w:t>
      </w:r>
      <w:r w:rsidR="00994350" w:rsidRPr="00150CBC">
        <w:rPr>
          <w:rFonts w:ascii="Arial" w:eastAsiaTheme="minorHAnsi" w:hAnsi="Arial" w:cs="Arial"/>
          <w:sz w:val="20"/>
          <w:szCs w:val="22"/>
          <w:lang w:val="en-CA"/>
        </w:rPr>
        <w:t>June 30, 2022</w:t>
      </w:r>
      <w:r w:rsidR="00B12EF8" w:rsidRPr="00150CBC">
        <w:rPr>
          <w:rFonts w:ascii="Arial" w:eastAsiaTheme="minorHAnsi" w:hAnsi="Arial" w:cs="Arial"/>
          <w:sz w:val="20"/>
          <w:szCs w:val="22"/>
          <w:lang w:val="en-CA"/>
        </w:rPr>
        <w:t>,</w:t>
      </w:r>
      <w:r w:rsidR="00A007A7" w:rsidRPr="00150CBC">
        <w:rPr>
          <w:rFonts w:ascii="Arial" w:eastAsiaTheme="minorHAnsi" w:hAnsi="Arial" w:cs="Arial"/>
          <w:sz w:val="20"/>
          <w:szCs w:val="22"/>
          <w:lang w:val="en-CA"/>
        </w:rPr>
        <w:t xml:space="preserve"> </w:t>
      </w:r>
      <w:r w:rsidR="001D3116" w:rsidRPr="00150CBC">
        <w:rPr>
          <w:rFonts w:ascii="Arial" w:eastAsiaTheme="minorHAnsi" w:hAnsi="Arial" w:cs="Arial"/>
          <w:sz w:val="20"/>
          <w:szCs w:val="22"/>
          <w:lang w:val="en-CA"/>
        </w:rPr>
        <w:t xml:space="preserve">for </w:t>
      </w:r>
      <w:r w:rsidR="00E3058C" w:rsidRPr="00150CBC">
        <w:rPr>
          <w:rFonts w:ascii="Arial" w:eastAsiaTheme="minorHAnsi" w:hAnsi="Arial" w:cs="Arial"/>
          <w:sz w:val="20"/>
          <w:szCs w:val="22"/>
          <w:lang w:val="en-CA"/>
        </w:rPr>
        <w:t xml:space="preserve">this </w:t>
      </w:r>
      <w:r w:rsidR="001D3116" w:rsidRPr="00150CBC">
        <w:rPr>
          <w:rFonts w:ascii="Arial" w:eastAsiaTheme="minorHAnsi" w:hAnsi="Arial" w:cs="Arial"/>
          <w:sz w:val="20"/>
          <w:szCs w:val="22"/>
          <w:lang w:val="en-CA"/>
        </w:rPr>
        <w:t>application</w:t>
      </w:r>
      <w:r w:rsidR="00A15BB1" w:rsidRPr="00150CBC">
        <w:rPr>
          <w:rFonts w:ascii="Arial" w:eastAsiaTheme="minorHAnsi" w:hAnsi="Arial" w:cs="Arial"/>
          <w:sz w:val="20"/>
          <w:szCs w:val="22"/>
          <w:lang w:val="en-CA"/>
        </w:rPr>
        <w:t xml:space="preserve">. </w:t>
      </w:r>
    </w:p>
    <w:p w14:paraId="5A769164" w14:textId="77777777" w:rsidR="00CA1190" w:rsidRPr="00CA1190" w:rsidRDefault="00CA1190" w:rsidP="00CA1190">
      <w:pPr>
        <w:pStyle w:val="ListParagraph"/>
        <w:rPr>
          <w:rFonts w:ascii="Arial" w:eastAsiaTheme="minorHAnsi" w:hAnsi="Arial" w:cs="Arial"/>
          <w:sz w:val="20"/>
          <w:szCs w:val="22"/>
          <w:lang w:val="en-CA"/>
        </w:rPr>
      </w:pPr>
    </w:p>
    <w:p w14:paraId="40B79DEE" w14:textId="6FCF623A" w:rsidR="004344DB" w:rsidRPr="00A942DC" w:rsidRDefault="00A15BB1" w:rsidP="00A60156">
      <w:pPr>
        <w:pStyle w:val="ListParagraph"/>
        <w:numPr>
          <w:ilvl w:val="0"/>
          <w:numId w:val="6"/>
        </w:numPr>
        <w:autoSpaceDE w:val="0"/>
        <w:autoSpaceDN w:val="0"/>
        <w:adjustRightInd w:val="0"/>
        <w:spacing w:line="360" w:lineRule="auto"/>
        <w:jc w:val="both"/>
        <w:rPr>
          <w:rFonts w:ascii="Arial" w:hAnsi="Arial" w:cs="Arial"/>
          <w:smallCaps/>
        </w:rPr>
      </w:pPr>
      <w:r w:rsidRPr="00A942DC">
        <w:rPr>
          <w:rFonts w:ascii="Arial" w:eastAsiaTheme="minorHAnsi" w:hAnsi="Arial" w:cs="Arial"/>
          <w:sz w:val="20"/>
          <w:szCs w:val="22"/>
          <w:lang w:val="en-CA"/>
        </w:rPr>
        <w:t>This Application is supported by the written evidence comprising of a</w:t>
      </w:r>
      <w:r w:rsidR="009B1840" w:rsidRPr="00A942DC">
        <w:rPr>
          <w:rFonts w:ascii="Arial" w:eastAsiaTheme="minorHAnsi" w:hAnsi="Arial" w:cs="Arial"/>
          <w:sz w:val="20"/>
          <w:szCs w:val="22"/>
          <w:lang w:val="en-CA"/>
        </w:rPr>
        <w:t xml:space="preserve"> Manager’s Summary</w:t>
      </w:r>
      <w:r w:rsidR="00AE2C75">
        <w:rPr>
          <w:rFonts w:ascii="Arial" w:eastAsiaTheme="minorHAnsi" w:hAnsi="Arial" w:cs="Arial"/>
          <w:sz w:val="20"/>
          <w:szCs w:val="22"/>
          <w:lang w:val="en-CA"/>
        </w:rPr>
        <w:t xml:space="preserve"> and</w:t>
      </w:r>
      <w:r w:rsidR="009B1840" w:rsidRPr="00A942DC">
        <w:rPr>
          <w:rFonts w:ascii="Arial" w:eastAsiaTheme="minorHAnsi" w:hAnsi="Arial" w:cs="Arial"/>
          <w:sz w:val="20"/>
          <w:szCs w:val="22"/>
          <w:lang w:val="en-CA"/>
        </w:rPr>
        <w:t xml:space="preserve"> excel model</w:t>
      </w:r>
      <w:r w:rsidR="00E66FC2">
        <w:rPr>
          <w:rFonts w:ascii="Arial" w:eastAsiaTheme="minorHAnsi" w:hAnsi="Arial" w:cs="Arial"/>
          <w:sz w:val="20"/>
          <w:szCs w:val="22"/>
          <w:lang w:val="en-CA"/>
        </w:rPr>
        <w:t>s</w:t>
      </w:r>
      <w:r w:rsidR="001D3116" w:rsidRPr="00A942DC">
        <w:rPr>
          <w:rFonts w:ascii="Arial" w:eastAsiaTheme="minorHAnsi" w:hAnsi="Arial" w:cs="Arial"/>
          <w:sz w:val="20"/>
          <w:szCs w:val="22"/>
          <w:lang w:val="en-CA"/>
        </w:rPr>
        <w:t xml:space="preserve">. </w:t>
      </w:r>
      <w:r w:rsidR="006D6541">
        <w:rPr>
          <w:rFonts w:ascii="Arial" w:eastAsiaTheme="minorHAnsi" w:hAnsi="Arial" w:cs="Arial"/>
          <w:sz w:val="20"/>
          <w:szCs w:val="22"/>
          <w:lang w:val="en-CA"/>
        </w:rPr>
        <w:t>SYNERGY NORTH</w:t>
      </w:r>
      <w:r w:rsidR="001D3116" w:rsidRPr="00A942DC">
        <w:rPr>
          <w:rFonts w:ascii="Arial" w:eastAsiaTheme="minorHAnsi" w:hAnsi="Arial" w:cs="Arial"/>
          <w:sz w:val="20"/>
          <w:szCs w:val="22"/>
          <w:lang w:val="en-CA"/>
        </w:rPr>
        <w:t xml:space="preserve"> </w:t>
      </w:r>
      <w:r w:rsidRPr="00A942DC">
        <w:rPr>
          <w:rFonts w:ascii="Arial" w:eastAsiaTheme="minorHAnsi" w:hAnsi="Arial" w:cs="Arial"/>
          <w:sz w:val="20"/>
          <w:szCs w:val="22"/>
          <w:lang w:val="en-CA"/>
        </w:rPr>
        <w:t xml:space="preserve">may amend or supplement this written evidence prior to or </w:t>
      </w:r>
      <w:r w:rsidR="00B12EF8" w:rsidRPr="00A942DC">
        <w:rPr>
          <w:rFonts w:ascii="Arial" w:eastAsiaTheme="minorHAnsi" w:hAnsi="Arial" w:cs="Arial"/>
          <w:sz w:val="20"/>
          <w:szCs w:val="22"/>
          <w:lang w:val="en-CA"/>
        </w:rPr>
        <w:t>during</w:t>
      </w:r>
      <w:r w:rsidRPr="00A942DC">
        <w:rPr>
          <w:rFonts w:ascii="Arial" w:eastAsiaTheme="minorHAnsi" w:hAnsi="Arial" w:cs="Arial"/>
          <w:sz w:val="20"/>
          <w:szCs w:val="22"/>
          <w:lang w:val="en-CA"/>
        </w:rPr>
        <w:t xml:space="preserve"> the Board’s hearing of this Application.</w:t>
      </w:r>
    </w:p>
    <w:p w14:paraId="3115F823" w14:textId="0B5543DA" w:rsidR="004344DB" w:rsidRPr="00B27ED9" w:rsidRDefault="009967D7" w:rsidP="008D4E5C">
      <w:pPr>
        <w:pStyle w:val="Heading1"/>
        <w:tabs>
          <w:tab w:val="left" w:pos="8748"/>
        </w:tabs>
        <w:rPr>
          <w:rFonts w:ascii="Arial" w:hAnsi="Arial" w:cs="Arial"/>
          <w:sz w:val="24"/>
          <w:szCs w:val="24"/>
        </w:rPr>
      </w:pPr>
      <w:bookmarkStart w:id="5" w:name="_Toc497556720"/>
      <w:bookmarkStart w:id="6" w:name="_Toc127886103"/>
      <w:r w:rsidRPr="00B27ED9">
        <w:rPr>
          <w:rFonts w:ascii="Arial" w:hAnsi="Arial" w:cs="Arial"/>
          <w:sz w:val="24"/>
          <w:szCs w:val="24"/>
        </w:rPr>
        <w:lastRenderedPageBreak/>
        <w:t xml:space="preserve">3.1 </w:t>
      </w:r>
      <w:r w:rsidR="004344DB" w:rsidRPr="00B27ED9">
        <w:rPr>
          <w:rFonts w:ascii="Arial" w:hAnsi="Arial" w:cs="Arial"/>
          <w:sz w:val="24"/>
          <w:szCs w:val="24"/>
        </w:rPr>
        <w:t>M</w:t>
      </w:r>
      <w:r w:rsidR="00230878" w:rsidRPr="00B27ED9">
        <w:rPr>
          <w:rFonts w:ascii="Arial" w:hAnsi="Arial" w:cs="Arial"/>
          <w:sz w:val="24"/>
          <w:szCs w:val="24"/>
        </w:rPr>
        <w:t>anager’s Summary</w:t>
      </w:r>
      <w:bookmarkEnd w:id="5"/>
      <w:bookmarkEnd w:id="6"/>
      <w:r w:rsidR="008D4E5C">
        <w:rPr>
          <w:rFonts w:ascii="Arial" w:hAnsi="Arial" w:cs="Arial"/>
          <w:sz w:val="24"/>
          <w:szCs w:val="24"/>
        </w:rPr>
        <w:tab/>
      </w:r>
    </w:p>
    <w:p w14:paraId="32DD2C49" w14:textId="77777777" w:rsidR="004344DB" w:rsidRPr="00A942DC" w:rsidRDefault="00906384" w:rsidP="004344DB">
      <w:pPr>
        <w:pStyle w:val="Heading2"/>
        <w:jc w:val="both"/>
        <w:rPr>
          <w:rFonts w:ascii="Arial" w:hAnsi="Arial" w:cs="Arial"/>
          <w:color w:val="auto"/>
          <w:sz w:val="24"/>
          <w:szCs w:val="24"/>
        </w:rPr>
      </w:pPr>
      <w:bookmarkStart w:id="7" w:name="_Toc497556721"/>
      <w:bookmarkStart w:id="8" w:name="_Toc127886104"/>
      <w:r w:rsidRPr="00A942DC">
        <w:rPr>
          <w:rFonts w:ascii="Arial" w:hAnsi="Arial" w:cs="Arial"/>
          <w:color w:val="auto"/>
          <w:sz w:val="24"/>
          <w:szCs w:val="24"/>
        </w:rPr>
        <w:t>3</w:t>
      </w:r>
      <w:r w:rsidR="003C104C" w:rsidRPr="00A942DC">
        <w:rPr>
          <w:rFonts w:ascii="Arial" w:hAnsi="Arial" w:cs="Arial"/>
          <w:color w:val="auto"/>
          <w:sz w:val="24"/>
          <w:szCs w:val="24"/>
        </w:rPr>
        <w:t xml:space="preserve">.1 </w:t>
      </w:r>
      <w:r w:rsidR="004344DB" w:rsidRPr="00A942DC">
        <w:rPr>
          <w:rFonts w:ascii="Arial" w:hAnsi="Arial" w:cs="Arial"/>
          <w:color w:val="auto"/>
          <w:sz w:val="24"/>
          <w:szCs w:val="24"/>
        </w:rPr>
        <w:t>Introduction</w:t>
      </w:r>
      <w:bookmarkEnd w:id="7"/>
      <w:bookmarkEnd w:id="8"/>
    </w:p>
    <w:p w14:paraId="69F8B0A1" w14:textId="77777777" w:rsidR="004344DB" w:rsidRPr="00A942DC" w:rsidRDefault="004344DB" w:rsidP="001B4A0A">
      <w:pPr>
        <w:spacing w:line="360" w:lineRule="auto"/>
        <w:jc w:val="both"/>
        <w:rPr>
          <w:rFonts w:ascii="Arial" w:hAnsi="Arial" w:cs="Arial"/>
          <w:b/>
          <w:sz w:val="20"/>
          <w:szCs w:val="22"/>
        </w:rPr>
      </w:pPr>
    </w:p>
    <w:p w14:paraId="049CEE9A" w14:textId="2926B30B" w:rsidR="004344DB" w:rsidRPr="00A942DC" w:rsidRDefault="006D6541" w:rsidP="001B4A0A">
      <w:pPr>
        <w:spacing w:line="360" w:lineRule="auto"/>
        <w:jc w:val="both"/>
        <w:rPr>
          <w:rFonts w:ascii="Arial" w:hAnsi="Arial" w:cs="Arial"/>
          <w:sz w:val="20"/>
          <w:szCs w:val="22"/>
        </w:rPr>
      </w:pPr>
      <w:r>
        <w:rPr>
          <w:rFonts w:ascii="Arial" w:hAnsi="Arial" w:cs="Arial"/>
          <w:sz w:val="20"/>
          <w:szCs w:val="22"/>
        </w:rPr>
        <w:t>SYNERGY NORTH</w:t>
      </w:r>
      <w:r w:rsidR="00D26576" w:rsidRPr="00A942DC">
        <w:rPr>
          <w:rFonts w:ascii="Arial" w:hAnsi="Arial" w:cs="Arial"/>
          <w:sz w:val="20"/>
          <w:szCs w:val="22"/>
        </w:rPr>
        <w:t xml:space="preserve"> </w:t>
      </w:r>
      <w:r w:rsidR="004344DB" w:rsidRPr="00A942DC">
        <w:rPr>
          <w:rFonts w:ascii="Arial" w:hAnsi="Arial" w:cs="Arial"/>
          <w:sz w:val="20"/>
          <w:szCs w:val="22"/>
        </w:rPr>
        <w:t>is a corporation</w:t>
      </w:r>
      <w:r w:rsidR="00F665CC" w:rsidRPr="00A942DC">
        <w:rPr>
          <w:rFonts w:ascii="Arial" w:hAnsi="Arial" w:cs="Arial"/>
          <w:sz w:val="20"/>
          <w:szCs w:val="22"/>
        </w:rPr>
        <w:t xml:space="preserve"> amalgamated under the laws of Ontario,</w:t>
      </w:r>
      <w:r w:rsidR="0094121B" w:rsidRPr="00A942DC">
        <w:rPr>
          <w:rFonts w:ascii="Arial" w:hAnsi="Arial" w:cs="Arial"/>
          <w:sz w:val="20"/>
          <w:szCs w:val="22"/>
        </w:rPr>
        <w:t xml:space="preserve"> with its </w:t>
      </w:r>
      <w:r w:rsidR="004344DB" w:rsidRPr="00A942DC">
        <w:rPr>
          <w:rFonts w:ascii="Arial" w:hAnsi="Arial" w:cs="Arial"/>
          <w:sz w:val="20"/>
          <w:szCs w:val="22"/>
        </w:rPr>
        <w:t xml:space="preserve">head office in the City of Thunder Bay. </w:t>
      </w:r>
      <w:r>
        <w:rPr>
          <w:rFonts w:ascii="Arial" w:hAnsi="Arial" w:cs="Arial"/>
          <w:sz w:val="20"/>
          <w:szCs w:val="22"/>
        </w:rPr>
        <w:t>SYNERGY NORTH</w:t>
      </w:r>
      <w:r w:rsidR="00D26576" w:rsidRPr="00A942DC">
        <w:rPr>
          <w:rFonts w:ascii="Arial" w:hAnsi="Arial" w:cs="Arial"/>
          <w:sz w:val="20"/>
          <w:szCs w:val="22"/>
        </w:rPr>
        <w:t xml:space="preserve"> </w:t>
      </w:r>
      <w:r w:rsidR="004344DB" w:rsidRPr="00A942DC">
        <w:rPr>
          <w:rFonts w:ascii="Arial" w:hAnsi="Arial" w:cs="Arial"/>
          <w:sz w:val="20"/>
          <w:szCs w:val="22"/>
        </w:rPr>
        <w:t>carries on the business of distributing electricity within the City of Thunder Bay</w:t>
      </w:r>
      <w:r w:rsidR="0094121B" w:rsidRPr="00A942DC">
        <w:rPr>
          <w:rFonts w:ascii="Arial" w:hAnsi="Arial" w:cs="Arial"/>
          <w:sz w:val="20"/>
          <w:szCs w:val="22"/>
        </w:rPr>
        <w:t xml:space="preserve">, </w:t>
      </w:r>
      <w:r w:rsidR="004344DB" w:rsidRPr="00A942DC">
        <w:rPr>
          <w:rFonts w:ascii="Arial" w:hAnsi="Arial" w:cs="Arial"/>
          <w:sz w:val="20"/>
          <w:szCs w:val="22"/>
        </w:rPr>
        <w:t>Fort William First Nation Reserve</w:t>
      </w:r>
      <w:r w:rsidR="00D26576" w:rsidRPr="00A942DC">
        <w:rPr>
          <w:rFonts w:ascii="Arial" w:hAnsi="Arial" w:cs="Arial"/>
          <w:sz w:val="20"/>
          <w:szCs w:val="22"/>
        </w:rPr>
        <w:t xml:space="preserve">, </w:t>
      </w:r>
      <w:r w:rsidR="00BE1F1D" w:rsidRPr="00A942DC">
        <w:rPr>
          <w:rFonts w:ascii="Arial" w:hAnsi="Arial" w:cs="Arial"/>
          <w:sz w:val="20"/>
          <w:szCs w:val="22"/>
        </w:rPr>
        <w:t>and</w:t>
      </w:r>
      <w:r w:rsidR="00E3058C" w:rsidRPr="00A942DC">
        <w:rPr>
          <w:rFonts w:ascii="Arial" w:hAnsi="Arial" w:cs="Arial"/>
          <w:sz w:val="20"/>
          <w:szCs w:val="22"/>
        </w:rPr>
        <w:t xml:space="preserve"> the</w:t>
      </w:r>
      <w:r w:rsidR="00BE1F1D" w:rsidRPr="00A942DC">
        <w:rPr>
          <w:rFonts w:ascii="Arial" w:hAnsi="Arial" w:cs="Arial"/>
          <w:sz w:val="20"/>
          <w:szCs w:val="22"/>
        </w:rPr>
        <w:t xml:space="preserve"> </w:t>
      </w:r>
      <w:r w:rsidR="00FC2186" w:rsidRPr="00A942DC">
        <w:rPr>
          <w:rFonts w:ascii="Arial" w:hAnsi="Arial" w:cs="Arial"/>
          <w:sz w:val="20"/>
          <w:szCs w:val="22"/>
        </w:rPr>
        <w:t xml:space="preserve">City of </w:t>
      </w:r>
      <w:r w:rsidR="00CB6654" w:rsidRPr="00A942DC">
        <w:rPr>
          <w:rFonts w:ascii="Arial" w:hAnsi="Arial" w:cs="Arial"/>
          <w:sz w:val="20"/>
          <w:szCs w:val="22"/>
        </w:rPr>
        <w:t>Kenora</w:t>
      </w:r>
      <w:r w:rsidR="00912D31" w:rsidRPr="00A942DC">
        <w:rPr>
          <w:rFonts w:ascii="Arial" w:hAnsi="Arial" w:cs="Arial"/>
          <w:sz w:val="20"/>
          <w:szCs w:val="22"/>
        </w:rPr>
        <w:t xml:space="preserve">. </w:t>
      </w:r>
      <w:r>
        <w:rPr>
          <w:rFonts w:ascii="Arial" w:hAnsi="Arial" w:cs="Arial"/>
          <w:sz w:val="20"/>
          <w:szCs w:val="22"/>
        </w:rPr>
        <w:t>SYNERGY NORTH</w:t>
      </w:r>
      <w:r w:rsidR="00D26576" w:rsidRPr="00A942DC">
        <w:rPr>
          <w:rFonts w:ascii="Arial" w:hAnsi="Arial" w:cs="Arial"/>
          <w:sz w:val="20"/>
          <w:szCs w:val="22"/>
        </w:rPr>
        <w:t xml:space="preserve"> </w:t>
      </w:r>
      <w:r w:rsidR="00A33891" w:rsidRPr="00A942DC">
        <w:rPr>
          <w:rFonts w:ascii="Arial" w:hAnsi="Arial" w:cs="Arial"/>
          <w:sz w:val="20"/>
          <w:szCs w:val="22"/>
        </w:rPr>
        <w:t>C</w:t>
      </w:r>
      <w:r w:rsidR="00D26576" w:rsidRPr="00A942DC">
        <w:rPr>
          <w:rFonts w:ascii="Arial" w:hAnsi="Arial" w:cs="Arial"/>
          <w:sz w:val="20"/>
          <w:szCs w:val="22"/>
        </w:rPr>
        <w:t>ORPORATION</w:t>
      </w:r>
      <w:r w:rsidR="00A33891" w:rsidRPr="00A942DC">
        <w:rPr>
          <w:rFonts w:ascii="Arial" w:hAnsi="Arial" w:cs="Arial"/>
          <w:sz w:val="20"/>
          <w:szCs w:val="22"/>
        </w:rPr>
        <w:t xml:space="preserve"> </w:t>
      </w:r>
      <w:r w:rsidR="00E3058C" w:rsidRPr="00A942DC">
        <w:rPr>
          <w:rFonts w:ascii="Arial" w:hAnsi="Arial" w:cs="Arial"/>
          <w:sz w:val="20"/>
          <w:szCs w:val="22"/>
        </w:rPr>
        <w:t>is the name of the amalgamated corporation combining Thunder Bay Hydro Electricity Distribution Inc. and Kenora Hydro Electric Corporation Ltd. effective January 1, 2019</w:t>
      </w:r>
      <w:r w:rsidR="00912D31" w:rsidRPr="00A942DC">
        <w:rPr>
          <w:rFonts w:ascii="Arial" w:hAnsi="Arial" w:cs="Arial"/>
          <w:sz w:val="20"/>
          <w:szCs w:val="22"/>
        </w:rPr>
        <w:t xml:space="preserve">. </w:t>
      </w:r>
      <w:r w:rsidR="00E3058C" w:rsidRPr="00A942DC">
        <w:rPr>
          <w:rFonts w:ascii="Arial" w:hAnsi="Arial" w:cs="Arial"/>
          <w:sz w:val="20"/>
          <w:szCs w:val="22"/>
        </w:rPr>
        <w:t xml:space="preserve">The amalgamation was approved by the </w:t>
      </w:r>
      <w:r w:rsidR="00326E7B" w:rsidRPr="00A942DC">
        <w:rPr>
          <w:rFonts w:ascii="Arial" w:hAnsi="Arial" w:cs="Arial"/>
          <w:sz w:val="20"/>
          <w:szCs w:val="22"/>
        </w:rPr>
        <w:t>Ontario Energy Board</w:t>
      </w:r>
      <w:r w:rsidR="00E3058C" w:rsidRPr="00A942DC">
        <w:rPr>
          <w:rFonts w:ascii="Arial" w:hAnsi="Arial" w:cs="Arial"/>
          <w:sz w:val="20"/>
          <w:szCs w:val="22"/>
        </w:rPr>
        <w:t xml:space="preserve"> as documented in the </w:t>
      </w:r>
      <w:r w:rsidR="00326E7B" w:rsidRPr="00A942DC">
        <w:rPr>
          <w:rFonts w:ascii="Arial" w:hAnsi="Arial" w:cs="Arial"/>
          <w:sz w:val="20"/>
          <w:szCs w:val="22"/>
        </w:rPr>
        <w:t xml:space="preserve">MAAD </w:t>
      </w:r>
      <w:r w:rsidR="00A20A9D" w:rsidRPr="00A942DC">
        <w:rPr>
          <w:rFonts w:ascii="Arial" w:hAnsi="Arial" w:cs="Arial"/>
          <w:sz w:val="20"/>
          <w:szCs w:val="22"/>
        </w:rPr>
        <w:t>Application</w:t>
      </w:r>
      <w:r w:rsidR="00326E7B" w:rsidRPr="00A942DC">
        <w:rPr>
          <w:rFonts w:ascii="Arial" w:hAnsi="Arial" w:cs="Arial"/>
          <w:sz w:val="20"/>
          <w:szCs w:val="22"/>
        </w:rPr>
        <w:t xml:space="preserve"> (EB-2018-0124). The applicant has not yet rebased as an amalgamated company and maintains two sets of </w:t>
      </w:r>
      <w:r w:rsidR="00A33891" w:rsidRPr="00A942DC">
        <w:rPr>
          <w:rFonts w:ascii="Arial" w:hAnsi="Arial" w:cs="Arial"/>
          <w:sz w:val="20"/>
          <w:szCs w:val="22"/>
        </w:rPr>
        <w:t>tariffs of r</w:t>
      </w:r>
      <w:r w:rsidR="00326E7B" w:rsidRPr="00A942DC">
        <w:rPr>
          <w:rFonts w:ascii="Arial" w:hAnsi="Arial" w:cs="Arial"/>
          <w:sz w:val="20"/>
          <w:szCs w:val="22"/>
        </w:rPr>
        <w:t>ates</w:t>
      </w:r>
      <w:r w:rsidR="00A33891" w:rsidRPr="00A942DC">
        <w:rPr>
          <w:rFonts w:ascii="Arial" w:hAnsi="Arial" w:cs="Arial"/>
          <w:sz w:val="20"/>
          <w:szCs w:val="22"/>
        </w:rPr>
        <w:t xml:space="preserve"> and charges</w:t>
      </w:r>
      <w:r w:rsidR="00912D31" w:rsidRPr="00A942DC">
        <w:rPr>
          <w:rFonts w:ascii="Arial" w:hAnsi="Arial" w:cs="Arial"/>
          <w:sz w:val="20"/>
          <w:szCs w:val="22"/>
        </w:rPr>
        <w:t xml:space="preserve">. </w:t>
      </w:r>
      <w:r w:rsidR="00E3058C" w:rsidRPr="00A942DC">
        <w:rPr>
          <w:rFonts w:ascii="Arial" w:hAnsi="Arial" w:cs="Arial"/>
          <w:sz w:val="20"/>
          <w:szCs w:val="22"/>
        </w:rPr>
        <w:t>For</w:t>
      </w:r>
      <w:r w:rsidR="00326E7B" w:rsidRPr="00A942DC">
        <w:rPr>
          <w:rFonts w:ascii="Arial" w:hAnsi="Arial" w:cs="Arial"/>
          <w:sz w:val="20"/>
          <w:szCs w:val="22"/>
        </w:rPr>
        <w:t xml:space="preserve"> the proposed application the applicant will refer to </w:t>
      </w:r>
      <w:r w:rsidR="00E3058C" w:rsidRPr="00A942DC">
        <w:rPr>
          <w:rFonts w:ascii="Arial" w:hAnsi="Arial" w:cs="Arial"/>
          <w:sz w:val="20"/>
          <w:szCs w:val="22"/>
        </w:rPr>
        <w:t>them as</w:t>
      </w:r>
      <w:r w:rsidR="00326E7B" w:rsidRPr="00A942DC">
        <w:rPr>
          <w:rFonts w:ascii="Arial" w:hAnsi="Arial" w:cs="Arial"/>
          <w:sz w:val="20"/>
          <w:szCs w:val="22"/>
        </w:rPr>
        <w:t xml:space="preserve"> the “Thunder Bay </w:t>
      </w:r>
      <w:r w:rsidR="00FA4098" w:rsidRPr="00A942DC">
        <w:rPr>
          <w:rFonts w:ascii="Arial" w:hAnsi="Arial" w:cs="Arial"/>
          <w:sz w:val="20"/>
          <w:szCs w:val="22"/>
        </w:rPr>
        <w:t>Rate Zone</w:t>
      </w:r>
      <w:r w:rsidR="00326E7B" w:rsidRPr="00A942DC">
        <w:rPr>
          <w:rFonts w:ascii="Arial" w:hAnsi="Arial" w:cs="Arial"/>
          <w:sz w:val="20"/>
          <w:szCs w:val="22"/>
        </w:rPr>
        <w:t xml:space="preserve">” and “Kenora </w:t>
      </w:r>
      <w:r w:rsidR="00FA4098" w:rsidRPr="00A942DC">
        <w:rPr>
          <w:rFonts w:ascii="Arial" w:hAnsi="Arial" w:cs="Arial"/>
          <w:sz w:val="20"/>
          <w:szCs w:val="22"/>
        </w:rPr>
        <w:t>Rate Zone</w:t>
      </w:r>
      <w:r w:rsidR="00326E7B" w:rsidRPr="00A942DC">
        <w:rPr>
          <w:rFonts w:ascii="Arial" w:hAnsi="Arial" w:cs="Arial"/>
          <w:sz w:val="20"/>
          <w:szCs w:val="22"/>
        </w:rPr>
        <w:t xml:space="preserve">”. </w:t>
      </w:r>
    </w:p>
    <w:p w14:paraId="137A42D2" w14:textId="77777777" w:rsidR="004344DB" w:rsidRPr="00A942DC" w:rsidRDefault="004344DB" w:rsidP="001B4A0A">
      <w:pPr>
        <w:spacing w:line="360" w:lineRule="auto"/>
        <w:jc w:val="both"/>
        <w:rPr>
          <w:rFonts w:ascii="Arial" w:hAnsi="Arial" w:cs="Arial"/>
          <w:sz w:val="20"/>
          <w:szCs w:val="22"/>
        </w:rPr>
      </w:pPr>
    </w:p>
    <w:p w14:paraId="67020563" w14:textId="53CB67D4" w:rsidR="002D75CD" w:rsidRPr="002D75CD" w:rsidRDefault="002D75CD" w:rsidP="002D75CD">
      <w:pPr>
        <w:spacing w:line="360" w:lineRule="auto"/>
        <w:jc w:val="both"/>
        <w:rPr>
          <w:rFonts w:ascii="Arial" w:hAnsi="Arial" w:cs="Arial"/>
          <w:sz w:val="20"/>
          <w:szCs w:val="22"/>
        </w:rPr>
      </w:pPr>
      <w:r w:rsidRPr="004D562F">
        <w:rPr>
          <w:rFonts w:ascii="Arial" w:hAnsi="Arial" w:cs="Arial"/>
          <w:sz w:val="20"/>
          <w:szCs w:val="22"/>
        </w:rPr>
        <w:t>SYNERGY NORTH submits this stand-alone Bifurcated application, as a result of an OEB Staff Follow Up Question</w:t>
      </w:r>
      <w:r w:rsidR="00B52513" w:rsidRPr="004D562F">
        <w:rPr>
          <w:rFonts w:ascii="Arial" w:hAnsi="Arial" w:cs="Arial"/>
          <w:sz w:val="20"/>
          <w:szCs w:val="22"/>
        </w:rPr>
        <w:t xml:space="preserve"> of January 25, 2023</w:t>
      </w:r>
      <w:r w:rsidRPr="004D562F">
        <w:rPr>
          <w:rFonts w:ascii="Arial" w:hAnsi="Arial" w:cs="Arial"/>
          <w:sz w:val="20"/>
          <w:szCs w:val="22"/>
        </w:rPr>
        <w:t xml:space="preserve">, 3(b), in EB-2022-0063.  It was requested that, given the material impact of the proposed retroactive adjustments, Synergy North consider withdrawing the disposition of accounts 1588 and 1589 for both zones in the 2023 IRM application or request for the disposition of Group 1 DVAs at an interim basis. Synergy North filed a letter on February 15, </w:t>
      </w:r>
      <w:proofErr w:type="gramStart"/>
      <w:r w:rsidRPr="004D562F">
        <w:rPr>
          <w:rFonts w:ascii="Arial" w:hAnsi="Arial" w:cs="Arial"/>
          <w:sz w:val="20"/>
          <w:szCs w:val="22"/>
        </w:rPr>
        <w:t>2023</w:t>
      </w:r>
      <w:proofErr w:type="gramEnd"/>
      <w:r w:rsidRPr="004D562F">
        <w:rPr>
          <w:rFonts w:ascii="Arial" w:hAnsi="Arial" w:cs="Arial"/>
          <w:sz w:val="20"/>
          <w:szCs w:val="22"/>
        </w:rPr>
        <w:t xml:space="preserve"> stating that balances in Accounts 1588 and 1589 would be removed from the Group 1 RSVA disposal request in the 2023 IRM Application and disposal of these accounts would be requested in a stand-alone application.</w:t>
      </w:r>
    </w:p>
    <w:p w14:paraId="19E83C39" w14:textId="77777777" w:rsidR="002D75CD" w:rsidRDefault="002D75CD" w:rsidP="001B4A0A">
      <w:pPr>
        <w:spacing w:line="360" w:lineRule="auto"/>
        <w:jc w:val="both"/>
        <w:rPr>
          <w:rFonts w:ascii="Arial" w:hAnsi="Arial" w:cs="Arial"/>
          <w:sz w:val="20"/>
          <w:szCs w:val="22"/>
        </w:rPr>
      </w:pPr>
    </w:p>
    <w:p w14:paraId="54622098" w14:textId="0FE6877B" w:rsidR="004344DB" w:rsidRPr="00A942DC" w:rsidRDefault="006D6541" w:rsidP="001B4A0A">
      <w:pPr>
        <w:spacing w:line="360" w:lineRule="auto"/>
        <w:jc w:val="both"/>
        <w:rPr>
          <w:rFonts w:ascii="Arial" w:hAnsi="Arial" w:cs="Arial"/>
          <w:sz w:val="20"/>
          <w:szCs w:val="22"/>
        </w:rPr>
      </w:pPr>
      <w:r>
        <w:rPr>
          <w:rFonts w:ascii="Arial" w:hAnsi="Arial" w:cs="Arial"/>
          <w:sz w:val="20"/>
          <w:szCs w:val="22"/>
        </w:rPr>
        <w:t>SYNERGY NORTH</w:t>
      </w:r>
      <w:r w:rsidR="00D26576" w:rsidRPr="00A942DC">
        <w:rPr>
          <w:rFonts w:ascii="Arial" w:hAnsi="Arial" w:cs="Arial"/>
          <w:sz w:val="20"/>
          <w:szCs w:val="22"/>
        </w:rPr>
        <w:t xml:space="preserve"> </w:t>
      </w:r>
      <w:r w:rsidR="00326E7B" w:rsidRPr="00A942DC">
        <w:rPr>
          <w:rFonts w:ascii="Arial" w:hAnsi="Arial" w:cs="Arial"/>
          <w:sz w:val="20"/>
          <w:szCs w:val="22"/>
        </w:rPr>
        <w:t>submits herein a</w:t>
      </w:r>
      <w:r w:rsidR="00FE0345">
        <w:rPr>
          <w:rFonts w:ascii="Arial" w:hAnsi="Arial" w:cs="Arial"/>
          <w:sz w:val="20"/>
          <w:szCs w:val="22"/>
        </w:rPr>
        <w:t>n</w:t>
      </w:r>
      <w:r w:rsidR="00326E7B" w:rsidRPr="00A942DC">
        <w:rPr>
          <w:rFonts w:ascii="Arial" w:hAnsi="Arial" w:cs="Arial"/>
          <w:sz w:val="20"/>
          <w:szCs w:val="22"/>
        </w:rPr>
        <w:t xml:space="preserve"> application (the “Application”) </w:t>
      </w:r>
      <w:r w:rsidR="00FE0345">
        <w:rPr>
          <w:rFonts w:ascii="Arial" w:hAnsi="Arial" w:cs="Arial"/>
          <w:sz w:val="20"/>
          <w:szCs w:val="22"/>
        </w:rPr>
        <w:t xml:space="preserve">to bifurcate application EB-2022-0063, whereby </w:t>
      </w:r>
      <w:r w:rsidR="007016D5">
        <w:rPr>
          <w:rFonts w:ascii="Arial" w:hAnsi="Arial" w:cs="Arial"/>
          <w:sz w:val="20"/>
          <w:szCs w:val="22"/>
        </w:rPr>
        <w:t>“</w:t>
      </w:r>
      <w:r w:rsidR="00FE0345">
        <w:rPr>
          <w:rFonts w:ascii="Arial" w:hAnsi="Arial" w:cs="Arial"/>
          <w:sz w:val="20"/>
          <w:szCs w:val="22"/>
        </w:rPr>
        <w:t>Phase 1</w:t>
      </w:r>
      <w:r w:rsidR="007016D5">
        <w:rPr>
          <w:rFonts w:ascii="Arial" w:hAnsi="Arial" w:cs="Arial"/>
          <w:sz w:val="20"/>
          <w:szCs w:val="22"/>
        </w:rPr>
        <w:t>”</w:t>
      </w:r>
      <w:r w:rsidR="00FE0345">
        <w:rPr>
          <w:rFonts w:ascii="Arial" w:hAnsi="Arial" w:cs="Arial"/>
          <w:sz w:val="20"/>
          <w:szCs w:val="22"/>
        </w:rPr>
        <w:t xml:space="preserve"> included distribution rates relating to the IRM adjustments, Group 1 Accounts (</w:t>
      </w:r>
      <w:r w:rsidR="00FE0345" w:rsidRPr="00CA1190">
        <w:rPr>
          <w:rFonts w:ascii="Arial" w:hAnsi="Arial" w:cs="Arial"/>
          <w:b/>
          <w:bCs/>
          <w:sz w:val="20"/>
          <w:szCs w:val="22"/>
        </w:rPr>
        <w:t>excluding 1588 &amp; 1589</w:t>
      </w:r>
      <w:r w:rsidR="00FE0345">
        <w:rPr>
          <w:rFonts w:ascii="Arial" w:hAnsi="Arial" w:cs="Arial"/>
          <w:sz w:val="20"/>
          <w:szCs w:val="22"/>
        </w:rPr>
        <w:t xml:space="preserve">) and the LRAMVA, </w:t>
      </w:r>
      <w:r w:rsidR="00326E7B" w:rsidRPr="00A942DC">
        <w:rPr>
          <w:rFonts w:ascii="Arial" w:hAnsi="Arial" w:cs="Arial"/>
          <w:sz w:val="20"/>
          <w:szCs w:val="22"/>
        </w:rPr>
        <w:t xml:space="preserve">for proposed distribution and transmission rates effective </w:t>
      </w:r>
      <w:r w:rsidR="0094121B" w:rsidRPr="00A942DC">
        <w:rPr>
          <w:rFonts w:ascii="Arial" w:hAnsi="Arial" w:cs="Arial"/>
          <w:sz w:val="20"/>
          <w:szCs w:val="22"/>
        </w:rPr>
        <w:t xml:space="preserve">May 1, </w:t>
      </w:r>
      <w:r w:rsidR="00C0612A">
        <w:rPr>
          <w:rFonts w:ascii="Arial" w:hAnsi="Arial" w:cs="Arial"/>
          <w:sz w:val="20"/>
          <w:szCs w:val="22"/>
        </w:rPr>
        <w:t>2023</w:t>
      </w:r>
      <w:r w:rsidR="00912D31" w:rsidRPr="00A942DC">
        <w:rPr>
          <w:rFonts w:ascii="Arial" w:hAnsi="Arial" w:cs="Arial"/>
          <w:sz w:val="20"/>
          <w:szCs w:val="22"/>
        </w:rPr>
        <w:t>,</w:t>
      </w:r>
      <w:r w:rsidR="00CB6654" w:rsidRPr="00A942DC">
        <w:rPr>
          <w:rFonts w:ascii="Arial" w:hAnsi="Arial" w:cs="Arial"/>
          <w:sz w:val="20"/>
          <w:szCs w:val="22"/>
        </w:rPr>
        <w:t xml:space="preserve"> for both Thunder Bay</w:t>
      </w:r>
      <w:r w:rsidR="00326E7B" w:rsidRPr="00A942DC">
        <w:rPr>
          <w:rFonts w:ascii="Arial" w:hAnsi="Arial" w:cs="Arial"/>
          <w:sz w:val="20"/>
          <w:szCs w:val="22"/>
        </w:rPr>
        <w:t xml:space="preserve"> and Kenora </w:t>
      </w:r>
      <w:r w:rsidR="00FA4098" w:rsidRPr="00A942DC">
        <w:rPr>
          <w:rFonts w:ascii="Arial" w:hAnsi="Arial" w:cs="Arial"/>
          <w:sz w:val="20"/>
          <w:szCs w:val="22"/>
        </w:rPr>
        <w:t>Rate Zone</w:t>
      </w:r>
      <w:r w:rsidR="00326E7B" w:rsidRPr="00A942DC">
        <w:rPr>
          <w:rFonts w:ascii="Arial" w:hAnsi="Arial" w:cs="Arial"/>
          <w:sz w:val="20"/>
          <w:szCs w:val="22"/>
        </w:rPr>
        <w:t>s.</w:t>
      </w:r>
      <w:r w:rsidR="004344DB" w:rsidRPr="00A942DC">
        <w:rPr>
          <w:rFonts w:ascii="Arial" w:hAnsi="Arial" w:cs="Arial"/>
          <w:sz w:val="20"/>
          <w:szCs w:val="22"/>
        </w:rPr>
        <w:t xml:space="preserve"> </w:t>
      </w:r>
      <w:r>
        <w:rPr>
          <w:rFonts w:ascii="Arial" w:hAnsi="Arial" w:cs="Arial"/>
          <w:sz w:val="20"/>
          <w:szCs w:val="22"/>
        </w:rPr>
        <w:t>SYNERGY NORTH</w:t>
      </w:r>
      <w:r w:rsidR="00D26576" w:rsidRPr="00A942DC">
        <w:rPr>
          <w:rFonts w:ascii="Arial" w:hAnsi="Arial" w:cs="Arial"/>
          <w:sz w:val="20"/>
          <w:szCs w:val="22"/>
        </w:rPr>
        <w:t xml:space="preserve"> </w:t>
      </w:r>
      <w:r w:rsidR="00FE0345">
        <w:rPr>
          <w:rFonts w:ascii="Arial" w:hAnsi="Arial" w:cs="Arial"/>
          <w:sz w:val="20"/>
          <w:szCs w:val="22"/>
        </w:rPr>
        <w:t xml:space="preserve">is filing </w:t>
      </w:r>
      <w:r w:rsidR="00AE3C7E">
        <w:rPr>
          <w:rFonts w:ascii="Arial" w:hAnsi="Arial" w:cs="Arial"/>
          <w:sz w:val="20"/>
          <w:szCs w:val="22"/>
        </w:rPr>
        <w:t>this</w:t>
      </w:r>
      <w:r w:rsidR="00CA1190">
        <w:rPr>
          <w:rFonts w:ascii="Arial" w:hAnsi="Arial" w:cs="Arial"/>
          <w:sz w:val="20"/>
          <w:szCs w:val="22"/>
        </w:rPr>
        <w:t xml:space="preserve"> “Phase 2” of the application</w:t>
      </w:r>
      <w:r w:rsidR="00FE0345">
        <w:rPr>
          <w:rFonts w:ascii="Arial" w:hAnsi="Arial" w:cs="Arial"/>
          <w:sz w:val="20"/>
          <w:szCs w:val="22"/>
        </w:rPr>
        <w:t xml:space="preserve"> to dispose of Group 1 RSVA 1588 &amp; 1589 balances</w:t>
      </w:r>
      <w:r w:rsidR="0094121B" w:rsidRPr="00A942DC">
        <w:rPr>
          <w:rFonts w:ascii="Arial" w:hAnsi="Arial" w:cs="Arial"/>
          <w:sz w:val="20"/>
          <w:szCs w:val="22"/>
        </w:rPr>
        <w:t xml:space="preserve"> for </w:t>
      </w:r>
      <w:r w:rsidR="007016D5">
        <w:rPr>
          <w:rFonts w:ascii="Arial" w:hAnsi="Arial" w:cs="Arial"/>
          <w:sz w:val="20"/>
          <w:szCs w:val="22"/>
        </w:rPr>
        <w:t xml:space="preserve">both </w:t>
      </w:r>
      <w:r w:rsidR="0094121B" w:rsidRPr="00A942DC">
        <w:rPr>
          <w:rFonts w:ascii="Arial" w:hAnsi="Arial" w:cs="Arial"/>
          <w:sz w:val="20"/>
          <w:szCs w:val="22"/>
        </w:rPr>
        <w:t xml:space="preserve">Thunder Bay </w:t>
      </w:r>
      <w:r w:rsidR="00FA4098" w:rsidRPr="00A942DC">
        <w:rPr>
          <w:rFonts w:ascii="Arial" w:hAnsi="Arial" w:cs="Arial"/>
          <w:sz w:val="20"/>
          <w:szCs w:val="22"/>
        </w:rPr>
        <w:t>Rate Zone</w:t>
      </w:r>
      <w:r w:rsidR="0094121B" w:rsidRPr="00A942DC">
        <w:rPr>
          <w:rFonts w:ascii="Arial" w:hAnsi="Arial" w:cs="Arial"/>
          <w:sz w:val="20"/>
          <w:szCs w:val="22"/>
        </w:rPr>
        <w:t xml:space="preserve"> </w:t>
      </w:r>
      <w:r w:rsidR="00FE0345">
        <w:rPr>
          <w:rFonts w:ascii="Arial" w:hAnsi="Arial" w:cs="Arial"/>
          <w:sz w:val="20"/>
          <w:szCs w:val="22"/>
        </w:rPr>
        <w:t>and</w:t>
      </w:r>
      <w:r w:rsidR="0094121B" w:rsidRPr="00A942DC">
        <w:rPr>
          <w:rFonts w:ascii="Arial" w:hAnsi="Arial" w:cs="Arial"/>
          <w:sz w:val="20"/>
          <w:szCs w:val="22"/>
        </w:rPr>
        <w:t xml:space="preserve"> Kenora </w:t>
      </w:r>
      <w:r w:rsidR="00FA4098" w:rsidRPr="00A942DC">
        <w:rPr>
          <w:rFonts w:ascii="Arial" w:hAnsi="Arial" w:cs="Arial"/>
          <w:sz w:val="20"/>
          <w:szCs w:val="22"/>
        </w:rPr>
        <w:t>Rate Zone</w:t>
      </w:r>
      <w:r w:rsidR="0094121B" w:rsidRPr="00A942DC">
        <w:rPr>
          <w:rFonts w:ascii="Arial" w:hAnsi="Arial" w:cs="Arial"/>
          <w:sz w:val="20"/>
          <w:szCs w:val="22"/>
        </w:rPr>
        <w:t>.</w:t>
      </w:r>
    </w:p>
    <w:p w14:paraId="6A7A80C3" w14:textId="77777777" w:rsidR="008D4E5C" w:rsidRDefault="008D4E5C" w:rsidP="001B4A0A">
      <w:pPr>
        <w:autoSpaceDE w:val="0"/>
        <w:autoSpaceDN w:val="0"/>
        <w:adjustRightInd w:val="0"/>
        <w:spacing w:line="360" w:lineRule="auto"/>
        <w:jc w:val="both"/>
        <w:rPr>
          <w:rFonts w:ascii="Arial" w:eastAsiaTheme="minorHAnsi" w:hAnsi="Arial" w:cs="Arial"/>
          <w:sz w:val="20"/>
          <w:szCs w:val="22"/>
          <w:lang w:val="en-CA"/>
        </w:rPr>
      </w:pPr>
    </w:p>
    <w:p w14:paraId="32CCF341" w14:textId="01076E39" w:rsidR="004344DB"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sidRPr="00A942DC">
        <w:rPr>
          <w:rFonts w:ascii="Arial" w:eastAsiaTheme="minorHAnsi" w:hAnsi="Arial" w:cs="Arial"/>
          <w:sz w:val="20"/>
          <w:szCs w:val="22"/>
          <w:lang w:val="en-CA"/>
        </w:rPr>
        <w:t xml:space="preserve"> </w:t>
      </w:r>
      <w:r w:rsidR="00E45B73" w:rsidRPr="00A942DC">
        <w:rPr>
          <w:rFonts w:ascii="Arial" w:eastAsiaTheme="minorHAnsi" w:hAnsi="Arial" w:cs="Arial"/>
          <w:sz w:val="20"/>
          <w:szCs w:val="22"/>
          <w:lang w:val="en-CA"/>
        </w:rPr>
        <w:t>re</w:t>
      </w:r>
      <w:r w:rsidR="004344DB" w:rsidRPr="00A942DC">
        <w:rPr>
          <w:rFonts w:ascii="Arial" w:eastAsiaTheme="minorHAnsi" w:hAnsi="Arial" w:cs="Arial"/>
          <w:sz w:val="20"/>
          <w:szCs w:val="22"/>
          <w:lang w:val="en-CA"/>
        </w:rPr>
        <w:t xml:space="preserve">quests that this </w:t>
      </w:r>
      <w:r w:rsidR="00CA1190">
        <w:rPr>
          <w:rFonts w:ascii="Arial" w:eastAsiaTheme="minorHAnsi" w:hAnsi="Arial" w:cs="Arial"/>
          <w:sz w:val="20"/>
          <w:szCs w:val="22"/>
          <w:lang w:val="en-CA"/>
        </w:rPr>
        <w:t>a</w:t>
      </w:r>
      <w:r w:rsidR="004344DB" w:rsidRPr="00A942DC">
        <w:rPr>
          <w:rFonts w:ascii="Arial" w:eastAsiaTheme="minorHAnsi" w:hAnsi="Arial" w:cs="Arial"/>
          <w:sz w:val="20"/>
          <w:szCs w:val="22"/>
          <w:lang w:val="en-CA"/>
        </w:rPr>
        <w:t>pplication be disposed of by way of a written hearing.</w:t>
      </w:r>
    </w:p>
    <w:p w14:paraId="6A0CBB3A" w14:textId="057781B5" w:rsidR="00E66FC2" w:rsidRDefault="00E66FC2" w:rsidP="00CE0BDB">
      <w:pPr>
        <w:autoSpaceDE w:val="0"/>
        <w:autoSpaceDN w:val="0"/>
        <w:adjustRightInd w:val="0"/>
        <w:spacing w:line="276" w:lineRule="auto"/>
        <w:jc w:val="both"/>
        <w:rPr>
          <w:rFonts w:ascii="Arial" w:eastAsiaTheme="minorHAnsi" w:hAnsi="Arial" w:cs="Arial"/>
          <w:sz w:val="20"/>
          <w:szCs w:val="22"/>
          <w:lang w:val="en-CA"/>
        </w:rPr>
      </w:pPr>
    </w:p>
    <w:p w14:paraId="54B7A3DE" w14:textId="0281CF40" w:rsidR="00E66FC2" w:rsidRPr="00A942DC"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E66FC2">
        <w:rPr>
          <w:rFonts w:ascii="Arial" w:eastAsiaTheme="minorHAnsi" w:hAnsi="Arial" w:cs="Arial"/>
          <w:sz w:val="20"/>
          <w:szCs w:val="22"/>
          <w:lang w:val="en-CA"/>
        </w:rPr>
        <w:t xml:space="preserve"> acknowledges that all customer rate classes will be impacted in both Zones by this</w:t>
      </w:r>
      <w:r w:rsidR="00ED1818">
        <w:rPr>
          <w:rFonts w:ascii="Arial" w:eastAsiaTheme="minorHAnsi" w:hAnsi="Arial" w:cs="Arial"/>
          <w:sz w:val="20"/>
          <w:szCs w:val="22"/>
          <w:lang w:val="en-CA"/>
        </w:rPr>
        <w:t xml:space="preserve"> </w:t>
      </w:r>
      <w:r w:rsidR="00E66FC2">
        <w:rPr>
          <w:rFonts w:ascii="Arial" w:eastAsiaTheme="minorHAnsi" w:hAnsi="Arial" w:cs="Arial"/>
          <w:sz w:val="20"/>
          <w:szCs w:val="22"/>
          <w:lang w:val="en-CA"/>
        </w:rPr>
        <w:t>application.</w:t>
      </w:r>
    </w:p>
    <w:p w14:paraId="4F050111" w14:textId="44B858A4" w:rsidR="007204AB" w:rsidRDefault="007204AB">
      <w:pPr>
        <w:spacing w:after="200" w:line="276" w:lineRule="auto"/>
        <w:rPr>
          <w:rFonts w:ascii="Arial" w:eastAsiaTheme="minorHAnsi" w:hAnsi="Arial" w:cs="Arial"/>
          <w:sz w:val="20"/>
          <w:szCs w:val="22"/>
          <w:lang w:val="en-CA"/>
        </w:rPr>
      </w:pPr>
    </w:p>
    <w:p w14:paraId="0D0632C4" w14:textId="77777777" w:rsidR="003C104C" w:rsidRPr="00A942DC" w:rsidRDefault="003C104C" w:rsidP="003C104C">
      <w:pPr>
        <w:pStyle w:val="Heading2"/>
        <w:jc w:val="both"/>
        <w:rPr>
          <w:rFonts w:ascii="Arial" w:hAnsi="Arial" w:cs="Arial"/>
          <w:color w:val="auto"/>
          <w:sz w:val="24"/>
          <w:szCs w:val="24"/>
        </w:rPr>
      </w:pPr>
      <w:bookmarkStart w:id="9" w:name="_Toc497556723"/>
      <w:bookmarkStart w:id="10" w:name="_Toc127886106"/>
      <w:r w:rsidRPr="00A942DC">
        <w:rPr>
          <w:rFonts w:ascii="Arial" w:hAnsi="Arial" w:cs="Arial"/>
          <w:color w:val="auto"/>
          <w:sz w:val="24"/>
          <w:szCs w:val="24"/>
        </w:rPr>
        <w:t>3.1.2 Components of the Application Filing</w:t>
      </w:r>
      <w:bookmarkEnd w:id="9"/>
      <w:bookmarkEnd w:id="10"/>
    </w:p>
    <w:p w14:paraId="41D64E83" w14:textId="77777777" w:rsidR="003C104C" w:rsidRPr="00A942DC" w:rsidRDefault="003C104C" w:rsidP="004344DB">
      <w:pPr>
        <w:autoSpaceDE w:val="0"/>
        <w:autoSpaceDN w:val="0"/>
        <w:adjustRightInd w:val="0"/>
        <w:jc w:val="both"/>
        <w:rPr>
          <w:rFonts w:ascii="Arial" w:eastAsiaTheme="minorHAnsi" w:hAnsi="Arial" w:cs="Arial"/>
          <w:sz w:val="20"/>
          <w:szCs w:val="22"/>
          <w:lang w:val="en-CA"/>
        </w:rPr>
      </w:pPr>
    </w:p>
    <w:p w14:paraId="558ED21A" w14:textId="7BAFE086" w:rsidR="003C104C" w:rsidRPr="00A942DC"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sidRPr="00A942DC">
        <w:rPr>
          <w:rFonts w:ascii="Arial" w:eastAsiaTheme="minorHAnsi" w:hAnsi="Arial" w:cs="Arial"/>
          <w:sz w:val="20"/>
          <w:szCs w:val="22"/>
          <w:lang w:val="en-CA"/>
        </w:rPr>
        <w:t xml:space="preserve"> </w:t>
      </w:r>
      <w:r w:rsidR="003C104C" w:rsidRPr="00A942DC">
        <w:rPr>
          <w:rFonts w:ascii="Arial" w:eastAsiaTheme="minorHAnsi" w:hAnsi="Arial" w:cs="Arial"/>
          <w:sz w:val="20"/>
          <w:szCs w:val="22"/>
          <w:lang w:val="en-CA"/>
        </w:rPr>
        <w:t>has incl</w:t>
      </w:r>
      <w:r w:rsidR="00C84F23" w:rsidRPr="00A942DC">
        <w:rPr>
          <w:rFonts w:ascii="Arial" w:eastAsiaTheme="minorHAnsi" w:hAnsi="Arial" w:cs="Arial"/>
          <w:sz w:val="20"/>
          <w:szCs w:val="22"/>
          <w:lang w:val="en-CA"/>
        </w:rPr>
        <w:t xml:space="preserve">uded in this application </w:t>
      </w:r>
      <w:r w:rsidR="000C6D57">
        <w:rPr>
          <w:rFonts w:ascii="Arial" w:eastAsiaTheme="minorHAnsi" w:hAnsi="Arial" w:cs="Arial"/>
          <w:sz w:val="20"/>
          <w:szCs w:val="22"/>
          <w:lang w:val="en-CA"/>
        </w:rPr>
        <w:t>t</w:t>
      </w:r>
      <w:r w:rsidR="002D6092" w:rsidRPr="00A942DC">
        <w:rPr>
          <w:rFonts w:ascii="Arial" w:eastAsiaTheme="minorHAnsi" w:hAnsi="Arial" w:cs="Arial"/>
          <w:sz w:val="20"/>
          <w:szCs w:val="22"/>
          <w:lang w:val="en-CA"/>
        </w:rPr>
        <w:t>he following</w:t>
      </w:r>
      <w:r w:rsidR="00CB6654" w:rsidRPr="00A942DC">
        <w:rPr>
          <w:rFonts w:ascii="Arial" w:eastAsiaTheme="minorHAnsi" w:hAnsi="Arial" w:cs="Arial"/>
          <w:sz w:val="20"/>
          <w:szCs w:val="22"/>
          <w:lang w:val="en-CA"/>
        </w:rPr>
        <w:t xml:space="preserve"> for both </w:t>
      </w:r>
      <w:r w:rsidR="00A70767" w:rsidRPr="00A942DC">
        <w:rPr>
          <w:rFonts w:ascii="Arial" w:eastAsiaTheme="minorHAnsi" w:hAnsi="Arial" w:cs="Arial"/>
          <w:sz w:val="20"/>
          <w:szCs w:val="22"/>
          <w:lang w:val="en-CA"/>
        </w:rPr>
        <w:t xml:space="preserve">the </w:t>
      </w:r>
      <w:r w:rsidR="00CB6654" w:rsidRPr="00A942DC">
        <w:rPr>
          <w:rFonts w:ascii="Arial" w:eastAsiaTheme="minorHAnsi" w:hAnsi="Arial" w:cs="Arial"/>
          <w:sz w:val="20"/>
          <w:szCs w:val="22"/>
          <w:lang w:val="en-CA"/>
        </w:rPr>
        <w:t xml:space="preserve">Thunder Bay </w:t>
      </w:r>
      <w:r w:rsidR="002D6092" w:rsidRPr="00A942DC">
        <w:rPr>
          <w:rFonts w:ascii="Arial" w:eastAsiaTheme="minorHAnsi" w:hAnsi="Arial" w:cs="Arial"/>
          <w:sz w:val="20"/>
          <w:szCs w:val="22"/>
          <w:lang w:val="en-CA"/>
        </w:rPr>
        <w:t xml:space="preserve">and Kenora </w:t>
      </w:r>
      <w:r w:rsidR="00FA4098" w:rsidRPr="00A942DC">
        <w:rPr>
          <w:rFonts w:ascii="Arial" w:eastAsiaTheme="minorHAnsi" w:hAnsi="Arial" w:cs="Arial"/>
          <w:sz w:val="20"/>
          <w:szCs w:val="22"/>
          <w:lang w:val="en-CA"/>
        </w:rPr>
        <w:t>Rate Zone</w:t>
      </w:r>
      <w:r w:rsidR="00A70767" w:rsidRPr="00A942DC">
        <w:rPr>
          <w:rFonts w:ascii="Arial" w:eastAsiaTheme="minorHAnsi" w:hAnsi="Arial" w:cs="Arial"/>
          <w:sz w:val="20"/>
          <w:szCs w:val="22"/>
          <w:lang w:val="en-CA"/>
        </w:rPr>
        <w:t>s</w:t>
      </w:r>
      <w:r w:rsidR="002D6092" w:rsidRPr="00A942DC">
        <w:rPr>
          <w:rFonts w:ascii="Arial" w:eastAsiaTheme="minorHAnsi" w:hAnsi="Arial" w:cs="Arial"/>
          <w:sz w:val="20"/>
          <w:szCs w:val="22"/>
          <w:lang w:val="en-CA"/>
        </w:rPr>
        <w:t>:</w:t>
      </w:r>
    </w:p>
    <w:p w14:paraId="3B20EB42" w14:textId="7DC6E02E" w:rsidR="003C104C" w:rsidRPr="00D70D46" w:rsidRDefault="003C104C"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 xml:space="preserve">Managers </w:t>
      </w:r>
      <w:r w:rsidR="00A942DC" w:rsidRPr="00D70D46">
        <w:rPr>
          <w:rFonts w:ascii="Arial" w:eastAsiaTheme="minorHAnsi" w:hAnsi="Arial" w:cs="Arial"/>
          <w:sz w:val="20"/>
          <w:szCs w:val="22"/>
          <w:lang w:val="en-CA"/>
        </w:rPr>
        <w:t>Summary.</w:t>
      </w:r>
      <w:r w:rsidR="00275590" w:rsidRPr="00D70D46">
        <w:rPr>
          <w:rFonts w:ascii="Arial" w:eastAsiaTheme="minorHAnsi" w:hAnsi="Arial" w:cs="Arial"/>
          <w:sz w:val="20"/>
          <w:szCs w:val="22"/>
          <w:lang w:val="en-CA"/>
        </w:rPr>
        <w:t xml:space="preserve"> </w:t>
      </w:r>
    </w:p>
    <w:p w14:paraId="78EE1492" w14:textId="16AE3A74" w:rsidR="003C104C" w:rsidRPr="00D70D46" w:rsidRDefault="003C104C"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 xml:space="preserve">Contact </w:t>
      </w:r>
      <w:r w:rsidR="00A942DC" w:rsidRPr="00D70D46">
        <w:rPr>
          <w:rFonts w:ascii="Arial" w:eastAsiaTheme="minorHAnsi" w:hAnsi="Arial" w:cs="Arial"/>
          <w:sz w:val="20"/>
          <w:szCs w:val="22"/>
          <w:lang w:val="en-CA"/>
        </w:rPr>
        <w:t>Information.</w:t>
      </w:r>
    </w:p>
    <w:p w14:paraId="4D9091FB" w14:textId="278F9C37" w:rsidR="00066D0D" w:rsidRPr="00D70D46" w:rsidRDefault="00CB6654"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Rate Generation Model &amp;</w:t>
      </w:r>
      <w:r w:rsidR="003C104C" w:rsidRPr="00D70D46">
        <w:rPr>
          <w:rFonts w:ascii="Arial" w:eastAsiaTheme="minorHAnsi" w:hAnsi="Arial" w:cs="Arial"/>
          <w:sz w:val="20"/>
          <w:szCs w:val="22"/>
          <w:lang w:val="en-CA"/>
        </w:rPr>
        <w:t xml:space="preserve"> Supplemental </w:t>
      </w:r>
      <w:r w:rsidRPr="00D70D46">
        <w:rPr>
          <w:rFonts w:ascii="Arial" w:eastAsiaTheme="minorHAnsi" w:hAnsi="Arial" w:cs="Arial"/>
          <w:sz w:val="20"/>
          <w:szCs w:val="22"/>
          <w:lang w:val="en-CA"/>
        </w:rPr>
        <w:t xml:space="preserve">Global Adjustment </w:t>
      </w:r>
      <w:r w:rsidR="007016D5">
        <w:rPr>
          <w:rFonts w:ascii="Arial" w:eastAsiaTheme="minorHAnsi" w:hAnsi="Arial" w:cs="Arial"/>
          <w:sz w:val="20"/>
          <w:szCs w:val="22"/>
          <w:lang w:val="en-CA"/>
        </w:rPr>
        <w:t xml:space="preserve">Workform </w:t>
      </w:r>
      <w:r w:rsidR="00066D0D" w:rsidRPr="00D70D46">
        <w:rPr>
          <w:rFonts w:ascii="Arial" w:eastAsiaTheme="minorHAnsi" w:hAnsi="Arial" w:cs="Arial"/>
          <w:sz w:val="20"/>
          <w:szCs w:val="22"/>
          <w:lang w:val="en-CA"/>
        </w:rPr>
        <w:t xml:space="preserve">for each </w:t>
      </w:r>
      <w:r w:rsidR="008B2FF5">
        <w:rPr>
          <w:rFonts w:ascii="Arial" w:eastAsiaTheme="minorHAnsi" w:hAnsi="Arial" w:cs="Arial"/>
          <w:sz w:val="20"/>
          <w:szCs w:val="22"/>
          <w:lang w:val="en-CA"/>
        </w:rPr>
        <w:t>R</w:t>
      </w:r>
      <w:r w:rsidR="00066D0D" w:rsidRPr="00D70D46">
        <w:rPr>
          <w:rFonts w:ascii="Arial" w:eastAsiaTheme="minorHAnsi" w:hAnsi="Arial" w:cs="Arial"/>
          <w:sz w:val="20"/>
          <w:szCs w:val="22"/>
          <w:lang w:val="en-CA"/>
        </w:rPr>
        <w:t xml:space="preserve">ate </w:t>
      </w:r>
      <w:r w:rsidR="008B2FF5">
        <w:rPr>
          <w:rFonts w:ascii="Arial" w:eastAsiaTheme="minorHAnsi" w:hAnsi="Arial" w:cs="Arial"/>
          <w:sz w:val="20"/>
          <w:szCs w:val="22"/>
          <w:lang w:val="en-CA"/>
        </w:rPr>
        <w:t>Z</w:t>
      </w:r>
      <w:r w:rsidR="00A942DC" w:rsidRPr="00D70D46">
        <w:rPr>
          <w:rFonts w:ascii="Arial" w:eastAsiaTheme="minorHAnsi" w:hAnsi="Arial" w:cs="Arial"/>
          <w:sz w:val="20"/>
          <w:szCs w:val="22"/>
          <w:lang w:val="en-CA"/>
        </w:rPr>
        <w:t>one.</w:t>
      </w:r>
    </w:p>
    <w:p w14:paraId="5ACF9D60" w14:textId="26CBFB60" w:rsidR="003C104C" w:rsidRPr="00D70D46" w:rsidRDefault="00EA56DF"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lastRenderedPageBreak/>
        <w:t>Supporting documentation, v</w:t>
      </w:r>
      <w:r w:rsidR="003C104C" w:rsidRPr="00D70D46">
        <w:rPr>
          <w:rFonts w:ascii="Arial" w:eastAsiaTheme="minorHAnsi" w:hAnsi="Arial" w:cs="Arial"/>
          <w:sz w:val="20"/>
          <w:szCs w:val="22"/>
          <w:lang w:val="en-CA"/>
        </w:rPr>
        <w:t xml:space="preserve">alidated reporting </w:t>
      </w:r>
      <w:r w:rsidR="00275590" w:rsidRPr="00D70D46">
        <w:rPr>
          <w:rFonts w:ascii="Arial" w:eastAsiaTheme="minorHAnsi" w:hAnsi="Arial" w:cs="Arial"/>
          <w:sz w:val="20"/>
          <w:szCs w:val="22"/>
          <w:lang w:val="en-CA"/>
        </w:rPr>
        <w:t>record keeping requirements,</w:t>
      </w:r>
      <w:r w:rsidR="003C104C" w:rsidRPr="00D70D46">
        <w:rPr>
          <w:rFonts w:ascii="Arial" w:eastAsiaTheme="minorHAnsi" w:hAnsi="Arial" w:cs="Arial"/>
          <w:sz w:val="20"/>
          <w:szCs w:val="22"/>
          <w:lang w:val="en-CA"/>
        </w:rPr>
        <w:t xml:space="preserve"> </w:t>
      </w:r>
      <w:r w:rsidR="00C824C8" w:rsidRPr="00D70D46">
        <w:rPr>
          <w:rFonts w:ascii="Arial" w:eastAsiaTheme="minorHAnsi" w:hAnsi="Arial" w:cs="Arial"/>
          <w:sz w:val="20"/>
          <w:szCs w:val="22"/>
          <w:lang w:val="en-CA"/>
        </w:rPr>
        <w:t xml:space="preserve">and </w:t>
      </w:r>
      <w:r w:rsidR="003C104C" w:rsidRPr="00D70D46">
        <w:rPr>
          <w:rFonts w:ascii="Arial" w:eastAsiaTheme="minorHAnsi" w:hAnsi="Arial" w:cs="Arial"/>
          <w:sz w:val="20"/>
          <w:szCs w:val="22"/>
          <w:lang w:val="en-CA"/>
        </w:rPr>
        <w:t xml:space="preserve">other data </w:t>
      </w:r>
      <w:r w:rsidR="00CB6654" w:rsidRPr="00D70D46">
        <w:rPr>
          <w:rFonts w:ascii="Arial" w:eastAsiaTheme="minorHAnsi" w:hAnsi="Arial" w:cs="Arial"/>
          <w:sz w:val="20"/>
          <w:szCs w:val="22"/>
          <w:lang w:val="en-CA"/>
        </w:rPr>
        <w:t>referred to in the application</w:t>
      </w:r>
      <w:r w:rsidR="00275590" w:rsidRPr="00D70D46">
        <w:rPr>
          <w:rFonts w:ascii="Arial" w:eastAsiaTheme="minorHAnsi" w:hAnsi="Arial" w:cs="Arial"/>
          <w:sz w:val="20"/>
          <w:szCs w:val="22"/>
          <w:lang w:val="en-CA"/>
        </w:rPr>
        <w:t xml:space="preserve"> </w:t>
      </w:r>
      <w:r w:rsidR="002D6092" w:rsidRPr="00D70D46">
        <w:rPr>
          <w:rFonts w:ascii="Arial" w:eastAsiaTheme="minorHAnsi" w:hAnsi="Arial" w:cs="Arial"/>
          <w:sz w:val="20"/>
          <w:szCs w:val="22"/>
          <w:lang w:val="en-CA"/>
        </w:rPr>
        <w:t xml:space="preserve">for each </w:t>
      </w:r>
      <w:r w:rsidR="00FA4098" w:rsidRPr="00D70D46">
        <w:rPr>
          <w:rFonts w:ascii="Arial" w:eastAsiaTheme="minorHAnsi" w:hAnsi="Arial" w:cs="Arial"/>
          <w:sz w:val="20"/>
          <w:szCs w:val="22"/>
          <w:lang w:val="en-CA"/>
        </w:rPr>
        <w:t xml:space="preserve">Rate </w:t>
      </w:r>
      <w:r w:rsidR="00A942DC" w:rsidRPr="00D70D46">
        <w:rPr>
          <w:rFonts w:ascii="Arial" w:eastAsiaTheme="minorHAnsi" w:hAnsi="Arial" w:cs="Arial"/>
          <w:sz w:val="20"/>
          <w:szCs w:val="22"/>
          <w:lang w:val="en-CA"/>
        </w:rPr>
        <w:t>Zone.</w:t>
      </w:r>
    </w:p>
    <w:p w14:paraId="69D561BC" w14:textId="22E45D85" w:rsidR="003C104C" w:rsidRPr="00D70D46" w:rsidRDefault="003C104C"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A statement of who will be affected by the applicati</w:t>
      </w:r>
      <w:r w:rsidR="00CB6654" w:rsidRPr="00D70D46">
        <w:rPr>
          <w:rFonts w:ascii="Arial" w:eastAsiaTheme="minorHAnsi" w:hAnsi="Arial" w:cs="Arial"/>
          <w:sz w:val="20"/>
          <w:szCs w:val="22"/>
          <w:lang w:val="en-CA"/>
        </w:rPr>
        <w:t>on</w:t>
      </w:r>
      <w:r w:rsidR="00B13F6C" w:rsidRPr="00D70D46">
        <w:rPr>
          <w:rFonts w:ascii="Arial" w:eastAsiaTheme="minorHAnsi" w:hAnsi="Arial" w:cs="Arial"/>
          <w:sz w:val="20"/>
          <w:szCs w:val="22"/>
          <w:lang w:val="en-CA"/>
        </w:rPr>
        <w:t xml:space="preserve"> and particular bill impacts</w:t>
      </w:r>
      <w:r w:rsidR="002D6092" w:rsidRPr="00D70D46">
        <w:rPr>
          <w:rFonts w:ascii="Arial" w:eastAsiaTheme="minorHAnsi" w:hAnsi="Arial" w:cs="Arial"/>
          <w:sz w:val="20"/>
          <w:szCs w:val="22"/>
          <w:lang w:val="en-CA"/>
        </w:rPr>
        <w:t xml:space="preserve"> for both </w:t>
      </w:r>
      <w:r w:rsidR="00FA4098" w:rsidRPr="00D70D46">
        <w:rPr>
          <w:rFonts w:ascii="Arial" w:eastAsiaTheme="minorHAnsi" w:hAnsi="Arial" w:cs="Arial"/>
          <w:sz w:val="20"/>
          <w:szCs w:val="22"/>
          <w:lang w:val="en-CA"/>
        </w:rPr>
        <w:t xml:space="preserve">Rate </w:t>
      </w:r>
      <w:r w:rsidR="00A942DC" w:rsidRPr="00D70D46">
        <w:rPr>
          <w:rFonts w:ascii="Arial" w:eastAsiaTheme="minorHAnsi" w:hAnsi="Arial" w:cs="Arial"/>
          <w:sz w:val="20"/>
          <w:szCs w:val="22"/>
          <w:lang w:val="en-CA"/>
        </w:rPr>
        <w:t>Zones.</w:t>
      </w:r>
    </w:p>
    <w:p w14:paraId="3A135EC9" w14:textId="3299349D" w:rsidR="003C104C" w:rsidRPr="00D70D46" w:rsidRDefault="003C104C"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 xml:space="preserve">Confirmation of the Applicants internet </w:t>
      </w:r>
      <w:r w:rsidR="00A942DC" w:rsidRPr="00D70D46">
        <w:rPr>
          <w:rFonts w:ascii="Arial" w:eastAsiaTheme="minorHAnsi" w:hAnsi="Arial" w:cs="Arial"/>
          <w:sz w:val="20"/>
          <w:szCs w:val="22"/>
          <w:lang w:val="en-CA"/>
        </w:rPr>
        <w:t>address.</w:t>
      </w:r>
    </w:p>
    <w:p w14:paraId="142817AB" w14:textId="09145E3B" w:rsidR="003C104C" w:rsidRPr="00D70D46" w:rsidRDefault="003C104C" w:rsidP="001B4A0A">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Statement of confirmation related to accura</w:t>
      </w:r>
      <w:r w:rsidR="00B13F6C" w:rsidRPr="00D70D46">
        <w:rPr>
          <w:rFonts w:ascii="Arial" w:eastAsiaTheme="minorHAnsi" w:hAnsi="Arial" w:cs="Arial"/>
          <w:sz w:val="20"/>
          <w:szCs w:val="22"/>
          <w:lang w:val="en-CA"/>
        </w:rPr>
        <w:t>cy of the billing determinants</w:t>
      </w:r>
      <w:r w:rsidR="002D6092" w:rsidRPr="00D70D46">
        <w:rPr>
          <w:rFonts w:ascii="Arial" w:eastAsiaTheme="minorHAnsi" w:hAnsi="Arial" w:cs="Arial"/>
          <w:sz w:val="20"/>
          <w:szCs w:val="22"/>
          <w:lang w:val="en-CA"/>
        </w:rPr>
        <w:t xml:space="preserve"> for each </w:t>
      </w:r>
      <w:r w:rsidR="00FA4098" w:rsidRPr="00D70D46">
        <w:rPr>
          <w:rFonts w:ascii="Arial" w:eastAsiaTheme="minorHAnsi" w:hAnsi="Arial" w:cs="Arial"/>
          <w:sz w:val="20"/>
          <w:szCs w:val="22"/>
          <w:lang w:val="en-CA"/>
        </w:rPr>
        <w:t>Rate Zone</w:t>
      </w:r>
      <w:r w:rsidR="008B2FF5">
        <w:rPr>
          <w:rFonts w:ascii="Arial" w:eastAsiaTheme="minorHAnsi" w:hAnsi="Arial" w:cs="Arial"/>
          <w:sz w:val="20"/>
          <w:szCs w:val="22"/>
          <w:lang w:val="en-CA"/>
        </w:rPr>
        <w:t>.</w:t>
      </w:r>
    </w:p>
    <w:p w14:paraId="6120BC02" w14:textId="094D0AC0" w:rsidR="00547B0A" w:rsidRPr="00D70D46" w:rsidRDefault="003C104C" w:rsidP="00001F2C">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Text searchable Ado</w:t>
      </w:r>
      <w:r w:rsidR="001B4A0A" w:rsidRPr="00D70D46">
        <w:rPr>
          <w:rFonts w:ascii="Arial" w:eastAsiaTheme="minorHAnsi" w:hAnsi="Arial" w:cs="Arial"/>
          <w:sz w:val="20"/>
          <w:szCs w:val="22"/>
          <w:lang w:val="en-CA"/>
        </w:rPr>
        <w:t>be PDF format for all documents</w:t>
      </w:r>
      <w:r w:rsidR="00B13F6C" w:rsidRPr="00D70D46">
        <w:rPr>
          <w:rFonts w:ascii="Arial" w:eastAsiaTheme="minorHAnsi" w:hAnsi="Arial" w:cs="Arial"/>
          <w:sz w:val="20"/>
          <w:szCs w:val="22"/>
          <w:lang w:val="en-CA"/>
        </w:rPr>
        <w:t>.</w:t>
      </w:r>
    </w:p>
    <w:p w14:paraId="75D25B1D" w14:textId="54B86106" w:rsidR="00D70D46" w:rsidRPr="00D70D46" w:rsidRDefault="00D70D46" w:rsidP="00001F2C">
      <w:pPr>
        <w:pStyle w:val="ListParagraph"/>
        <w:numPr>
          <w:ilvl w:val="0"/>
          <w:numId w:val="16"/>
        </w:numPr>
        <w:autoSpaceDE w:val="0"/>
        <w:autoSpaceDN w:val="0"/>
        <w:adjustRightInd w:val="0"/>
        <w:spacing w:line="360" w:lineRule="auto"/>
        <w:jc w:val="both"/>
        <w:rPr>
          <w:rFonts w:ascii="Arial" w:eastAsiaTheme="minorHAnsi" w:hAnsi="Arial" w:cs="Arial"/>
          <w:sz w:val="20"/>
          <w:szCs w:val="22"/>
          <w:lang w:val="en-CA"/>
        </w:rPr>
      </w:pPr>
      <w:r w:rsidRPr="00D70D46">
        <w:rPr>
          <w:rFonts w:ascii="Arial" w:eastAsiaTheme="minorHAnsi" w:hAnsi="Arial" w:cs="Arial"/>
          <w:sz w:val="20"/>
          <w:szCs w:val="22"/>
          <w:lang w:val="en-CA"/>
        </w:rPr>
        <w:t>Certification of accuracy, consistency and completeness by a senior officer.</w:t>
      </w:r>
    </w:p>
    <w:p w14:paraId="40ABE8BE" w14:textId="77777777" w:rsidR="00BE1F1D" w:rsidRDefault="00BE1F1D" w:rsidP="00BE1F1D">
      <w:pPr>
        <w:autoSpaceDE w:val="0"/>
        <w:autoSpaceDN w:val="0"/>
        <w:adjustRightInd w:val="0"/>
        <w:spacing w:line="360" w:lineRule="auto"/>
        <w:jc w:val="both"/>
        <w:rPr>
          <w:rFonts w:ascii="Arial" w:eastAsiaTheme="minorHAnsi" w:hAnsi="Arial" w:cs="Arial"/>
          <w:sz w:val="20"/>
          <w:szCs w:val="22"/>
          <w:lang w:val="en-CA"/>
        </w:rPr>
      </w:pPr>
    </w:p>
    <w:p w14:paraId="3FD97E1B" w14:textId="77777777" w:rsidR="00402310" w:rsidRPr="00E25A89" w:rsidRDefault="00402310" w:rsidP="00402310">
      <w:pPr>
        <w:pStyle w:val="Heading2"/>
        <w:jc w:val="both"/>
        <w:rPr>
          <w:rFonts w:ascii="Arial" w:hAnsi="Arial" w:cs="Arial"/>
          <w:color w:val="auto"/>
          <w:sz w:val="24"/>
          <w:szCs w:val="24"/>
        </w:rPr>
      </w:pPr>
      <w:bookmarkStart w:id="11" w:name="_Toc497556724"/>
      <w:bookmarkStart w:id="12" w:name="_Toc127886107"/>
      <w:r>
        <w:rPr>
          <w:rFonts w:ascii="Arial" w:hAnsi="Arial" w:cs="Arial"/>
          <w:color w:val="auto"/>
          <w:sz w:val="24"/>
          <w:szCs w:val="24"/>
        </w:rPr>
        <w:t>3.1.2.</w:t>
      </w:r>
      <w:r w:rsidR="00F7471E">
        <w:rPr>
          <w:rFonts w:ascii="Arial" w:hAnsi="Arial" w:cs="Arial"/>
          <w:color w:val="auto"/>
          <w:sz w:val="24"/>
          <w:szCs w:val="24"/>
        </w:rPr>
        <w:t>1</w:t>
      </w:r>
      <w:r w:rsidR="007F35B9">
        <w:rPr>
          <w:rFonts w:ascii="Arial" w:hAnsi="Arial" w:cs="Arial"/>
          <w:color w:val="auto"/>
          <w:sz w:val="24"/>
          <w:szCs w:val="24"/>
        </w:rPr>
        <w:t xml:space="preserve"> </w:t>
      </w:r>
      <w:r>
        <w:rPr>
          <w:rFonts w:ascii="Arial" w:hAnsi="Arial" w:cs="Arial"/>
          <w:color w:val="auto"/>
          <w:sz w:val="24"/>
          <w:szCs w:val="24"/>
        </w:rPr>
        <w:t>Contact Information</w:t>
      </w:r>
      <w:bookmarkEnd w:id="11"/>
      <w:bookmarkEnd w:id="12"/>
    </w:p>
    <w:p w14:paraId="15C7A26F" w14:textId="77777777" w:rsidR="00402310" w:rsidRDefault="00402310" w:rsidP="00402310">
      <w:pPr>
        <w:autoSpaceDE w:val="0"/>
        <w:autoSpaceDN w:val="0"/>
        <w:adjustRightInd w:val="0"/>
        <w:jc w:val="both"/>
        <w:rPr>
          <w:rFonts w:ascii="Arial" w:hAnsi="Arial" w:cs="Arial"/>
          <w:sz w:val="20"/>
          <w:szCs w:val="22"/>
        </w:rPr>
      </w:pPr>
    </w:p>
    <w:p w14:paraId="26AF40E3" w14:textId="7459F727" w:rsidR="00402310" w:rsidRPr="00B079AA" w:rsidRDefault="00402310" w:rsidP="00402310">
      <w:pPr>
        <w:autoSpaceDE w:val="0"/>
        <w:autoSpaceDN w:val="0"/>
        <w:adjustRightInd w:val="0"/>
        <w:jc w:val="both"/>
        <w:rPr>
          <w:rFonts w:ascii="Arial" w:eastAsiaTheme="minorHAnsi" w:hAnsi="Arial" w:cs="Arial"/>
          <w:sz w:val="20"/>
          <w:szCs w:val="22"/>
          <w:lang w:val="en-CA"/>
        </w:rPr>
      </w:pPr>
      <w:r w:rsidRPr="00B079AA">
        <w:rPr>
          <w:rFonts w:ascii="Arial" w:eastAsiaTheme="minorHAnsi" w:hAnsi="Arial" w:cs="Arial"/>
          <w:sz w:val="20"/>
          <w:szCs w:val="22"/>
          <w:lang w:val="en-CA"/>
        </w:rPr>
        <w:t xml:space="preserve">The following is the contact information for </w:t>
      </w:r>
      <w:r w:rsidR="006D6541">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Pr="00B079AA">
        <w:rPr>
          <w:rFonts w:ascii="Arial" w:eastAsiaTheme="minorHAnsi" w:hAnsi="Arial" w:cs="Arial"/>
          <w:sz w:val="20"/>
          <w:szCs w:val="22"/>
          <w:lang w:val="en-CA"/>
        </w:rPr>
        <w:t>in this proceeding:</w:t>
      </w:r>
    </w:p>
    <w:p w14:paraId="2C58FFA9" w14:textId="77777777" w:rsidR="00402310" w:rsidRPr="009007C4" w:rsidRDefault="00402310" w:rsidP="00402310">
      <w:pPr>
        <w:ind w:left="360"/>
        <w:jc w:val="both"/>
        <w:rPr>
          <w:rFonts w:ascii="Arial" w:eastAsiaTheme="minorHAnsi" w:hAnsi="Arial" w:cs="Arial"/>
          <w:sz w:val="20"/>
          <w:szCs w:val="22"/>
          <w:lang w:val="en-CA"/>
        </w:rPr>
      </w:pPr>
    </w:p>
    <w:p w14:paraId="6D54BCE6" w14:textId="77777777" w:rsidR="00402310" w:rsidRPr="009007C4" w:rsidRDefault="00402310" w:rsidP="00402310">
      <w:pPr>
        <w:ind w:left="360"/>
        <w:jc w:val="both"/>
        <w:rPr>
          <w:rFonts w:ascii="Arial" w:eastAsiaTheme="minorHAnsi" w:hAnsi="Arial" w:cs="Arial"/>
          <w:sz w:val="20"/>
          <w:szCs w:val="22"/>
          <w:lang w:val="en-CA"/>
        </w:rPr>
      </w:pPr>
      <w:r w:rsidRPr="009007C4">
        <w:rPr>
          <w:rFonts w:ascii="Arial" w:eastAsiaTheme="minorHAnsi" w:hAnsi="Arial" w:cs="Arial"/>
          <w:sz w:val="20"/>
          <w:szCs w:val="22"/>
          <w:u w:val="single"/>
          <w:lang w:val="en-CA"/>
        </w:rPr>
        <w:t>Applicant’s Address for Service:</w:t>
      </w:r>
      <w:r w:rsidRPr="009007C4">
        <w:rPr>
          <w:rFonts w:ascii="Arial" w:eastAsiaTheme="minorHAnsi" w:hAnsi="Arial" w:cs="Arial"/>
          <w:sz w:val="20"/>
          <w:szCs w:val="22"/>
          <w:lang w:val="en-CA"/>
        </w:rPr>
        <w:tab/>
        <w:t>34 Cumberland St. N.</w:t>
      </w:r>
    </w:p>
    <w:p w14:paraId="66DFC0D5" w14:textId="77777777" w:rsidR="00402310" w:rsidRPr="009007C4" w:rsidRDefault="00402310" w:rsidP="00402310">
      <w:pPr>
        <w:ind w:left="360"/>
        <w:jc w:val="both"/>
        <w:rPr>
          <w:rFonts w:ascii="Arial" w:eastAsiaTheme="minorHAnsi" w:hAnsi="Arial" w:cs="Arial"/>
          <w:sz w:val="20"/>
          <w:szCs w:val="22"/>
          <w:lang w:val="en-CA"/>
        </w:rPr>
      </w:pP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t>Thunder Bay, Ontario</w:t>
      </w:r>
    </w:p>
    <w:p w14:paraId="30F5A031" w14:textId="77777777" w:rsidR="00402310" w:rsidRPr="009007C4" w:rsidRDefault="00402310" w:rsidP="00402310">
      <w:pPr>
        <w:ind w:left="360"/>
        <w:jc w:val="both"/>
        <w:rPr>
          <w:rFonts w:ascii="Arial" w:eastAsiaTheme="minorHAnsi" w:hAnsi="Arial" w:cs="Arial"/>
          <w:sz w:val="20"/>
          <w:szCs w:val="22"/>
          <w:lang w:val="en-CA"/>
        </w:rPr>
      </w:pP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t>P7A 4L4</w:t>
      </w:r>
    </w:p>
    <w:p w14:paraId="5A0F5875" w14:textId="77777777" w:rsidR="00402310" w:rsidRPr="009007C4" w:rsidRDefault="00402310" w:rsidP="00402310">
      <w:pPr>
        <w:ind w:left="360"/>
        <w:jc w:val="both"/>
        <w:rPr>
          <w:rFonts w:ascii="Arial" w:eastAsiaTheme="minorHAnsi" w:hAnsi="Arial" w:cs="Arial"/>
          <w:sz w:val="20"/>
          <w:szCs w:val="22"/>
          <w:lang w:val="en-CA"/>
        </w:rPr>
      </w:pPr>
    </w:p>
    <w:p w14:paraId="19C1667C" w14:textId="77777777" w:rsidR="00402310" w:rsidRPr="009007C4" w:rsidRDefault="00402310" w:rsidP="00402310">
      <w:pPr>
        <w:ind w:left="360"/>
        <w:jc w:val="both"/>
        <w:rPr>
          <w:rFonts w:ascii="Arial" w:eastAsiaTheme="minorHAnsi" w:hAnsi="Arial" w:cs="Arial"/>
          <w:sz w:val="20"/>
          <w:szCs w:val="22"/>
          <w:u w:val="single"/>
          <w:lang w:val="en-CA"/>
        </w:rPr>
      </w:pPr>
      <w:r w:rsidRPr="009007C4">
        <w:rPr>
          <w:rFonts w:ascii="Arial" w:eastAsiaTheme="minorHAnsi" w:hAnsi="Arial" w:cs="Arial"/>
          <w:sz w:val="20"/>
          <w:szCs w:val="22"/>
          <w:u w:val="single"/>
          <w:lang w:val="en-CA"/>
        </w:rPr>
        <w:t>Primary Contact for Electricity Distribution Licence:</w:t>
      </w:r>
    </w:p>
    <w:p w14:paraId="2B855EB1" w14:textId="77777777" w:rsidR="00402310" w:rsidRPr="009007C4" w:rsidRDefault="00402310" w:rsidP="00402310">
      <w:pPr>
        <w:ind w:left="360"/>
        <w:jc w:val="both"/>
        <w:rPr>
          <w:rFonts w:ascii="Arial" w:eastAsiaTheme="minorHAnsi" w:hAnsi="Arial" w:cs="Arial"/>
          <w:sz w:val="20"/>
          <w:szCs w:val="22"/>
          <w:u w:val="single"/>
          <w:lang w:val="en-CA"/>
        </w:rPr>
      </w:pPr>
    </w:p>
    <w:p w14:paraId="368E7642" w14:textId="2DFEDEF0" w:rsidR="00402310" w:rsidRPr="009007C4" w:rsidRDefault="00775C92" w:rsidP="00402310">
      <w:pPr>
        <w:ind w:left="360"/>
        <w:jc w:val="both"/>
        <w:rPr>
          <w:rFonts w:ascii="Arial" w:eastAsiaTheme="minorHAnsi" w:hAnsi="Arial" w:cs="Arial"/>
          <w:sz w:val="20"/>
          <w:szCs w:val="22"/>
          <w:lang w:val="en-CA"/>
        </w:rPr>
      </w:pPr>
      <w:r>
        <w:rPr>
          <w:rFonts w:ascii="Arial" w:eastAsiaTheme="minorHAnsi" w:hAnsi="Arial" w:cs="Arial"/>
          <w:sz w:val="20"/>
          <w:szCs w:val="22"/>
          <w:lang w:val="en-CA"/>
        </w:rPr>
        <w:t>Aaron Blazina</w:t>
      </w:r>
      <w:r w:rsidR="00402310" w:rsidRPr="009007C4">
        <w:rPr>
          <w:rFonts w:ascii="Arial" w:eastAsiaTheme="minorHAnsi" w:hAnsi="Arial" w:cs="Arial"/>
          <w:sz w:val="20"/>
          <w:szCs w:val="22"/>
          <w:lang w:val="en-CA"/>
        </w:rPr>
        <w:t>, CPA, CA</w:t>
      </w:r>
      <w:r w:rsidR="00402310" w:rsidRPr="009007C4">
        <w:rPr>
          <w:rFonts w:ascii="Arial" w:eastAsiaTheme="minorHAnsi" w:hAnsi="Arial" w:cs="Arial"/>
          <w:sz w:val="20"/>
          <w:szCs w:val="22"/>
          <w:lang w:val="en-CA"/>
        </w:rPr>
        <w:tab/>
      </w:r>
      <w:r w:rsidR="00402310" w:rsidRPr="009007C4">
        <w:rPr>
          <w:rFonts w:ascii="Arial" w:eastAsiaTheme="minorHAnsi" w:hAnsi="Arial" w:cs="Arial"/>
          <w:sz w:val="20"/>
          <w:szCs w:val="22"/>
          <w:lang w:val="en-CA"/>
        </w:rPr>
        <w:tab/>
        <w:t>Phone:</w:t>
      </w:r>
      <w:r w:rsidR="00402310" w:rsidRPr="009007C4">
        <w:rPr>
          <w:rFonts w:ascii="Arial" w:eastAsiaTheme="minorHAnsi" w:hAnsi="Arial" w:cs="Arial"/>
          <w:sz w:val="20"/>
          <w:szCs w:val="22"/>
          <w:lang w:val="en-CA"/>
        </w:rPr>
        <w:tab/>
      </w:r>
      <w:r w:rsidR="00402310" w:rsidRPr="009007C4">
        <w:rPr>
          <w:rFonts w:ascii="Arial" w:eastAsiaTheme="minorHAnsi" w:hAnsi="Arial" w:cs="Arial"/>
          <w:sz w:val="20"/>
          <w:szCs w:val="22"/>
          <w:lang w:val="en-CA"/>
        </w:rPr>
        <w:tab/>
        <w:t>807-343-1118</w:t>
      </w:r>
    </w:p>
    <w:p w14:paraId="125B802C" w14:textId="77777777" w:rsidR="00402310" w:rsidRPr="009007C4" w:rsidRDefault="00402310" w:rsidP="00402310">
      <w:pPr>
        <w:ind w:left="360"/>
        <w:jc w:val="both"/>
        <w:rPr>
          <w:rFonts w:ascii="Arial" w:eastAsiaTheme="minorHAnsi" w:hAnsi="Arial" w:cs="Arial"/>
          <w:sz w:val="20"/>
          <w:szCs w:val="22"/>
          <w:lang w:val="en-CA"/>
        </w:rPr>
      </w:pPr>
      <w:r w:rsidRPr="009007C4">
        <w:rPr>
          <w:rFonts w:ascii="Arial" w:eastAsiaTheme="minorHAnsi" w:hAnsi="Arial" w:cs="Arial"/>
          <w:sz w:val="20"/>
          <w:szCs w:val="22"/>
          <w:lang w:val="en-CA"/>
        </w:rPr>
        <w:t>Vice President, Finance</w:t>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t>Fax:</w:t>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t>807-343-1009</w:t>
      </w:r>
    </w:p>
    <w:p w14:paraId="5B50C251" w14:textId="3E438997" w:rsidR="00402310" w:rsidRPr="009007C4" w:rsidRDefault="00402310" w:rsidP="00402310">
      <w:pPr>
        <w:ind w:left="360"/>
        <w:jc w:val="both"/>
        <w:rPr>
          <w:rFonts w:ascii="Arial" w:eastAsiaTheme="minorHAnsi" w:hAnsi="Arial" w:cs="Arial"/>
          <w:sz w:val="20"/>
          <w:szCs w:val="22"/>
          <w:lang w:val="en-CA"/>
        </w:rPr>
      </w:pP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t>Email:</w:t>
      </w:r>
      <w:r w:rsidRPr="009007C4">
        <w:rPr>
          <w:rFonts w:ascii="Arial" w:eastAsiaTheme="minorHAnsi" w:hAnsi="Arial" w:cs="Arial"/>
          <w:sz w:val="20"/>
          <w:szCs w:val="22"/>
          <w:lang w:val="en-CA"/>
        </w:rPr>
        <w:tab/>
      </w:r>
      <w:r w:rsidRPr="009007C4">
        <w:rPr>
          <w:rFonts w:ascii="Arial" w:eastAsiaTheme="minorHAnsi" w:hAnsi="Arial" w:cs="Arial"/>
          <w:sz w:val="20"/>
          <w:szCs w:val="22"/>
          <w:lang w:val="en-CA"/>
        </w:rPr>
        <w:tab/>
      </w:r>
      <w:hyperlink r:id="rId9" w:history="1">
        <w:r w:rsidR="00775C92" w:rsidRPr="00E35FAC">
          <w:rPr>
            <w:rStyle w:val="Hyperlink"/>
          </w:rPr>
          <w:t>ablazina</w:t>
        </w:r>
        <w:r w:rsidR="00775C92" w:rsidRPr="00E35FAC">
          <w:rPr>
            <w:rStyle w:val="Hyperlink"/>
            <w:rFonts w:ascii="Arial" w:eastAsiaTheme="minorHAnsi" w:hAnsi="Arial" w:cs="Arial"/>
            <w:sz w:val="20"/>
            <w:szCs w:val="22"/>
            <w:lang w:val="en-CA"/>
          </w:rPr>
          <w:t>@synergynorth.ca</w:t>
        </w:r>
      </w:hyperlink>
    </w:p>
    <w:p w14:paraId="443B8F51" w14:textId="77777777" w:rsidR="00402310" w:rsidRPr="009007C4" w:rsidRDefault="00402310" w:rsidP="00402310">
      <w:pPr>
        <w:ind w:left="360"/>
        <w:jc w:val="both"/>
        <w:rPr>
          <w:rFonts w:ascii="Arial" w:eastAsiaTheme="minorHAnsi" w:hAnsi="Arial" w:cs="Arial"/>
          <w:sz w:val="20"/>
          <w:szCs w:val="22"/>
          <w:lang w:val="en-CA"/>
        </w:rPr>
      </w:pPr>
    </w:p>
    <w:p w14:paraId="3BF5F3DD" w14:textId="44C98078" w:rsidR="00402310" w:rsidRPr="009007C4" w:rsidRDefault="00402310" w:rsidP="00402310">
      <w:pPr>
        <w:ind w:left="360"/>
        <w:jc w:val="both"/>
        <w:rPr>
          <w:rFonts w:ascii="Arial" w:eastAsiaTheme="minorHAnsi" w:hAnsi="Arial" w:cs="Arial"/>
          <w:sz w:val="20"/>
          <w:szCs w:val="22"/>
          <w:u w:val="single"/>
          <w:lang w:val="en-CA"/>
        </w:rPr>
      </w:pPr>
      <w:r w:rsidRPr="009007C4">
        <w:rPr>
          <w:rFonts w:ascii="Arial" w:eastAsiaTheme="minorHAnsi" w:hAnsi="Arial" w:cs="Arial"/>
          <w:sz w:val="20"/>
          <w:szCs w:val="22"/>
          <w:u w:val="single"/>
          <w:lang w:val="en-CA"/>
        </w:rPr>
        <w:t>Primary Contact</w:t>
      </w:r>
      <w:r w:rsidR="00661172">
        <w:rPr>
          <w:rFonts w:ascii="Arial" w:eastAsiaTheme="minorHAnsi" w:hAnsi="Arial" w:cs="Arial"/>
          <w:sz w:val="20"/>
          <w:szCs w:val="22"/>
          <w:u w:val="single"/>
          <w:lang w:val="en-CA"/>
        </w:rPr>
        <w:t>s</w:t>
      </w:r>
      <w:r w:rsidRPr="009007C4">
        <w:rPr>
          <w:rFonts w:ascii="Arial" w:eastAsiaTheme="minorHAnsi" w:hAnsi="Arial" w:cs="Arial"/>
          <w:sz w:val="20"/>
          <w:szCs w:val="22"/>
          <w:u w:val="single"/>
          <w:lang w:val="en-CA"/>
        </w:rPr>
        <w:t xml:space="preserve"> for the Application:</w:t>
      </w:r>
    </w:p>
    <w:p w14:paraId="40404104" w14:textId="15C81E20" w:rsidR="002D6092" w:rsidRPr="009007C4" w:rsidRDefault="002D6092" w:rsidP="00402310">
      <w:pPr>
        <w:jc w:val="both"/>
        <w:rPr>
          <w:rFonts w:ascii="Arial" w:hAnsi="Arial" w:cs="Arial"/>
          <w:b/>
          <w:caps/>
          <w:sz w:val="20"/>
          <w:szCs w:val="22"/>
        </w:rPr>
      </w:pPr>
    </w:p>
    <w:p w14:paraId="7ECBA5C3" w14:textId="4E42A7DA" w:rsidR="002D6092" w:rsidRPr="009007C4" w:rsidRDefault="002D6092" w:rsidP="002D6092">
      <w:pPr>
        <w:ind w:left="360"/>
        <w:jc w:val="both"/>
        <w:rPr>
          <w:rFonts w:ascii="Arial" w:eastAsiaTheme="minorHAnsi" w:hAnsi="Arial" w:cs="Arial"/>
          <w:sz w:val="20"/>
          <w:szCs w:val="22"/>
          <w:lang w:val="en-CA"/>
        </w:rPr>
      </w:pPr>
      <w:r>
        <w:rPr>
          <w:rFonts w:ascii="Arial" w:eastAsiaTheme="minorHAnsi" w:hAnsi="Arial" w:cs="Arial"/>
          <w:sz w:val="20"/>
          <w:szCs w:val="22"/>
          <w:lang w:val="en-CA"/>
        </w:rPr>
        <w:t xml:space="preserve">Janice Robertson, CPA, CA           </w:t>
      </w:r>
      <w:r>
        <w:rPr>
          <w:rFonts w:ascii="Arial" w:eastAsiaTheme="minorHAnsi" w:hAnsi="Arial" w:cs="Arial"/>
          <w:sz w:val="20"/>
          <w:szCs w:val="22"/>
          <w:lang w:val="en-CA"/>
        </w:rPr>
        <w:tab/>
        <w:t>Phone:</w:t>
      </w:r>
      <w:r>
        <w:rPr>
          <w:rFonts w:ascii="Arial" w:eastAsiaTheme="minorHAnsi" w:hAnsi="Arial" w:cs="Arial"/>
          <w:sz w:val="20"/>
          <w:szCs w:val="22"/>
          <w:lang w:val="en-CA"/>
        </w:rPr>
        <w:tab/>
      </w:r>
      <w:r>
        <w:rPr>
          <w:rFonts w:ascii="Arial" w:eastAsiaTheme="minorHAnsi" w:hAnsi="Arial" w:cs="Arial"/>
          <w:sz w:val="20"/>
          <w:szCs w:val="22"/>
          <w:lang w:val="en-CA"/>
        </w:rPr>
        <w:tab/>
        <w:t>807-467-</w:t>
      </w:r>
      <w:r w:rsidR="00775C92">
        <w:rPr>
          <w:rFonts w:ascii="Arial" w:eastAsiaTheme="minorHAnsi" w:hAnsi="Arial" w:cs="Arial"/>
          <w:sz w:val="20"/>
          <w:szCs w:val="22"/>
          <w:lang w:val="en-CA"/>
        </w:rPr>
        <w:t>8</w:t>
      </w:r>
      <w:r>
        <w:rPr>
          <w:rFonts w:ascii="Arial" w:eastAsiaTheme="minorHAnsi" w:hAnsi="Arial" w:cs="Arial"/>
          <w:sz w:val="20"/>
          <w:szCs w:val="22"/>
          <w:lang w:val="en-CA"/>
        </w:rPr>
        <w:t>014</w:t>
      </w:r>
    </w:p>
    <w:p w14:paraId="65A313F0" w14:textId="2D01B93C" w:rsidR="002D6092" w:rsidRDefault="002D6092" w:rsidP="002D6092">
      <w:pPr>
        <w:ind w:left="360"/>
        <w:jc w:val="both"/>
        <w:rPr>
          <w:rFonts w:ascii="Arial" w:eastAsiaTheme="minorHAnsi" w:hAnsi="Arial" w:cs="Arial"/>
          <w:sz w:val="20"/>
          <w:szCs w:val="22"/>
          <w:lang w:val="en-CA"/>
        </w:rPr>
      </w:pPr>
      <w:r>
        <w:rPr>
          <w:rFonts w:ascii="Arial" w:eastAsiaTheme="minorHAnsi" w:hAnsi="Arial" w:cs="Arial"/>
          <w:sz w:val="20"/>
          <w:szCs w:val="22"/>
          <w:lang w:val="en-CA"/>
        </w:rPr>
        <w:t>Manager</w:t>
      </w:r>
      <w:r w:rsidRPr="009007C4">
        <w:rPr>
          <w:rFonts w:ascii="Arial" w:eastAsiaTheme="minorHAnsi" w:hAnsi="Arial" w:cs="Arial"/>
          <w:sz w:val="20"/>
          <w:szCs w:val="22"/>
          <w:lang w:val="en-CA"/>
        </w:rPr>
        <w:t xml:space="preserve">, </w:t>
      </w:r>
      <w:r w:rsidR="00744E63">
        <w:rPr>
          <w:rFonts w:ascii="Arial" w:eastAsiaTheme="minorHAnsi" w:hAnsi="Arial" w:cs="Arial"/>
          <w:sz w:val="20"/>
          <w:szCs w:val="22"/>
          <w:lang w:val="en-CA"/>
        </w:rPr>
        <w:t>Regulatory &amp; F</w:t>
      </w:r>
      <w:r>
        <w:rPr>
          <w:rFonts w:ascii="Arial" w:eastAsiaTheme="minorHAnsi" w:hAnsi="Arial" w:cs="Arial"/>
          <w:sz w:val="20"/>
          <w:szCs w:val="22"/>
          <w:lang w:val="en-CA"/>
        </w:rPr>
        <w:t xml:space="preserve">inancial </w:t>
      </w:r>
      <w:r>
        <w:rPr>
          <w:rFonts w:ascii="Arial" w:eastAsiaTheme="minorHAnsi" w:hAnsi="Arial" w:cs="Arial"/>
          <w:sz w:val="20"/>
          <w:szCs w:val="22"/>
          <w:lang w:val="en-CA"/>
        </w:rPr>
        <w:tab/>
        <w:t>Fax:</w:t>
      </w:r>
      <w:r>
        <w:rPr>
          <w:rFonts w:ascii="Arial" w:eastAsiaTheme="minorHAnsi" w:hAnsi="Arial" w:cs="Arial"/>
          <w:sz w:val="20"/>
          <w:szCs w:val="22"/>
          <w:lang w:val="en-CA"/>
        </w:rPr>
        <w:tab/>
      </w:r>
      <w:r>
        <w:rPr>
          <w:rFonts w:ascii="Arial" w:eastAsiaTheme="minorHAnsi" w:hAnsi="Arial" w:cs="Arial"/>
          <w:sz w:val="20"/>
          <w:szCs w:val="22"/>
          <w:lang w:val="en-CA"/>
        </w:rPr>
        <w:tab/>
        <w:t>807-343-1009</w:t>
      </w:r>
    </w:p>
    <w:p w14:paraId="3C40BFD2" w14:textId="7C889D7C" w:rsidR="002D6092" w:rsidRPr="009007C4" w:rsidRDefault="00744E63" w:rsidP="002D6092">
      <w:pPr>
        <w:ind w:firstLine="360"/>
        <w:jc w:val="both"/>
        <w:rPr>
          <w:rFonts w:ascii="Arial" w:eastAsiaTheme="minorHAnsi" w:hAnsi="Arial" w:cs="Arial"/>
          <w:sz w:val="20"/>
          <w:szCs w:val="22"/>
          <w:lang w:val="en-CA"/>
        </w:rPr>
      </w:pPr>
      <w:r>
        <w:rPr>
          <w:rFonts w:ascii="Arial" w:eastAsiaTheme="minorHAnsi" w:hAnsi="Arial" w:cs="Arial"/>
          <w:sz w:val="20"/>
          <w:szCs w:val="22"/>
          <w:lang w:val="en-CA"/>
        </w:rPr>
        <w:t>Assurance</w:t>
      </w:r>
      <w:r w:rsidR="004C61EA">
        <w:rPr>
          <w:rFonts w:ascii="Arial" w:eastAsiaTheme="minorHAnsi" w:hAnsi="Arial" w:cs="Arial"/>
          <w:sz w:val="20"/>
          <w:szCs w:val="22"/>
          <w:lang w:val="en-CA"/>
        </w:rPr>
        <w:t xml:space="preserve">, Kenora </w:t>
      </w:r>
      <w:r w:rsidR="002D6092" w:rsidRPr="009007C4">
        <w:rPr>
          <w:rFonts w:ascii="Arial" w:eastAsiaTheme="minorHAnsi" w:hAnsi="Arial" w:cs="Arial"/>
          <w:sz w:val="20"/>
          <w:szCs w:val="22"/>
          <w:lang w:val="en-CA"/>
        </w:rPr>
        <w:tab/>
      </w:r>
      <w:r>
        <w:rPr>
          <w:rFonts w:ascii="Arial" w:eastAsiaTheme="minorHAnsi" w:hAnsi="Arial" w:cs="Arial"/>
          <w:sz w:val="20"/>
          <w:szCs w:val="22"/>
          <w:lang w:val="en-CA"/>
        </w:rPr>
        <w:tab/>
      </w:r>
      <w:r w:rsidR="002D6092" w:rsidRPr="009007C4">
        <w:rPr>
          <w:rFonts w:ascii="Arial" w:eastAsiaTheme="minorHAnsi" w:hAnsi="Arial" w:cs="Arial"/>
          <w:sz w:val="20"/>
          <w:szCs w:val="22"/>
          <w:lang w:val="en-CA"/>
        </w:rPr>
        <w:tab/>
        <w:t>Email:</w:t>
      </w:r>
      <w:r w:rsidR="002D6092" w:rsidRPr="009007C4">
        <w:rPr>
          <w:rFonts w:ascii="Arial" w:eastAsiaTheme="minorHAnsi" w:hAnsi="Arial" w:cs="Arial"/>
          <w:sz w:val="20"/>
          <w:szCs w:val="22"/>
          <w:lang w:val="en-CA"/>
        </w:rPr>
        <w:tab/>
      </w:r>
      <w:r w:rsidR="002D6092" w:rsidRPr="009007C4">
        <w:rPr>
          <w:rFonts w:ascii="Arial" w:eastAsiaTheme="minorHAnsi" w:hAnsi="Arial" w:cs="Arial"/>
          <w:sz w:val="20"/>
          <w:szCs w:val="22"/>
          <w:lang w:val="en-CA"/>
        </w:rPr>
        <w:tab/>
      </w:r>
      <w:hyperlink r:id="rId10" w:history="1">
        <w:r w:rsidR="002D6092" w:rsidRPr="00504373">
          <w:rPr>
            <w:rStyle w:val="Hyperlink"/>
            <w:rFonts w:ascii="Arial" w:eastAsiaTheme="minorHAnsi" w:hAnsi="Arial" w:cs="Arial"/>
            <w:sz w:val="20"/>
            <w:szCs w:val="22"/>
            <w:lang w:val="en-CA"/>
          </w:rPr>
          <w:t xml:space="preserve">jrobertson@synergynorth.ca </w:t>
        </w:r>
      </w:hyperlink>
    </w:p>
    <w:p w14:paraId="1B0BA8C4" w14:textId="77777777" w:rsidR="002D6092" w:rsidRDefault="002D6092" w:rsidP="00402310">
      <w:pPr>
        <w:pStyle w:val="Heading2"/>
        <w:rPr>
          <w:rFonts w:ascii="Arial" w:hAnsi="Arial" w:cs="Arial"/>
          <w:color w:val="auto"/>
          <w:sz w:val="24"/>
          <w:szCs w:val="24"/>
        </w:rPr>
      </w:pPr>
      <w:bookmarkStart w:id="13" w:name="_Toc497556725"/>
    </w:p>
    <w:p w14:paraId="29563A00" w14:textId="77777777" w:rsidR="00402310" w:rsidRPr="00E25A89" w:rsidRDefault="00402310" w:rsidP="00402310">
      <w:pPr>
        <w:pStyle w:val="Heading2"/>
        <w:rPr>
          <w:rFonts w:ascii="Arial" w:hAnsi="Arial" w:cs="Arial"/>
          <w:color w:val="auto"/>
          <w:sz w:val="24"/>
          <w:szCs w:val="24"/>
        </w:rPr>
      </w:pPr>
      <w:bookmarkStart w:id="14" w:name="_Toc127886108"/>
      <w:r>
        <w:rPr>
          <w:rFonts w:ascii="Arial" w:hAnsi="Arial" w:cs="Arial"/>
          <w:color w:val="auto"/>
          <w:sz w:val="24"/>
          <w:szCs w:val="24"/>
        </w:rPr>
        <w:t>3.1.2.</w:t>
      </w:r>
      <w:r w:rsidR="00F7471E">
        <w:rPr>
          <w:rFonts w:ascii="Arial" w:hAnsi="Arial" w:cs="Arial"/>
          <w:color w:val="auto"/>
          <w:sz w:val="24"/>
          <w:szCs w:val="24"/>
        </w:rPr>
        <w:t>2</w:t>
      </w:r>
      <w:r>
        <w:rPr>
          <w:rFonts w:ascii="Arial" w:hAnsi="Arial" w:cs="Arial"/>
          <w:color w:val="auto"/>
          <w:sz w:val="24"/>
          <w:szCs w:val="24"/>
        </w:rPr>
        <w:t xml:space="preserve"> / 3.1.2.</w:t>
      </w:r>
      <w:r w:rsidR="00F7471E">
        <w:rPr>
          <w:rFonts w:ascii="Arial" w:hAnsi="Arial" w:cs="Arial"/>
          <w:color w:val="auto"/>
          <w:sz w:val="24"/>
          <w:szCs w:val="24"/>
        </w:rPr>
        <w:t>3</w:t>
      </w:r>
      <w:r>
        <w:rPr>
          <w:rFonts w:ascii="Arial" w:hAnsi="Arial" w:cs="Arial"/>
          <w:color w:val="auto"/>
          <w:sz w:val="24"/>
          <w:szCs w:val="24"/>
        </w:rPr>
        <w:t xml:space="preserve"> List of </w:t>
      </w:r>
      <w:r w:rsidRPr="00E25A89">
        <w:rPr>
          <w:rFonts w:ascii="Arial" w:hAnsi="Arial" w:cs="Arial"/>
          <w:color w:val="auto"/>
          <w:sz w:val="24"/>
          <w:szCs w:val="24"/>
        </w:rPr>
        <w:t>Attachments</w:t>
      </w:r>
      <w:bookmarkEnd w:id="13"/>
      <w:bookmarkEnd w:id="14"/>
      <w:r w:rsidRPr="00E25A89">
        <w:rPr>
          <w:rFonts w:ascii="Arial" w:hAnsi="Arial" w:cs="Arial"/>
          <w:color w:val="auto"/>
          <w:sz w:val="24"/>
          <w:szCs w:val="24"/>
        </w:rPr>
        <w:t xml:space="preserve"> </w:t>
      </w:r>
    </w:p>
    <w:p w14:paraId="6BFBE0D2" w14:textId="77777777" w:rsidR="00402310" w:rsidRPr="009007C4" w:rsidRDefault="00402310" w:rsidP="00402310">
      <w:pPr>
        <w:autoSpaceDE w:val="0"/>
        <w:autoSpaceDN w:val="0"/>
        <w:adjustRightInd w:val="0"/>
        <w:jc w:val="both"/>
        <w:rPr>
          <w:rFonts w:ascii="Arial" w:hAnsi="Arial" w:cs="Arial"/>
          <w:sz w:val="20"/>
        </w:rPr>
      </w:pPr>
    </w:p>
    <w:p w14:paraId="38ECDBCA" w14:textId="6AF5D935" w:rsidR="00402310" w:rsidRDefault="00402310" w:rsidP="001B4A0A">
      <w:pPr>
        <w:spacing w:line="360" w:lineRule="auto"/>
        <w:jc w:val="both"/>
        <w:rPr>
          <w:rFonts w:ascii="Arial" w:hAnsi="Arial" w:cs="Arial"/>
          <w:sz w:val="20"/>
          <w:szCs w:val="22"/>
        </w:rPr>
      </w:pPr>
      <w:r w:rsidRPr="009007C4">
        <w:rPr>
          <w:rFonts w:ascii="Arial" w:hAnsi="Arial" w:cs="Arial"/>
          <w:sz w:val="20"/>
          <w:szCs w:val="22"/>
        </w:rPr>
        <w:t>The f</w:t>
      </w:r>
      <w:r w:rsidR="0073239B">
        <w:rPr>
          <w:rFonts w:ascii="Arial" w:hAnsi="Arial" w:cs="Arial"/>
          <w:sz w:val="20"/>
          <w:szCs w:val="22"/>
        </w:rPr>
        <w:t xml:space="preserve">inal page of this document </w:t>
      </w:r>
      <w:r w:rsidRPr="009007C4">
        <w:rPr>
          <w:rFonts w:ascii="Arial" w:hAnsi="Arial" w:cs="Arial"/>
          <w:sz w:val="20"/>
          <w:szCs w:val="22"/>
        </w:rPr>
        <w:t>list</w:t>
      </w:r>
      <w:r w:rsidR="0073239B">
        <w:rPr>
          <w:rFonts w:ascii="Arial" w:hAnsi="Arial" w:cs="Arial"/>
          <w:sz w:val="20"/>
          <w:szCs w:val="22"/>
        </w:rPr>
        <w:t>s</w:t>
      </w:r>
      <w:r w:rsidRPr="009007C4">
        <w:rPr>
          <w:rFonts w:ascii="Arial" w:hAnsi="Arial" w:cs="Arial"/>
          <w:sz w:val="20"/>
          <w:szCs w:val="22"/>
        </w:rPr>
        <w:t xml:space="preserve"> </w:t>
      </w:r>
      <w:r w:rsidR="0073239B">
        <w:rPr>
          <w:rFonts w:ascii="Arial" w:hAnsi="Arial" w:cs="Arial"/>
          <w:sz w:val="20"/>
          <w:szCs w:val="22"/>
        </w:rPr>
        <w:t xml:space="preserve">the </w:t>
      </w:r>
      <w:r w:rsidR="00FF2298">
        <w:rPr>
          <w:rFonts w:ascii="Arial" w:hAnsi="Arial" w:cs="Arial"/>
          <w:sz w:val="20"/>
          <w:szCs w:val="22"/>
        </w:rPr>
        <w:t>electronic files which have been uploaded along with t</w:t>
      </w:r>
      <w:r w:rsidRPr="009007C4">
        <w:rPr>
          <w:rFonts w:ascii="Arial" w:hAnsi="Arial" w:cs="Arial"/>
          <w:sz w:val="20"/>
          <w:szCs w:val="22"/>
        </w:rPr>
        <w:t xml:space="preserve">his </w:t>
      </w:r>
      <w:r w:rsidR="00130329" w:rsidRPr="009007C4">
        <w:rPr>
          <w:rFonts w:ascii="Arial" w:hAnsi="Arial" w:cs="Arial"/>
          <w:sz w:val="20"/>
          <w:szCs w:val="22"/>
        </w:rPr>
        <w:t>application</w:t>
      </w:r>
      <w:r w:rsidR="00130329">
        <w:rPr>
          <w:rFonts w:ascii="Arial" w:hAnsi="Arial" w:cs="Arial"/>
          <w:sz w:val="20"/>
          <w:szCs w:val="22"/>
        </w:rPr>
        <w:t>.</w:t>
      </w:r>
    </w:p>
    <w:p w14:paraId="5410CB30" w14:textId="77777777" w:rsidR="00402310" w:rsidRDefault="00402310" w:rsidP="004344DB">
      <w:pPr>
        <w:pStyle w:val="Heading2"/>
        <w:jc w:val="both"/>
        <w:rPr>
          <w:rFonts w:ascii="Arial" w:hAnsi="Arial" w:cs="Arial"/>
          <w:color w:val="auto"/>
          <w:sz w:val="24"/>
          <w:szCs w:val="24"/>
        </w:rPr>
      </w:pPr>
      <w:bookmarkStart w:id="15" w:name="_Toc497556726"/>
      <w:bookmarkStart w:id="16" w:name="_Toc127886109"/>
      <w:r>
        <w:rPr>
          <w:rFonts w:ascii="Arial" w:hAnsi="Arial" w:cs="Arial"/>
          <w:color w:val="auto"/>
          <w:sz w:val="24"/>
          <w:szCs w:val="24"/>
        </w:rPr>
        <w:t>3.1.2.</w:t>
      </w:r>
      <w:r w:rsidR="00F7471E">
        <w:rPr>
          <w:rFonts w:ascii="Arial" w:hAnsi="Arial" w:cs="Arial"/>
          <w:color w:val="auto"/>
          <w:sz w:val="24"/>
          <w:szCs w:val="24"/>
        </w:rPr>
        <w:t>4</w:t>
      </w:r>
      <w:r>
        <w:rPr>
          <w:rFonts w:ascii="Arial" w:hAnsi="Arial" w:cs="Arial"/>
          <w:color w:val="auto"/>
          <w:sz w:val="24"/>
          <w:szCs w:val="24"/>
        </w:rPr>
        <w:t xml:space="preserve"> Supporting Documentation</w:t>
      </w:r>
      <w:bookmarkEnd w:id="15"/>
      <w:bookmarkEnd w:id="16"/>
    </w:p>
    <w:p w14:paraId="234FE2B5" w14:textId="77777777" w:rsidR="00402310" w:rsidRPr="00402310" w:rsidRDefault="00402310" w:rsidP="00402310"/>
    <w:p w14:paraId="4AB8ED4E" w14:textId="0BED1C18" w:rsidR="00402310" w:rsidRPr="009007C4" w:rsidRDefault="006D6541" w:rsidP="001B4A0A">
      <w:pPr>
        <w:spacing w:line="360" w:lineRule="auto"/>
        <w:jc w:val="both"/>
        <w:rPr>
          <w:rFonts w:ascii="Arial" w:hAnsi="Arial" w:cs="Arial"/>
          <w:sz w:val="20"/>
          <w:szCs w:val="22"/>
        </w:rPr>
      </w:pPr>
      <w:r>
        <w:rPr>
          <w:rFonts w:ascii="Arial" w:hAnsi="Arial" w:cs="Arial"/>
          <w:sz w:val="20"/>
          <w:szCs w:val="22"/>
        </w:rPr>
        <w:t>SYNERGY NORTH</w:t>
      </w:r>
      <w:r w:rsidR="00D26576">
        <w:rPr>
          <w:rFonts w:ascii="Arial" w:hAnsi="Arial" w:cs="Arial"/>
          <w:sz w:val="20"/>
          <w:szCs w:val="22"/>
        </w:rPr>
        <w:t xml:space="preserve"> </w:t>
      </w:r>
      <w:r w:rsidR="00402310">
        <w:rPr>
          <w:rFonts w:ascii="Arial" w:hAnsi="Arial" w:cs="Arial"/>
          <w:sz w:val="20"/>
          <w:szCs w:val="22"/>
        </w:rPr>
        <w:t xml:space="preserve">confirms that it has provided supporting documentation where appropriate as support to the models mentioned in </w:t>
      </w:r>
      <w:r w:rsidR="00402310" w:rsidRPr="00CA57E5">
        <w:rPr>
          <w:rFonts w:ascii="Arial" w:hAnsi="Arial" w:cs="Arial"/>
          <w:sz w:val="20"/>
          <w:szCs w:val="22"/>
        </w:rPr>
        <w:t>the 3.1.2.3 List of Attachments</w:t>
      </w:r>
      <w:r w:rsidR="002208E0">
        <w:rPr>
          <w:rFonts w:ascii="Arial" w:hAnsi="Arial" w:cs="Arial"/>
          <w:sz w:val="20"/>
          <w:szCs w:val="22"/>
        </w:rPr>
        <w:t xml:space="preserve"> for both </w:t>
      </w:r>
      <w:r w:rsidR="00FA4098">
        <w:rPr>
          <w:rFonts w:ascii="Arial" w:hAnsi="Arial" w:cs="Arial"/>
          <w:sz w:val="20"/>
          <w:szCs w:val="22"/>
        </w:rPr>
        <w:t>Rate Zone</w:t>
      </w:r>
      <w:r w:rsidR="002208E0">
        <w:rPr>
          <w:rFonts w:ascii="Arial" w:hAnsi="Arial" w:cs="Arial"/>
          <w:sz w:val="20"/>
          <w:szCs w:val="22"/>
        </w:rPr>
        <w:t>s</w:t>
      </w:r>
      <w:r w:rsidR="00402310">
        <w:rPr>
          <w:rFonts w:ascii="Arial" w:hAnsi="Arial" w:cs="Arial"/>
          <w:sz w:val="20"/>
          <w:szCs w:val="22"/>
        </w:rPr>
        <w:t xml:space="preserve">.   </w:t>
      </w:r>
      <w:r>
        <w:rPr>
          <w:rFonts w:ascii="Arial" w:hAnsi="Arial" w:cs="Arial"/>
          <w:sz w:val="20"/>
          <w:szCs w:val="22"/>
        </w:rPr>
        <w:t>SYNERGY NORTH</w:t>
      </w:r>
      <w:r w:rsidR="00D26576">
        <w:rPr>
          <w:rFonts w:ascii="Arial" w:hAnsi="Arial" w:cs="Arial"/>
          <w:sz w:val="20"/>
          <w:szCs w:val="22"/>
        </w:rPr>
        <w:t xml:space="preserve"> </w:t>
      </w:r>
      <w:r w:rsidR="00402310">
        <w:rPr>
          <w:rFonts w:ascii="Arial" w:hAnsi="Arial" w:cs="Arial"/>
          <w:sz w:val="20"/>
          <w:szCs w:val="22"/>
        </w:rPr>
        <w:t xml:space="preserve">has also confirmed it has validated any </w:t>
      </w:r>
      <w:r w:rsidR="00402310" w:rsidRPr="00C6525B">
        <w:rPr>
          <w:rFonts w:ascii="Arial" w:hAnsi="Arial" w:cs="Arial"/>
          <w:sz w:val="20"/>
          <w:szCs w:val="22"/>
        </w:rPr>
        <w:t xml:space="preserve">references to the </w:t>
      </w:r>
      <w:r w:rsidR="002208E0" w:rsidRPr="00C6525B">
        <w:rPr>
          <w:rFonts w:ascii="Arial" w:hAnsi="Arial" w:cs="Arial"/>
          <w:sz w:val="20"/>
          <w:szCs w:val="22"/>
        </w:rPr>
        <w:t>20</w:t>
      </w:r>
      <w:r w:rsidR="00297D51" w:rsidRPr="00C6525B">
        <w:rPr>
          <w:rFonts w:ascii="Arial" w:hAnsi="Arial" w:cs="Arial"/>
          <w:sz w:val="20"/>
          <w:szCs w:val="22"/>
        </w:rPr>
        <w:t>2</w:t>
      </w:r>
      <w:r w:rsidR="00C6525B">
        <w:rPr>
          <w:rFonts w:ascii="Arial" w:hAnsi="Arial" w:cs="Arial"/>
          <w:sz w:val="20"/>
          <w:szCs w:val="22"/>
        </w:rPr>
        <w:t>1</w:t>
      </w:r>
      <w:r w:rsidR="00221F51">
        <w:rPr>
          <w:rFonts w:ascii="Arial" w:hAnsi="Arial" w:cs="Arial"/>
          <w:sz w:val="20"/>
          <w:szCs w:val="22"/>
        </w:rPr>
        <w:t xml:space="preserve"> </w:t>
      </w:r>
      <w:r w:rsidR="001053B8">
        <w:rPr>
          <w:rFonts w:ascii="Arial" w:hAnsi="Arial" w:cs="Arial"/>
          <w:sz w:val="20"/>
          <w:szCs w:val="22"/>
        </w:rPr>
        <w:t>year</w:t>
      </w:r>
      <w:r w:rsidR="00221F51">
        <w:rPr>
          <w:rFonts w:ascii="Arial" w:hAnsi="Arial" w:cs="Arial"/>
          <w:sz w:val="20"/>
          <w:szCs w:val="22"/>
        </w:rPr>
        <w:t>-</w:t>
      </w:r>
      <w:r w:rsidR="001053B8">
        <w:rPr>
          <w:rFonts w:ascii="Arial" w:hAnsi="Arial" w:cs="Arial"/>
          <w:sz w:val="20"/>
          <w:szCs w:val="22"/>
        </w:rPr>
        <w:t>end</w:t>
      </w:r>
      <w:r w:rsidR="00402310">
        <w:rPr>
          <w:rFonts w:ascii="Arial" w:hAnsi="Arial" w:cs="Arial"/>
          <w:sz w:val="20"/>
          <w:szCs w:val="22"/>
        </w:rPr>
        <w:t xml:space="preserve"> RRR report</w:t>
      </w:r>
      <w:r w:rsidR="00CB6654">
        <w:rPr>
          <w:rFonts w:ascii="Arial" w:hAnsi="Arial" w:cs="Arial"/>
          <w:sz w:val="20"/>
          <w:szCs w:val="22"/>
        </w:rPr>
        <w:t>ing record keeping requirements</w:t>
      </w:r>
      <w:r w:rsidR="00402310">
        <w:rPr>
          <w:rFonts w:ascii="Arial" w:hAnsi="Arial" w:cs="Arial"/>
          <w:sz w:val="20"/>
          <w:szCs w:val="22"/>
        </w:rPr>
        <w:t xml:space="preserve"> and other data referred to in the application</w:t>
      </w:r>
      <w:r w:rsidR="002208E0">
        <w:rPr>
          <w:rFonts w:ascii="Arial" w:hAnsi="Arial" w:cs="Arial"/>
          <w:sz w:val="20"/>
          <w:szCs w:val="22"/>
        </w:rPr>
        <w:t xml:space="preserve"> for both </w:t>
      </w:r>
      <w:r w:rsidR="00FA4098">
        <w:rPr>
          <w:rFonts w:ascii="Arial" w:hAnsi="Arial" w:cs="Arial"/>
          <w:sz w:val="20"/>
          <w:szCs w:val="22"/>
        </w:rPr>
        <w:t>Rate Zone</w:t>
      </w:r>
      <w:r w:rsidR="002208E0">
        <w:rPr>
          <w:rFonts w:ascii="Arial" w:hAnsi="Arial" w:cs="Arial"/>
          <w:sz w:val="20"/>
          <w:szCs w:val="22"/>
        </w:rPr>
        <w:t>s.</w:t>
      </w:r>
      <w:r w:rsidR="00402310">
        <w:rPr>
          <w:rFonts w:ascii="Arial" w:hAnsi="Arial" w:cs="Arial"/>
          <w:sz w:val="20"/>
          <w:szCs w:val="22"/>
        </w:rPr>
        <w:t xml:space="preserve"> </w:t>
      </w:r>
    </w:p>
    <w:p w14:paraId="3374A1FA" w14:textId="77777777" w:rsidR="004344DB" w:rsidRPr="00E25A89" w:rsidRDefault="00402310" w:rsidP="004344DB">
      <w:pPr>
        <w:pStyle w:val="Heading2"/>
        <w:jc w:val="both"/>
        <w:rPr>
          <w:rFonts w:ascii="Arial" w:hAnsi="Arial" w:cs="Arial"/>
          <w:color w:val="auto"/>
          <w:sz w:val="24"/>
          <w:szCs w:val="24"/>
        </w:rPr>
      </w:pPr>
      <w:bookmarkStart w:id="17" w:name="_Toc497556727"/>
      <w:bookmarkStart w:id="18" w:name="_Toc127886110"/>
      <w:r>
        <w:rPr>
          <w:rFonts w:ascii="Arial" w:hAnsi="Arial" w:cs="Arial"/>
          <w:color w:val="auto"/>
          <w:sz w:val="24"/>
          <w:szCs w:val="24"/>
        </w:rPr>
        <w:t>3.1.2.</w:t>
      </w:r>
      <w:r w:rsidR="00F7471E">
        <w:rPr>
          <w:rFonts w:ascii="Arial" w:hAnsi="Arial" w:cs="Arial"/>
          <w:color w:val="auto"/>
          <w:sz w:val="24"/>
          <w:szCs w:val="24"/>
        </w:rPr>
        <w:t>5</w:t>
      </w:r>
      <w:r>
        <w:rPr>
          <w:rFonts w:ascii="Arial" w:hAnsi="Arial" w:cs="Arial"/>
          <w:color w:val="auto"/>
          <w:sz w:val="24"/>
          <w:szCs w:val="24"/>
        </w:rPr>
        <w:t xml:space="preserve"> Notice of Application</w:t>
      </w:r>
      <w:bookmarkEnd w:id="17"/>
      <w:bookmarkEnd w:id="18"/>
      <w:r>
        <w:rPr>
          <w:rFonts w:ascii="Arial" w:hAnsi="Arial" w:cs="Arial"/>
          <w:color w:val="auto"/>
          <w:sz w:val="24"/>
          <w:szCs w:val="24"/>
        </w:rPr>
        <w:t xml:space="preserve"> </w:t>
      </w:r>
    </w:p>
    <w:p w14:paraId="1C76C917" w14:textId="77777777" w:rsidR="004344DB" w:rsidRPr="009007C4" w:rsidRDefault="004344DB" w:rsidP="001B4A0A">
      <w:pPr>
        <w:autoSpaceDE w:val="0"/>
        <w:autoSpaceDN w:val="0"/>
        <w:adjustRightInd w:val="0"/>
        <w:spacing w:line="360" w:lineRule="auto"/>
        <w:jc w:val="both"/>
        <w:rPr>
          <w:rFonts w:ascii="Arial" w:eastAsiaTheme="minorHAnsi" w:hAnsi="Arial" w:cs="Arial"/>
          <w:sz w:val="20"/>
          <w:szCs w:val="22"/>
          <w:lang w:val="en-CA"/>
        </w:rPr>
      </w:pPr>
    </w:p>
    <w:p w14:paraId="140D45F5" w14:textId="2997CDEA" w:rsidR="004344DB" w:rsidRPr="009007C4"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A70767">
        <w:rPr>
          <w:rFonts w:ascii="Arial" w:eastAsiaTheme="minorHAnsi" w:hAnsi="Arial" w:cs="Arial"/>
          <w:sz w:val="20"/>
          <w:szCs w:val="22"/>
          <w:lang w:val="en-CA"/>
        </w:rPr>
        <w:t xml:space="preserve">recognizes that all of its </w:t>
      </w:r>
      <w:r w:rsidR="00F7471E" w:rsidRPr="00C350CB">
        <w:rPr>
          <w:rFonts w:ascii="Arial" w:eastAsiaTheme="minorHAnsi" w:hAnsi="Arial" w:cs="Arial"/>
          <w:sz w:val="20"/>
          <w:szCs w:val="22"/>
          <w:lang w:val="en-CA"/>
        </w:rPr>
        <w:t xml:space="preserve">customer classes </w:t>
      </w:r>
      <w:r w:rsidR="00A70767">
        <w:rPr>
          <w:rFonts w:ascii="Arial" w:eastAsiaTheme="minorHAnsi" w:hAnsi="Arial" w:cs="Arial"/>
          <w:sz w:val="20"/>
          <w:szCs w:val="22"/>
          <w:lang w:val="en-CA"/>
        </w:rPr>
        <w:t>will be affected by the outcome of this</w:t>
      </w:r>
      <w:r w:rsidR="002B5BEA">
        <w:rPr>
          <w:rFonts w:ascii="Arial" w:eastAsiaTheme="minorHAnsi" w:hAnsi="Arial" w:cs="Arial"/>
          <w:sz w:val="20"/>
          <w:szCs w:val="22"/>
          <w:lang w:val="en-CA"/>
        </w:rPr>
        <w:t xml:space="preserve"> </w:t>
      </w:r>
      <w:r w:rsidR="007016D5">
        <w:rPr>
          <w:rFonts w:ascii="Arial" w:eastAsiaTheme="minorHAnsi" w:hAnsi="Arial" w:cs="Arial"/>
          <w:sz w:val="20"/>
          <w:szCs w:val="22"/>
          <w:lang w:val="en-CA"/>
        </w:rPr>
        <w:t>“</w:t>
      </w:r>
      <w:r w:rsidR="002B5BEA">
        <w:rPr>
          <w:rFonts w:ascii="Arial" w:eastAsiaTheme="minorHAnsi" w:hAnsi="Arial" w:cs="Arial"/>
          <w:sz w:val="20"/>
          <w:szCs w:val="22"/>
          <w:lang w:val="en-CA"/>
        </w:rPr>
        <w:t>Phase 2</w:t>
      </w:r>
      <w:r w:rsidR="007016D5">
        <w:rPr>
          <w:rFonts w:ascii="Arial" w:eastAsiaTheme="minorHAnsi" w:hAnsi="Arial" w:cs="Arial"/>
          <w:sz w:val="20"/>
          <w:szCs w:val="22"/>
          <w:lang w:val="en-CA"/>
        </w:rPr>
        <w:t>”</w:t>
      </w:r>
      <w:r w:rsidR="002B5BEA">
        <w:rPr>
          <w:rFonts w:ascii="Arial" w:eastAsiaTheme="minorHAnsi" w:hAnsi="Arial" w:cs="Arial"/>
          <w:sz w:val="20"/>
          <w:szCs w:val="22"/>
          <w:lang w:val="en-CA"/>
        </w:rPr>
        <w:t xml:space="preserve"> of the</w:t>
      </w:r>
      <w:r w:rsidR="00A70767">
        <w:rPr>
          <w:rFonts w:ascii="Arial" w:eastAsiaTheme="minorHAnsi" w:hAnsi="Arial" w:cs="Arial"/>
          <w:sz w:val="20"/>
          <w:szCs w:val="22"/>
          <w:lang w:val="en-CA"/>
        </w:rPr>
        <w:t xml:space="preserve"> rate application. </w:t>
      </w:r>
    </w:p>
    <w:p w14:paraId="5C41903C" w14:textId="73940255" w:rsidR="00402310" w:rsidRPr="00E25A89" w:rsidRDefault="00402310" w:rsidP="00402310">
      <w:pPr>
        <w:pStyle w:val="Heading2"/>
        <w:jc w:val="both"/>
        <w:rPr>
          <w:rFonts w:ascii="Arial" w:hAnsi="Arial" w:cs="Arial"/>
          <w:color w:val="auto"/>
          <w:sz w:val="24"/>
          <w:szCs w:val="24"/>
        </w:rPr>
      </w:pPr>
      <w:bookmarkStart w:id="19" w:name="_Toc497556728"/>
      <w:bookmarkStart w:id="20" w:name="_Toc127886111"/>
      <w:r>
        <w:rPr>
          <w:rFonts w:ascii="Arial" w:hAnsi="Arial" w:cs="Arial"/>
          <w:color w:val="auto"/>
          <w:sz w:val="24"/>
          <w:szCs w:val="24"/>
        </w:rPr>
        <w:lastRenderedPageBreak/>
        <w:t>3.1.2.</w:t>
      </w:r>
      <w:r w:rsidR="00F7471E">
        <w:rPr>
          <w:rFonts w:ascii="Arial" w:hAnsi="Arial" w:cs="Arial"/>
          <w:color w:val="auto"/>
          <w:sz w:val="24"/>
          <w:szCs w:val="24"/>
        </w:rPr>
        <w:t>6</w:t>
      </w:r>
      <w:r>
        <w:rPr>
          <w:rFonts w:ascii="Arial" w:hAnsi="Arial" w:cs="Arial"/>
          <w:color w:val="auto"/>
          <w:sz w:val="24"/>
          <w:szCs w:val="24"/>
        </w:rPr>
        <w:t xml:space="preserve"> Confirmation of Application</w:t>
      </w:r>
      <w:bookmarkEnd w:id="19"/>
      <w:bookmarkEnd w:id="20"/>
      <w:r>
        <w:rPr>
          <w:rFonts w:ascii="Arial" w:hAnsi="Arial" w:cs="Arial"/>
          <w:color w:val="auto"/>
          <w:sz w:val="24"/>
          <w:szCs w:val="24"/>
        </w:rPr>
        <w:t xml:space="preserve"> </w:t>
      </w:r>
    </w:p>
    <w:p w14:paraId="5A472B88" w14:textId="77777777" w:rsidR="004344DB" w:rsidRDefault="004344DB" w:rsidP="004344DB">
      <w:pPr>
        <w:autoSpaceDE w:val="0"/>
        <w:autoSpaceDN w:val="0"/>
        <w:adjustRightInd w:val="0"/>
        <w:jc w:val="both"/>
        <w:rPr>
          <w:rFonts w:ascii="Arial" w:eastAsiaTheme="minorHAnsi" w:hAnsi="Arial" w:cs="Arial"/>
          <w:sz w:val="20"/>
          <w:szCs w:val="22"/>
          <w:lang w:val="en-CA"/>
        </w:rPr>
      </w:pPr>
    </w:p>
    <w:p w14:paraId="775DE329" w14:textId="19F2A277" w:rsidR="004344DB"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402310">
        <w:rPr>
          <w:rFonts w:ascii="Arial" w:eastAsiaTheme="minorHAnsi" w:hAnsi="Arial" w:cs="Arial"/>
          <w:sz w:val="20"/>
          <w:szCs w:val="22"/>
          <w:lang w:val="en-CA"/>
        </w:rPr>
        <w:t xml:space="preserve">will </w:t>
      </w:r>
      <w:r w:rsidR="004D2889">
        <w:rPr>
          <w:rFonts w:ascii="Arial" w:eastAsiaTheme="minorHAnsi" w:hAnsi="Arial" w:cs="Arial"/>
          <w:sz w:val="20"/>
          <w:szCs w:val="22"/>
          <w:lang w:val="en-CA"/>
        </w:rPr>
        <w:t>provide its customers</w:t>
      </w:r>
      <w:r w:rsidR="00B07594">
        <w:rPr>
          <w:rFonts w:ascii="Arial" w:eastAsiaTheme="minorHAnsi" w:hAnsi="Arial" w:cs="Arial"/>
          <w:sz w:val="20"/>
          <w:szCs w:val="22"/>
          <w:lang w:val="en-CA"/>
        </w:rPr>
        <w:t xml:space="preserve"> a link to the website where </w:t>
      </w:r>
      <w:r w:rsidR="00150CBC">
        <w:rPr>
          <w:rFonts w:ascii="Arial" w:eastAsiaTheme="minorHAnsi" w:hAnsi="Arial" w:cs="Arial"/>
          <w:sz w:val="20"/>
          <w:szCs w:val="22"/>
          <w:lang w:val="en-CA"/>
        </w:rPr>
        <w:t>this</w:t>
      </w:r>
      <w:r w:rsidR="00B07594">
        <w:rPr>
          <w:rFonts w:ascii="Arial" w:eastAsiaTheme="minorHAnsi" w:hAnsi="Arial" w:cs="Arial"/>
          <w:sz w:val="20"/>
          <w:szCs w:val="22"/>
          <w:lang w:val="en-CA"/>
        </w:rPr>
        <w:t xml:space="preserve"> </w:t>
      </w:r>
      <w:r w:rsidR="00402310">
        <w:rPr>
          <w:rFonts w:ascii="Arial" w:eastAsiaTheme="minorHAnsi" w:hAnsi="Arial" w:cs="Arial"/>
          <w:sz w:val="20"/>
          <w:szCs w:val="22"/>
          <w:lang w:val="en-CA"/>
        </w:rPr>
        <w:t xml:space="preserve">application </w:t>
      </w:r>
      <w:r w:rsidR="00B07594">
        <w:rPr>
          <w:rFonts w:ascii="Arial" w:eastAsiaTheme="minorHAnsi" w:hAnsi="Arial" w:cs="Arial"/>
          <w:sz w:val="20"/>
          <w:szCs w:val="22"/>
          <w:lang w:val="en-CA"/>
        </w:rPr>
        <w:t xml:space="preserve">will be posted. </w:t>
      </w:r>
      <w:r w:rsidR="005A05CE">
        <w:rPr>
          <w:rFonts w:ascii="Arial" w:eastAsiaTheme="minorHAnsi" w:hAnsi="Arial" w:cs="Arial"/>
          <w:sz w:val="20"/>
          <w:szCs w:val="22"/>
          <w:lang w:val="en-CA"/>
        </w:rPr>
        <w:t>If</w:t>
      </w:r>
      <w:r w:rsidR="00B07594">
        <w:rPr>
          <w:rFonts w:ascii="Arial" w:eastAsiaTheme="minorHAnsi" w:hAnsi="Arial" w:cs="Arial"/>
          <w:sz w:val="20"/>
          <w:szCs w:val="22"/>
          <w:lang w:val="en-CA"/>
        </w:rPr>
        <w:t xml:space="preserve"> a customer requires a physical copy to accommodate special needs</w:t>
      </w:r>
      <w:r w:rsidR="004A286F">
        <w:rPr>
          <w:rFonts w:ascii="Arial" w:eastAsiaTheme="minorHAnsi" w:hAnsi="Arial" w:cs="Arial"/>
          <w:sz w:val="20"/>
          <w:szCs w:val="22"/>
          <w:lang w:val="en-CA"/>
        </w:rPr>
        <w:t xml:space="preserve"> or by specific request</w:t>
      </w:r>
      <w:r w:rsidR="00B07594">
        <w:rPr>
          <w:rFonts w:ascii="Arial" w:eastAsiaTheme="minorHAnsi" w:hAnsi="Arial" w:cs="Arial"/>
          <w:sz w:val="20"/>
          <w:szCs w:val="22"/>
          <w:lang w:val="en-CA"/>
        </w:rPr>
        <w:t xml:space="preserve"> </w:t>
      </w:r>
      <w:r>
        <w:rPr>
          <w:rFonts w:ascii="Arial" w:eastAsiaTheme="minorHAnsi" w:hAnsi="Arial" w:cs="Arial"/>
          <w:sz w:val="20"/>
          <w:szCs w:val="22"/>
          <w:lang w:val="en-CA"/>
        </w:rPr>
        <w:t>SYNERGY NORTH</w:t>
      </w:r>
      <w:r w:rsidR="00B07594">
        <w:rPr>
          <w:rFonts w:ascii="Arial" w:eastAsiaTheme="minorHAnsi" w:hAnsi="Arial" w:cs="Arial"/>
          <w:sz w:val="20"/>
          <w:szCs w:val="22"/>
          <w:lang w:val="en-CA"/>
        </w:rPr>
        <w:t xml:space="preserve"> will  provide </w:t>
      </w:r>
      <w:r w:rsidR="005A05CE">
        <w:rPr>
          <w:rFonts w:ascii="Arial" w:eastAsiaTheme="minorHAnsi" w:hAnsi="Arial" w:cs="Arial"/>
          <w:sz w:val="20"/>
          <w:szCs w:val="22"/>
          <w:lang w:val="en-CA"/>
        </w:rPr>
        <w:t>one</w:t>
      </w:r>
      <w:r w:rsidR="00B07594">
        <w:rPr>
          <w:rFonts w:ascii="Arial" w:eastAsiaTheme="minorHAnsi" w:hAnsi="Arial" w:cs="Arial"/>
          <w:sz w:val="20"/>
          <w:szCs w:val="22"/>
          <w:lang w:val="en-CA"/>
        </w:rPr>
        <w:t xml:space="preserve"> </w:t>
      </w:r>
      <w:r w:rsidR="00402310">
        <w:rPr>
          <w:rFonts w:ascii="Arial" w:eastAsiaTheme="minorHAnsi" w:hAnsi="Arial" w:cs="Arial"/>
          <w:sz w:val="20"/>
          <w:szCs w:val="22"/>
          <w:lang w:val="en-CA"/>
        </w:rPr>
        <w:t xml:space="preserve">at its customer service desk, as well as publish any updates </w:t>
      </w:r>
      <w:r w:rsidR="004D2889">
        <w:rPr>
          <w:rFonts w:ascii="Arial" w:eastAsiaTheme="minorHAnsi" w:hAnsi="Arial" w:cs="Arial"/>
          <w:sz w:val="20"/>
          <w:szCs w:val="22"/>
          <w:lang w:val="en-CA"/>
        </w:rPr>
        <w:t>directly to its public website for purposes of viewing the app</w:t>
      </w:r>
      <w:r w:rsidR="00CB6654">
        <w:rPr>
          <w:rFonts w:ascii="Arial" w:eastAsiaTheme="minorHAnsi" w:hAnsi="Arial" w:cs="Arial"/>
          <w:sz w:val="20"/>
          <w:szCs w:val="22"/>
          <w:lang w:val="en-CA"/>
        </w:rPr>
        <w:t>lication, previous applications</w:t>
      </w:r>
      <w:r w:rsidR="004D2889">
        <w:rPr>
          <w:rFonts w:ascii="Arial" w:eastAsiaTheme="minorHAnsi" w:hAnsi="Arial" w:cs="Arial"/>
          <w:sz w:val="20"/>
          <w:szCs w:val="22"/>
          <w:lang w:val="en-CA"/>
        </w:rPr>
        <w:t xml:space="preserve"> and related documents. </w:t>
      </w:r>
    </w:p>
    <w:p w14:paraId="67E0852B" w14:textId="77777777" w:rsidR="00402310" w:rsidRDefault="00402310" w:rsidP="001B4A0A">
      <w:pPr>
        <w:autoSpaceDE w:val="0"/>
        <w:autoSpaceDN w:val="0"/>
        <w:adjustRightInd w:val="0"/>
        <w:spacing w:line="360" w:lineRule="auto"/>
        <w:jc w:val="both"/>
        <w:rPr>
          <w:rFonts w:ascii="Arial" w:eastAsiaTheme="minorHAnsi" w:hAnsi="Arial" w:cs="Arial"/>
          <w:sz w:val="20"/>
          <w:szCs w:val="22"/>
          <w:lang w:val="en-CA"/>
        </w:rPr>
      </w:pPr>
    </w:p>
    <w:p w14:paraId="292D5BEF" w14:textId="2CD4EE1C" w:rsidR="004D2889" w:rsidRDefault="006D6541" w:rsidP="00710734">
      <w:pPr>
        <w:autoSpaceDE w:val="0"/>
        <w:autoSpaceDN w:val="0"/>
        <w:adjustRightInd w:val="0"/>
        <w:spacing w:line="360" w:lineRule="auto"/>
        <w:jc w:val="both"/>
      </w:pPr>
      <w:r>
        <w:rPr>
          <w:rFonts w:ascii="Arial" w:eastAsiaTheme="minorHAnsi" w:hAnsi="Arial" w:cs="Arial"/>
          <w:sz w:val="20"/>
          <w:szCs w:val="22"/>
          <w:lang w:val="en-CA"/>
        </w:rPr>
        <w:t>SYNERGY NORTH</w:t>
      </w:r>
      <w:r w:rsidR="009004FD">
        <w:rPr>
          <w:rFonts w:ascii="Arial" w:eastAsiaTheme="minorHAnsi" w:hAnsi="Arial" w:cs="Arial"/>
          <w:sz w:val="20"/>
          <w:szCs w:val="22"/>
          <w:lang w:val="en-CA"/>
        </w:rPr>
        <w:t>’s</w:t>
      </w:r>
      <w:r w:rsidR="004D2889">
        <w:rPr>
          <w:rFonts w:ascii="Arial" w:eastAsiaTheme="minorHAnsi" w:hAnsi="Arial" w:cs="Arial"/>
          <w:sz w:val="20"/>
          <w:szCs w:val="22"/>
          <w:lang w:val="en-CA"/>
        </w:rPr>
        <w:t xml:space="preserve"> Public Website Address: </w:t>
      </w:r>
      <w:hyperlink r:id="rId11" w:history="1">
        <w:r w:rsidR="00463B71">
          <w:rPr>
            <w:rStyle w:val="Hyperlink"/>
            <w:rFonts w:eastAsiaTheme="majorEastAsia"/>
          </w:rPr>
          <w:t>https://synergynorth.ca/</w:t>
        </w:r>
      </w:hyperlink>
    </w:p>
    <w:p w14:paraId="4C2CAF66" w14:textId="77777777" w:rsidR="00463B71" w:rsidRDefault="00463B71" w:rsidP="004344DB">
      <w:pPr>
        <w:autoSpaceDE w:val="0"/>
        <w:autoSpaceDN w:val="0"/>
        <w:adjustRightInd w:val="0"/>
        <w:jc w:val="both"/>
        <w:rPr>
          <w:rFonts w:ascii="Arial" w:eastAsiaTheme="minorHAnsi" w:hAnsi="Arial" w:cs="Arial"/>
          <w:sz w:val="20"/>
          <w:szCs w:val="22"/>
          <w:lang w:val="en-CA"/>
        </w:rPr>
      </w:pPr>
    </w:p>
    <w:p w14:paraId="6951B225" w14:textId="77777777" w:rsidR="004D2889" w:rsidRPr="00C350CB" w:rsidRDefault="004D2889" w:rsidP="001B4A0A">
      <w:pPr>
        <w:pStyle w:val="Heading2"/>
        <w:spacing w:line="360" w:lineRule="auto"/>
        <w:rPr>
          <w:rFonts w:ascii="Arial" w:hAnsi="Arial" w:cs="Arial"/>
          <w:color w:val="auto"/>
          <w:sz w:val="20"/>
        </w:rPr>
      </w:pPr>
      <w:bookmarkStart w:id="21" w:name="_Toc497556729"/>
      <w:bookmarkStart w:id="22" w:name="_Toc127886112"/>
      <w:r w:rsidRPr="00C350CB">
        <w:rPr>
          <w:rFonts w:ascii="Arial" w:hAnsi="Arial" w:cs="Arial"/>
          <w:color w:val="auto"/>
          <w:sz w:val="24"/>
          <w:szCs w:val="24"/>
        </w:rPr>
        <w:t>3.1.2.</w:t>
      </w:r>
      <w:r w:rsidR="00F7471E" w:rsidRPr="00C350CB">
        <w:rPr>
          <w:rFonts w:ascii="Arial" w:hAnsi="Arial" w:cs="Arial"/>
          <w:color w:val="auto"/>
          <w:sz w:val="24"/>
          <w:szCs w:val="24"/>
        </w:rPr>
        <w:t>7</w:t>
      </w:r>
      <w:r w:rsidR="00D96381" w:rsidRPr="00C350CB">
        <w:rPr>
          <w:rFonts w:ascii="Arial" w:hAnsi="Arial" w:cs="Arial"/>
          <w:color w:val="auto"/>
          <w:sz w:val="24"/>
          <w:szCs w:val="24"/>
        </w:rPr>
        <w:t xml:space="preserve"> </w:t>
      </w:r>
      <w:r w:rsidRPr="00C350CB">
        <w:rPr>
          <w:rFonts w:ascii="Arial" w:hAnsi="Arial" w:cs="Arial"/>
          <w:color w:val="auto"/>
          <w:sz w:val="24"/>
          <w:szCs w:val="24"/>
        </w:rPr>
        <w:t>Certification of Evidence</w:t>
      </w:r>
      <w:bookmarkEnd w:id="21"/>
      <w:bookmarkEnd w:id="22"/>
      <w:r w:rsidRPr="00C350CB">
        <w:rPr>
          <w:rFonts w:ascii="Arial" w:hAnsi="Arial" w:cs="Arial"/>
          <w:color w:val="auto"/>
          <w:sz w:val="20"/>
        </w:rPr>
        <w:br/>
      </w:r>
    </w:p>
    <w:p w14:paraId="7E2C2A53" w14:textId="7FA5F30E" w:rsidR="004D2889" w:rsidRPr="009007C4" w:rsidRDefault="006D6541" w:rsidP="001B4A0A">
      <w:pPr>
        <w:autoSpaceDE w:val="0"/>
        <w:autoSpaceDN w:val="0"/>
        <w:adjustRightInd w:val="0"/>
        <w:spacing w:line="360" w:lineRule="auto"/>
        <w:jc w:val="both"/>
        <w:rPr>
          <w:rFonts w:ascii="Arial" w:hAnsi="Arial" w:cs="Arial"/>
          <w:sz w:val="20"/>
          <w:szCs w:val="22"/>
        </w:rPr>
      </w:pPr>
      <w:r>
        <w:rPr>
          <w:rFonts w:ascii="Arial" w:eastAsiaTheme="minorHAnsi" w:hAnsi="Arial" w:cs="Arial"/>
          <w:sz w:val="20"/>
          <w:szCs w:val="22"/>
          <w:lang w:val="en-CA"/>
        </w:rPr>
        <w:t>SYNERGY NORTH</w:t>
      </w:r>
      <w:r w:rsidR="009004FD">
        <w:rPr>
          <w:rFonts w:ascii="Arial" w:eastAsiaTheme="minorHAnsi" w:hAnsi="Arial" w:cs="Arial"/>
          <w:sz w:val="20"/>
          <w:szCs w:val="22"/>
          <w:lang w:val="en-CA"/>
        </w:rPr>
        <w:t>’s</w:t>
      </w:r>
      <w:r w:rsidR="004D2889" w:rsidRPr="00C350CB">
        <w:rPr>
          <w:rFonts w:ascii="Arial" w:eastAsiaTheme="minorHAnsi" w:hAnsi="Arial" w:cs="Arial"/>
          <w:sz w:val="20"/>
          <w:szCs w:val="22"/>
          <w:lang w:val="en-CA"/>
        </w:rPr>
        <w:t xml:space="preserve"> Vice President of Finance certifies tha</w:t>
      </w:r>
      <w:r w:rsidR="00463B71">
        <w:rPr>
          <w:rFonts w:ascii="Arial" w:eastAsiaTheme="minorHAnsi" w:hAnsi="Arial" w:cs="Arial"/>
          <w:sz w:val="20"/>
          <w:szCs w:val="22"/>
          <w:lang w:val="en-CA"/>
        </w:rPr>
        <w:t xml:space="preserve">t the evidence filed in </w:t>
      </w:r>
      <w:r w:rsidR="002B5BEA">
        <w:rPr>
          <w:rFonts w:ascii="Arial" w:eastAsiaTheme="minorHAnsi" w:hAnsi="Arial" w:cs="Arial"/>
          <w:sz w:val="20"/>
          <w:szCs w:val="22"/>
          <w:lang w:val="en-CA"/>
        </w:rPr>
        <w:t xml:space="preserve">this </w:t>
      </w:r>
      <w:r w:rsidR="009004FD">
        <w:rPr>
          <w:rFonts w:ascii="Arial" w:eastAsiaTheme="minorHAnsi" w:hAnsi="Arial" w:cs="Arial"/>
          <w:sz w:val="20"/>
          <w:szCs w:val="22"/>
          <w:lang w:val="en-CA"/>
        </w:rPr>
        <w:t xml:space="preserve">bifurcation </w:t>
      </w:r>
      <w:r w:rsidR="002B5BEA">
        <w:rPr>
          <w:rFonts w:ascii="Arial" w:eastAsiaTheme="minorHAnsi" w:hAnsi="Arial" w:cs="Arial"/>
          <w:sz w:val="20"/>
          <w:szCs w:val="22"/>
          <w:lang w:val="en-CA"/>
        </w:rPr>
        <w:t xml:space="preserve">of the </w:t>
      </w:r>
      <w:r w:rsidR="00C0612A">
        <w:rPr>
          <w:rFonts w:ascii="Arial" w:eastAsiaTheme="minorHAnsi" w:hAnsi="Arial" w:cs="Arial"/>
          <w:sz w:val="20"/>
          <w:szCs w:val="22"/>
          <w:lang w:val="en-CA"/>
        </w:rPr>
        <w:t>2023</w:t>
      </w:r>
      <w:r w:rsidR="00275590">
        <w:rPr>
          <w:rFonts w:ascii="Arial" w:eastAsiaTheme="minorHAnsi" w:hAnsi="Arial" w:cs="Arial"/>
          <w:sz w:val="20"/>
          <w:szCs w:val="22"/>
          <w:lang w:val="en-CA"/>
        </w:rPr>
        <w:t xml:space="preserve"> </w:t>
      </w:r>
      <w:r w:rsidR="004D2889" w:rsidRPr="00C350CB">
        <w:rPr>
          <w:rFonts w:ascii="Arial" w:eastAsiaTheme="minorHAnsi" w:hAnsi="Arial" w:cs="Arial"/>
          <w:sz w:val="20"/>
          <w:szCs w:val="22"/>
          <w:lang w:val="en-CA"/>
        </w:rPr>
        <w:t>IRM Rate Application</w:t>
      </w:r>
      <w:r w:rsidR="009004FD">
        <w:rPr>
          <w:rFonts w:ascii="Arial" w:eastAsiaTheme="minorHAnsi" w:hAnsi="Arial" w:cs="Arial"/>
          <w:sz w:val="20"/>
          <w:szCs w:val="22"/>
          <w:lang w:val="en-CA"/>
        </w:rPr>
        <w:t>,</w:t>
      </w:r>
      <w:r w:rsidR="00463B71">
        <w:rPr>
          <w:rFonts w:ascii="Arial" w:eastAsiaTheme="minorHAnsi" w:hAnsi="Arial" w:cs="Arial"/>
          <w:sz w:val="20"/>
          <w:szCs w:val="22"/>
          <w:lang w:val="en-CA"/>
        </w:rPr>
        <w:t xml:space="preserve"> </w:t>
      </w:r>
      <w:r w:rsidR="00CA1190">
        <w:rPr>
          <w:rFonts w:ascii="Arial" w:eastAsiaTheme="minorHAnsi" w:hAnsi="Arial" w:cs="Arial"/>
          <w:sz w:val="20"/>
          <w:szCs w:val="22"/>
          <w:lang w:val="en-CA"/>
        </w:rPr>
        <w:t>is</w:t>
      </w:r>
      <w:r w:rsidR="004D2889" w:rsidRPr="00C350CB">
        <w:rPr>
          <w:rFonts w:ascii="Arial" w:eastAsiaTheme="minorHAnsi" w:hAnsi="Arial" w:cs="Arial"/>
          <w:sz w:val="20"/>
          <w:szCs w:val="22"/>
          <w:lang w:val="en-CA"/>
        </w:rPr>
        <w:t xml:space="preserve"> accurate to the best of h</w:t>
      </w:r>
      <w:r w:rsidR="00297D51">
        <w:rPr>
          <w:rFonts w:ascii="Arial" w:eastAsiaTheme="minorHAnsi" w:hAnsi="Arial" w:cs="Arial"/>
          <w:sz w:val="20"/>
          <w:szCs w:val="22"/>
          <w:lang w:val="en-CA"/>
        </w:rPr>
        <w:t>is</w:t>
      </w:r>
      <w:r w:rsidR="004D2889" w:rsidRPr="00C350CB">
        <w:rPr>
          <w:rFonts w:ascii="Arial" w:eastAsiaTheme="minorHAnsi" w:hAnsi="Arial" w:cs="Arial"/>
          <w:sz w:val="20"/>
          <w:szCs w:val="22"/>
          <w:lang w:val="en-CA"/>
        </w:rPr>
        <w:t xml:space="preserve"> knowledge </w:t>
      </w:r>
      <w:r w:rsidR="00463B71">
        <w:rPr>
          <w:rFonts w:ascii="Arial" w:eastAsiaTheme="minorHAnsi" w:hAnsi="Arial" w:cs="Arial"/>
          <w:sz w:val="20"/>
          <w:szCs w:val="22"/>
          <w:lang w:val="en-CA"/>
        </w:rPr>
        <w:t xml:space="preserve">for both </w:t>
      </w:r>
      <w:r w:rsidR="0023621F">
        <w:rPr>
          <w:rFonts w:ascii="Arial" w:eastAsiaTheme="minorHAnsi" w:hAnsi="Arial" w:cs="Arial"/>
          <w:sz w:val="20"/>
          <w:szCs w:val="22"/>
          <w:lang w:val="en-CA"/>
        </w:rPr>
        <w:t xml:space="preserve">Thunder Bay and Kenora </w:t>
      </w:r>
      <w:r w:rsidR="00FA4098">
        <w:rPr>
          <w:rFonts w:ascii="Arial" w:eastAsiaTheme="minorHAnsi" w:hAnsi="Arial" w:cs="Arial"/>
          <w:sz w:val="20"/>
          <w:szCs w:val="22"/>
          <w:lang w:val="en-CA"/>
        </w:rPr>
        <w:t>Rate Zone</w:t>
      </w:r>
      <w:r w:rsidR="00463B71">
        <w:rPr>
          <w:rFonts w:ascii="Arial" w:eastAsiaTheme="minorHAnsi" w:hAnsi="Arial" w:cs="Arial"/>
          <w:sz w:val="20"/>
          <w:szCs w:val="22"/>
          <w:lang w:val="en-CA"/>
        </w:rPr>
        <w:t>s</w:t>
      </w:r>
      <w:r w:rsidR="004D2889" w:rsidRPr="00C350CB">
        <w:rPr>
          <w:rFonts w:ascii="Arial" w:eastAsiaTheme="minorHAnsi" w:hAnsi="Arial" w:cs="Arial"/>
          <w:sz w:val="20"/>
          <w:szCs w:val="22"/>
          <w:lang w:val="en-CA"/>
        </w:rPr>
        <w:t>.</w:t>
      </w:r>
    </w:p>
    <w:p w14:paraId="7F60C023" w14:textId="77777777" w:rsidR="00402310" w:rsidRDefault="00402310" w:rsidP="004344DB">
      <w:pPr>
        <w:autoSpaceDE w:val="0"/>
        <w:autoSpaceDN w:val="0"/>
        <w:adjustRightInd w:val="0"/>
        <w:jc w:val="both"/>
        <w:rPr>
          <w:rFonts w:ascii="Arial" w:eastAsiaTheme="minorHAnsi" w:hAnsi="Arial" w:cs="Arial"/>
          <w:sz w:val="20"/>
          <w:szCs w:val="22"/>
          <w:lang w:val="en-CA"/>
        </w:rPr>
      </w:pPr>
    </w:p>
    <w:p w14:paraId="3DB80703" w14:textId="77777777" w:rsidR="00D96381" w:rsidRPr="00D96381" w:rsidRDefault="00D96381" w:rsidP="00D96381">
      <w:pPr>
        <w:pStyle w:val="Heading2"/>
        <w:rPr>
          <w:rFonts w:ascii="Arial" w:hAnsi="Arial" w:cs="Arial"/>
          <w:color w:val="auto"/>
          <w:sz w:val="24"/>
          <w:szCs w:val="24"/>
        </w:rPr>
      </w:pPr>
      <w:bookmarkStart w:id="23" w:name="_Toc497556730"/>
      <w:bookmarkStart w:id="24" w:name="_Toc127886113"/>
      <w:r>
        <w:rPr>
          <w:rFonts w:ascii="Arial" w:hAnsi="Arial" w:cs="Arial"/>
          <w:color w:val="auto"/>
          <w:sz w:val="24"/>
          <w:szCs w:val="24"/>
        </w:rPr>
        <w:t>3.1.3 Applications and Electronic Models</w:t>
      </w:r>
      <w:bookmarkEnd w:id="23"/>
      <w:bookmarkEnd w:id="24"/>
    </w:p>
    <w:p w14:paraId="57F1C126" w14:textId="77777777" w:rsidR="00D96381" w:rsidRPr="00D96381" w:rsidRDefault="00D96381" w:rsidP="00D96381">
      <w:pPr>
        <w:pStyle w:val="Heading2"/>
        <w:rPr>
          <w:rFonts w:ascii="Arial" w:hAnsi="Arial" w:cs="Arial"/>
          <w:color w:val="auto"/>
          <w:sz w:val="24"/>
          <w:szCs w:val="24"/>
        </w:rPr>
      </w:pPr>
    </w:p>
    <w:p w14:paraId="708BBE72" w14:textId="0C4F6A47" w:rsidR="004344DB"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sidRPr="00BA7066">
        <w:rPr>
          <w:rFonts w:ascii="Arial" w:eastAsiaTheme="minorHAnsi" w:hAnsi="Arial" w:cs="Arial"/>
          <w:sz w:val="20"/>
          <w:szCs w:val="22"/>
          <w:lang w:val="en-CA"/>
        </w:rPr>
        <w:t xml:space="preserve"> </w:t>
      </w:r>
      <w:r w:rsidR="00275590" w:rsidRPr="00BA7066">
        <w:rPr>
          <w:rFonts w:ascii="Arial" w:eastAsiaTheme="minorHAnsi" w:hAnsi="Arial" w:cs="Arial"/>
          <w:sz w:val="20"/>
          <w:szCs w:val="22"/>
          <w:lang w:val="en-CA"/>
        </w:rPr>
        <w:t>has used th</w:t>
      </w:r>
      <w:r w:rsidR="00463B71" w:rsidRPr="00BA7066">
        <w:rPr>
          <w:rFonts w:ascii="Arial" w:eastAsiaTheme="minorHAnsi" w:hAnsi="Arial" w:cs="Arial"/>
          <w:sz w:val="20"/>
          <w:szCs w:val="22"/>
          <w:lang w:val="en-CA"/>
        </w:rPr>
        <w:t xml:space="preserve">e Board’s </w:t>
      </w:r>
      <w:r w:rsidR="00C0612A" w:rsidRPr="00BA7066">
        <w:rPr>
          <w:rFonts w:ascii="Arial" w:eastAsiaTheme="minorHAnsi" w:hAnsi="Arial" w:cs="Arial"/>
          <w:sz w:val="20"/>
          <w:szCs w:val="22"/>
          <w:lang w:val="en-CA"/>
        </w:rPr>
        <w:t>2023</w:t>
      </w:r>
      <w:r w:rsidR="004344DB" w:rsidRPr="00BA7066">
        <w:rPr>
          <w:rFonts w:ascii="Arial" w:eastAsiaTheme="minorHAnsi" w:hAnsi="Arial" w:cs="Arial"/>
          <w:sz w:val="20"/>
          <w:szCs w:val="22"/>
          <w:lang w:val="en-CA"/>
        </w:rPr>
        <w:t xml:space="preserve"> IRM Rate Genera</w:t>
      </w:r>
      <w:r w:rsidR="000C6D57" w:rsidRPr="00BA7066">
        <w:rPr>
          <w:rFonts w:ascii="Arial" w:eastAsiaTheme="minorHAnsi" w:hAnsi="Arial" w:cs="Arial"/>
          <w:sz w:val="20"/>
          <w:szCs w:val="22"/>
          <w:lang w:val="en-CA"/>
        </w:rPr>
        <w:t xml:space="preserve">tor </w:t>
      </w:r>
      <w:r w:rsidR="00607E4B" w:rsidRPr="00BA7066">
        <w:rPr>
          <w:rFonts w:ascii="Arial" w:eastAsiaTheme="minorHAnsi" w:hAnsi="Arial" w:cs="Arial"/>
          <w:sz w:val="20"/>
          <w:szCs w:val="22"/>
          <w:lang w:val="en-CA"/>
        </w:rPr>
        <w:t xml:space="preserve">as updated by the </w:t>
      </w:r>
      <w:r w:rsidR="00C350CB" w:rsidRPr="00BA7066">
        <w:rPr>
          <w:rFonts w:ascii="Arial" w:eastAsiaTheme="minorHAnsi" w:hAnsi="Arial" w:cs="Arial"/>
          <w:sz w:val="20"/>
          <w:szCs w:val="22"/>
          <w:lang w:val="en-CA"/>
        </w:rPr>
        <w:t>Boar</w:t>
      </w:r>
      <w:r w:rsidR="00607E4B" w:rsidRPr="00BA7066">
        <w:rPr>
          <w:rFonts w:ascii="Arial" w:eastAsiaTheme="minorHAnsi" w:hAnsi="Arial" w:cs="Arial"/>
          <w:sz w:val="20"/>
          <w:szCs w:val="22"/>
          <w:lang w:val="en-CA"/>
        </w:rPr>
        <w:t xml:space="preserve">d </w:t>
      </w:r>
      <w:r w:rsidR="005946DF" w:rsidRPr="00BA7066">
        <w:rPr>
          <w:rFonts w:ascii="Arial" w:eastAsiaTheme="minorHAnsi" w:hAnsi="Arial" w:cs="Arial"/>
          <w:sz w:val="20"/>
          <w:szCs w:val="22"/>
          <w:lang w:val="en-CA"/>
        </w:rPr>
        <w:t>June 30, 2022</w:t>
      </w:r>
      <w:r w:rsidR="00AE2C75">
        <w:rPr>
          <w:rFonts w:ascii="Arial" w:eastAsiaTheme="minorHAnsi" w:hAnsi="Arial" w:cs="Arial"/>
          <w:sz w:val="20"/>
          <w:szCs w:val="22"/>
          <w:lang w:val="en-CA"/>
        </w:rPr>
        <w:t>.</w:t>
      </w:r>
      <w:r w:rsidR="004344DB" w:rsidRPr="009007C4">
        <w:rPr>
          <w:rFonts w:ascii="Arial" w:eastAsiaTheme="minorHAnsi" w:hAnsi="Arial" w:cs="Arial"/>
          <w:sz w:val="20"/>
          <w:szCs w:val="22"/>
          <w:lang w:val="en-CA"/>
        </w:rPr>
        <w:t xml:space="preserve"> </w:t>
      </w: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7139FB">
        <w:rPr>
          <w:rFonts w:ascii="Arial" w:eastAsiaTheme="minorHAnsi" w:hAnsi="Arial" w:cs="Arial"/>
          <w:sz w:val="20"/>
          <w:szCs w:val="22"/>
          <w:lang w:val="en-CA"/>
        </w:rPr>
        <w:t xml:space="preserve">has completed the </w:t>
      </w:r>
      <w:r w:rsidR="00C0612A">
        <w:rPr>
          <w:rFonts w:ascii="Arial" w:eastAsiaTheme="minorHAnsi" w:hAnsi="Arial" w:cs="Arial"/>
          <w:sz w:val="20"/>
          <w:szCs w:val="22"/>
          <w:lang w:val="en-CA"/>
        </w:rPr>
        <w:t>2023</w:t>
      </w:r>
      <w:r w:rsidR="004344DB" w:rsidRPr="009007C4">
        <w:rPr>
          <w:rFonts w:ascii="Arial" w:eastAsiaTheme="minorHAnsi" w:hAnsi="Arial" w:cs="Arial"/>
          <w:sz w:val="20"/>
          <w:szCs w:val="22"/>
          <w:lang w:val="en-CA"/>
        </w:rPr>
        <w:t xml:space="preserve"> Rate Model</w:t>
      </w:r>
      <w:r w:rsidR="00A71CE2">
        <w:rPr>
          <w:rFonts w:ascii="Arial" w:eastAsiaTheme="minorHAnsi" w:hAnsi="Arial" w:cs="Arial"/>
          <w:sz w:val="20"/>
          <w:szCs w:val="22"/>
          <w:lang w:val="en-CA"/>
        </w:rPr>
        <w:t>s</w:t>
      </w:r>
      <w:r w:rsidR="004344DB" w:rsidRPr="009007C4">
        <w:rPr>
          <w:rFonts w:ascii="Arial" w:eastAsiaTheme="minorHAnsi" w:hAnsi="Arial" w:cs="Arial"/>
          <w:sz w:val="20"/>
          <w:szCs w:val="22"/>
          <w:lang w:val="en-CA"/>
        </w:rPr>
        <w:t xml:space="preserve"> in accordance with the Board </w:t>
      </w:r>
      <w:r w:rsidR="004344DB">
        <w:rPr>
          <w:rFonts w:ascii="Arial" w:eastAsiaTheme="minorHAnsi" w:hAnsi="Arial" w:cs="Arial"/>
          <w:sz w:val="20"/>
          <w:szCs w:val="22"/>
          <w:lang w:val="en-CA"/>
        </w:rPr>
        <w:t>s</w:t>
      </w:r>
      <w:r w:rsidR="004344DB" w:rsidRPr="009007C4">
        <w:rPr>
          <w:rFonts w:ascii="Arial" w:eastAsiaTheme="minorHAnsi" w:hAnsi="Arial" w:cs="Arial"/>
          <w:sz w:val="20"/>
          <w:szCs w:val="22"/>
          <w:lang w:val="en-CA"/>
        </w:rPr>
        <w:t xml:space="preserve">taff instructions. </w:t>
      </w: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4344DB" w:rsidRPr="009007C4">
        <w:rPr>
          <w:rFonts w:ascii="Arial" w:eastAsiaTheme="minorHAnsi" w:hAnsi="Arial" w:cs="Arial"/>
          <w:sz w:val="20"/>
          <w:szCs w:val="22"/>
          <w:lang w:val="en-CA"/>
        </w:rPr>
        <w:t>does not have any unique rate classes</w:t>
      </w:r>
      <w:r w:rsidR="007139FB">
        <w:rPr>
          <w:rFonts w:ascii="Arial" w:eastAsiaTheme="minorHAnsi" w:hAnsi="Arial" w:cs="Arial"/>
          <w:sz w:val="20"/>
          <w:szCs w:val="22"/>
          <w:lang w:val="en-CA"/>
        </w:rPr>
        <w:t xml:space="preserve"> for either </w:t>
      </w:r>
      <w:r w:rsidR="00FA4098">
        <w:rPr>
          <w:rFonts w:ascii="Arial" w:eastAsiaTheme="minorHAnsi" w:hAnsi="Arial" w:cs="Arial"/>
          <w:sz w:val="20"/>
          <w:szCs w:val="22"/>
          <w:lang w:val="en-CA"/>
        </w:rPr>
        <w:t>Rate Zone</w:t>
      </w:r>
      <w:r w:rsidR="004344DB" w:rsidRPr="009007C4">
        <w:rPr>
          <w:rFonts w:ascii="Arial" w:eastAsiaTheme="minorHAnsi" w:hAnsi="Arial" w:cs="Arial"/>
          <w:sz w:val="20"/>
          <w:szCs w:val="22"/>
          <w:lang w:val="en-CA"/>
        </w:rPr>
        <w:t>.</w:t>
      </w:r>
    </w:p>
    <w:p w14:paraId="3C160DFB" w14:textId="77777777" w:rsidR="004344DB" w:rsidRPr="009007C4" w:rsidRDefault="004344DB" w:rsidP="001B4A0A">
      <w:pPr>
        <w:autoSpaceDE w:val="0"/>
        <w:autoSpaceDN w:val="0"/>
        <w:adjustRightInd w:val="0"/>
        <w:spacing w:line="360" w:lineRule="auto"/>
        <w:jc w:val="both"/>
        <w:rPr>
          <w:rFonts w:ascii="Arial" w:eastAsiaTheme="minorHAnsi" w:hAnsi="Arial" w:cs="Arial"/>
          <w:sz w:val="20"/>
          <w:szCs w:val="22"/>
          <w:lang w:val="en-CA"/>
        </w:rPr>
      </w:pPr>
    </w:p>
    <w:p w14:paraId="096E9AAD" w14:textId="3D22359D" w:rsidR="004344DB" w:rsidRPr="009007C4" w:rsidRDefault="006D6541" w:rsidP="001B4A0A">
      <w:pPr>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4344DB" w:rsidRPr="009007C4">
        <w:rPr>
          <w:rFonts w:ascii="Arial" w:eastAsiaTheme="minorHAnsi" w:hAnsi="Arial" w:cs="Arial"/>
          <w:sz w:val="20"/>
          <w:szCs w:val="22"/>
          <w:lang w:val="en-CA"/>
        </w:rPr>
        <w:t xml:space="preserve">confirms </w:t>
      </w:r>
      <w:r w:rsidR="004344DB">
        <w:rPr>
          <w:rFonts w:ascii="Arial" w:eastAsiaTheme="minorHAnsi" w:hAnsi="Arial" w:cs="Arial"/>
          <w:sz w:val="20"/>
          <w:szCs w:val="22"/>
          <w:lang w:val="en-CA"/>
        </w:rPr>
        <w:t xml:space="preserve">the </w:t>
      </w:r>
      <w:r w:rsidR="004344DB" w:rsidRPr="009007C4">
        <w:rPr>
          <w:rFonts w:ascii="Arial" w:eastAsiaTheme="minorHAnsi" w:hAnsi="Arial" w:cs="Arial"/>
          <w:sz w:val="20"/>
          <w:szCs w:val="22"/>
          <w:lang w:val="en-CA"/>
        </w:rPr>
        <w:t>accuracy of the pre-populated billing determinates</w:t>
      </w:r>
      <w:r w:rsidR="00DC1A29" w:rsidRPr="00EB4D4D">
        <w:rPr>
          <w:rFonts w:ascii="Arial" w:eastAsiaTheme="minorHAnsi" w:hAnsi="Arial" w:cs="Arial"/>
          <w:sz w:val="20"/>
          <w:szCs w:val="22"/>
          <w:lang w:val="en-CA"/>
        </w:rPr>
        <w:t>, customer</w:t>
      </w:r>
      <w:r w:rsidR="004A286F">
        <w:rPr>
          <w:rFonts w:ascii="Arial" w:eastAsiaTheme="minorHAnsi" w:hAnsi="Arial" w:cs="Arial"/>
          <w:sz w:val="20"/>
          <w:szCs w:val="22"/>
          <w:lang w:val="en-CA"/>
        </w:rPr>
        <w:t xml:space="preserve"> counts</w:t>
      </w:r>
      <w:r w:rsidR="00DC1A29" w:rsidRPr="00EB4D4D">
        <w:rPr>
          <w:rFonts w:ascii="Arial" w:eastAsiaTheme="minorHAnsi" w:hAnsi="Arial" w:cs="Arial"/>
          <w:sz w:val="20"/>
          <w:szCs w:val="22"/>
          <w:lang w:val="en-CA"/>
        </w:rPr>
        <w:t xml:space="preserve"> fo</w:t>
      </w:r>
      <w:r w:rsidR="00CF20B6">
        <w:rPr>
          <w:rFonts w:ascii="Arial" w:eastAsiaTheme="minorHAnsi" w:hAnsi="Arial" w:cs="Arial"/>
          <w:sz w:val="20"/>
          <w:szCs w:val="22"/>
          <w:lang w:val="en-CA"/>
        </w:rPr>
        <w:t>r Residential and GS&lt;50 Classes</w:t>
      </w:r>
      <w:r w:rsidR="004344DB" w:rsidRPr="00EB4D4D">
        <w:rPr>
          <w:rFonts w:ascii="Arial" w:eastAsiaTheme="minorHAnsi" w:hAnsi="Arial" w:cs="Arial"/>
          <w:sz w:val="20"/>
          <w:szCs w:val="22"/>
          <w:lang w:val="en-CA"/>
        </w:rPr>
        <w:t xml:space="preserve"> and customer volume, as included in Tab 4</w:t>
      </w:r>
      <w:r w:rsidR="00BD1CB7">
        <w:rPr>
          <w:rFonts w:ascii="Arial" w:eastAsiaTheme="minorHAnsi" w:hAnsi="Arial" w:cs="Arial"/>
          <w:sz w:val="20"/>
          <w:szCs w:val="22"/>
          <w:lang w:val="en-CA"/>
        </w:rPr>
        <w:t>.</w:t>
      </w:r>
      <w:r w:rsidR="004344DB" w:rsidRPr="00EB4D4D">
        <w:rPr>
          <w:rFonts w:ascii="Arial" w:eastAsiaTheme="minorHAnsi" w:hAnsi="Arial" w:cs="Arial"/>
          <w:sz w:val="20"/>
          <w:szCs w:val="22"/>
          <w:lang w:val="en-CA"/>
        </w:rPr>
        <w:t xml:space="preserve"> </w:t>
      </w:r>
      <w:r w:rsidR="004D2889" w:rsidRPr="00EB4D4D">
        <w:rPr>
          <w:rFonts w:ascii="Arial" w:eastAsiaTheme="minorHAnsi" w:hAnsi="Arial" w:cs="Arial"/>
          <w:sz w:val="20"/>
          <w:szCs w:val="22"/>
          <w:lang w:val="en-CA"/>
        </w:rPr>
        <w:t xml:space="preserve">‘Billing Det. For Def Var’ </w:t>
      </w:r>
      <w:r w:rsidR="004344DB" w:rsidRPr="00EB4D4D">
        <w:rPr>
          <w:rFonts w:ascii="Arial" w:eastAsiaTheme="minorHAnsi" w:hAnsi="Arial" w:cs="Arial"/>
          <w:sz w:val="20"/>
          <w:szCs w:val="22"/>
          <w:lang w:val="en-CA"/>
        </w:rPr>
        <w:t>of the model</w:t>
      </w:r>
      <w:r w:rsidR="007139FB">
        <w:rPr>
          <w:rFonts w:ascii="Arial" w:eastAsiaTheme="minorHAnsi" w:hAnsi="Arial" w:cs="Arial"/>
          <w:sz w:val="20"/>
          <w:szCs w:val="22"/>
          <w:lang w:val="en-CA"/>
        </w:rPr>
        <w:t xml:space="preserve">s for both </w:t>
      </w:r>
      <w:r w:rsidR="00FA4098">
        <w:rPr>
          <w:rFonts w:ascii="Arial" w:eastAsiaTheme="minorHAnsi" w:hAnsi="Arial" w:cs="Arial"/>
          <w:sz w:val="20"/>
          <w:szCs w:val="22"/>
          <w:lang w:val="en-CA"/>
        </w:rPr>
        <w:t>Rate Zone</w:t>
      </w:r>
      <w:r w:rsidR="007139FB">
        <w:rPr>
          <w:rFonts w:ascii="Arial" w:eastAsiaTheme="minorHAnsi" w:hAnsi="Arial" w:cs="Arial"/>
          <w:sz w:val="20"/>
          <w:szCs w:val="22"/>
          <w:lang w:val="en-CA"/>
        </w:rPr>
        <w:t>s</w:t>
      </w:r>
      <w:r w:rsidR="004344DB" w:rsidRPr="00EB4D4D">
        <w:rPr>
          <w:rFonts w:ascii="Arial" w:eastAsiaTheme="minorHAnsi" w:hAnsi="Arial" w:cs="Arial"/>
          <w:sz w:val="20"/>
          <w:szCs w:val="22"/>
          <w:lang w:val="en-CA"/>
        </w:rPr>
        <w:t>.</w:t>
      </w:r>
      <w:r w:rsidR="004344DB">
        <w:rPr>
          <w:rFonts w:ascii="Arial" w:eastAsiaTheme="minorHAnsi" w:hAnsi="Arial" w:cs="Arial"/>
          <w:sz w:val="20"/>
          <w:szCs w:val="22"/>
          <w:lang w:val="en-CA"/>
        </w:rPr>
        <w:t xml:space="preserve"> </w:t>
      </w:r>
      <w:r w:rsidR="004344DB" w:rsidRPr="009007C4">
        <w:rPr>
          <w:rFonts w:ascii="Arial" w:eastAsiaTheme="minorHAnsi" w:hAnsi="Arial" w:cs="Arial"/>
          <w:sz w:val="20"/>
          <w:szCs w:val="22"/>
          <w:lang w:val="en-CA"/>
        </w:rPr>
        <w:t xml:space="preserve">Additionally, </w:t>
      </w: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A70B09">
        <w:rPr>
          <w:rFonts w:ascii="Arial" w:eastAsiaTheme="minorHAnsi" w:hAnsi="Arial" w:cs="Arial"/>
          <w:sz w:val="20"/>
          <w:szCs w:val="22"/>
          <w:lang w:val="en-CA"/>
        </w:rPr>
        <w:t>has completed Tab 3</w:t>
      </w:r>
      <w:r w:rsidR="00BD1CB7">
        <w:rPr>
          <w:rFonts w:ascii="Arial" w:eastAsiaTheme="minorHAnsi" w:hAnsi="Arial" w:cs="Arial"/>
          <w:sz w:val="20"/>
          <w:szCs w:val="22"/>
          <w:lang w:val="en-CA"/>
        </w:rPr>
        <w:t>.</w:t>
      </w:r>
      <w:r w:rsidR="00A70B09">
        <w:rPr>
          <w:rFonts w:ascii="Arial" w:eastAsiaTheme="minorHAnsi" w:hAnsi="Arial" w:cs="Arial"/>
          <w:sz w:val="20"/>
          <w:szCs w:val="22"/>
          <w:lang w:val="en-CA"/>
        </w:rPr>
        <w:t xml:space="preserve"> </w:t>
      </w:r>
      <w:r w:rsidR="00BD1CB7">
        <w:rPr>
          <w:rFonts w:ascii="Arial" w:eastAsiaTheme="minorHAnsi" w:hAnsi="Arial" w:cs="Arial"/>
          <w:sz w:val="20"/>
          <w:szCs w:val="22"/>
          <w:lang w:val="en-CA"/>
        </w:rPr>
        <w:t>‘</w:t>
      </w:r>
      <w:r w:rsidR="004344DB" w:rsidRPr="009007C4">
        <w:rPr>
          <w:rFonts w:ascii="Arial" w:eastAsiaTheme="minorHAnsi" w:hAnsi="Arial" w:cs="Arial"/>
          <w:sz w:val="20"/>
          <w:szCs w:val="22"/>
          <w:lang w:val="en-CA"/>
        </w:rPr>
        <w:t>Continuity Schedule</w:t>
      </w:r>
      <w:r w:rsidR="00BD1CB7">
        <w:rPr>
          <w:rFonts w:ascii="Arial" w:eastAsiaTheme="minorHAnsi" w:hAnsi="Arial" w:cs="Arial"/>
          <w:sz w:val="20"/>
          <w:szCs w:val="22"/>
          <w:lang w:val="en-CA"/>
        </w:rPr>
        <w:t>’</w:t>
      </w:r>
      <w:r w:rsidR="004344DB" w:rsidRPr="009007C4">
        <w:rPr>
          <w:rFonts w:ascii="Arial" w:eastAsiaTheme="minorHAnsi" w:hAnsi="Arial" w:cs="Arial"/>
          <w:sz w:val="20"/>
          <w:szCs w:val="22"/>
          <w:lang w:val="en-CA"/>
        </w:rPr>
        <w:t xml:space="preserve"> and c</w:t>
      </w:r>
      <w:r w:rsidR="004D2889">
        <w:rPr>
          <w:rFonts w:ascii="Arial" w:eastAsiaTheme="minorHAnsi" w:hAnsi="Arial" w:cs="Arial"/>
          <w:sz w:val="20"/>
          <w:szCs w:val="22"/>
          <w:lang w:val="en-CA"/>
        </w:rPr>
        <w:t xml:space="preserve">onfirms the entries in column </w:t>
      </w:r>
      <w:r w:rsidR="00285D72">
        <w:rPr>
          <w:rFonts w:ascii="Arial" w:eastAsiaTheme="minorHAnsi" w:hAnsi="Arial" w:cs="Arial"/>
          <w:sz w:val="20"/>
          <w:szCs w:val="22"/>
          <w:lang w:val="en-CA"/>
        </w:rPr>
        <w:t>“</w:t>
      </w:r>
      <w:r w:rsidR="007A708D">
        <w:rPr>
          <w:rFonts w:ascii="Arial" w:eastAsiaTheme="minorHAnsi" w:hAnsi="Arial" w:cs="Arial"/>
          <w:sz w:val="20"/>
          <w:szCs w:val="22"/>
          <w:lang w:val="en-CA"/>
        </w:rPr>
        <w:t>B</w:t>
      </w:r>
      <w:r w:rsidR="000142AA">
        <w:rPr>
          <w:rFonts w:ascii="Arial" w:eastAsiaTheme="minorHAnsi" w:hAnsi="Arial" w:cs="Arial"/>
          <w:sz w:val="20"/>
          <w:szCs w:val="22"/>
          <w:lang w:val="en-CA"/>
        </w:rPr>
        <w:t>V</w:t>
      </w:r>
      <w:r w:rsidR="00285D72">
        <w:rPr>
          <w:rFonts w:ascii="Arial" w:eastAsiaTheme="minorHAnsi" w:hAnsi="Arial" w:cs="Arial"/>
          <w:sz w:val="20"/>
          <w:szCs w:val="22"/>
          <w:lang w:val="en-CA"/>
        </w:rPr>
        <w:t>”</w:t>
      </w:r>
      <w:r w:rsidR="004344DB" w:rsidRPr="009007C4">
        <w:rPr>
          <w:rFonts w:ascii="Arial" w:eastAsiaTheme="minorHAnsi" w:hAnsi="Arial" w:cs="Arial"/>
          <w:sz w:val="20"/>
          <w:szCs w:val="22"/>
          <w:lang w:val="en-CA"/>
        </w:rPr>
        <w:t xml:space="preserve">, representing Group 1 </w:t>
      </w:r>
      <w:r w:rsidR="004915AC">
        <w:rPr>
          <w:rFonts w:ascii="Arial" w:eastAsiaTheme="minorHAnsi" w:hAnsi="Arial" w:cs="Arial"/>
          <w:sz w:val="20"/>
          <w:szCs w:val="22"/>
          <w:lang w:val="en-CA"/>
        </w:rPr>
        <w:t xml:space="preserve">1588 &amp; 1589 </w:t>
      </w:r>
      <w:r w:rsidR="004344DB" w:rsidRPr="009007C4">
        <w:rPr>
          <w:rFonts w:ascii="Arial" w:eastAsiaTheme="minorHAnsi" w:hAnsi="Arial" w:cs="Arial"/>
          <w:sz w:val="20"/>
          <w:szCs w:val="22"/>
          <w:lang w:val="en-CA"/>
        </w:rPr>
        <w:t>Deferral and Variance Account balances</w:t>
      </w:r>
      <w:r w:rsidR="00150CBC">
        <w:rPr>
          <w:rFonts w:ascii="Arial" w:eastAsiaTheme="minorHAnsi" w:hAnsi="Arial" w:cs="Arial"/>
          <w:sz w:val="20"/>
          <w:szCs w:val="22"/>
          <w:lang w:val="en-CA"/>
        </w:rPr>
        <w:t xml:space="preserve">, </w:t>
      </w:r>
      <w:r w:rsidR="004344DB" w:rsidRPr="009007C4">
        <w:rPr>
          <w:rFonts w:ascii="Arial" w:eastAsiaTheme="minorHAnsi" w:hAnsi="Arial" w:cs="Arial"/>
          <w:sz w:val="20"/>
          <w:szCs w:val="22"/>
          <w:lang w:val="en-CA"/>
        </w:rPr>
        <w:t>as of December 31, 20</w:t>
      </w:r>
      <w:r w:rsidR="00297D51">
        <w:rPr>
          <w:rFonts w:ascii="Arial" w:eastAsiaTheme="minorHAnsi" w:hAnsi="Arial" w:cs="Arial"/>
          <w:sz w:val="20"/>
          <w:szCs w:val="22"/>
          <w:lang w:val="en-CA"/>
        </w:rPr>
        <w:t>2</w:t>
      </w:r>
      <w:r w:rsidR="001C30FA">
        <w:rPr>
          <w:rFonts w:ascii="Arial" w:eastAsiaTheme="minorHAnsi" w:hAnsi="Arial" w:cs="Arial"/>
          <w:sz w:val="20"/>
          <w:szCs w:val="22"/>
          <w:lang w:val="en-CA"/>
        </w:rPr>
        <w:t>1</w:t>
      </w:r>
      <w:r w:rsidR="004344DB" w:rsidRPr="009007C4">
        <w:rPr>
          <w:rFonts w:ascii="Arial" w:eastAsiaTheme="minorHAnsi" w:hAnsi="Arial" w:cs="Arial"/>
          <w:sz w:val="20"/>
          <w:szCs w:val="22"/>
          <w:lang w:val="en-CA"/>
        </w:rPr>
        <w:t xml:space="preserve"> are accurate</w:t>
      </w:r>
      <w:r w:rsidR="00E10C3A">
        <w:rPr>
          <w:rFonts w:ascii="Arial" w:eastAsiaTheme="minorHAnsi" w:hAnsi="Arial" w:cs="Arial"/>
          <w:sz w:val="20"/>
          <w:szCs w:val="22"/>
          <w:lang w:val="en-CA"/>
        </w:rPr>
        <w:t xml:space="preserve"> for both Thunder Bay and Kenora </w:t>
      </w:r>
      <w:r w:rsidR="00FA4098">
        <w:rPr>
          <w:rFonts w:ascii="Arial" w:eastAsiaTheme="minorHAnsi" w:hAnsi="Arial" w:cs="Arial"/>
          <w:sz w:val="20"/>
          <w:szCs w:val="22"/>
          <w:lang w:val="en-CA"/>
        </w:rPr>
        <w:t>Rate Zone</w:t>
      </w:r>
      <w:r w:rsidR="008A6D64">
        <w:rPr>
          <w:rFonts w:ascii="Arial" w:eastAsiaTheme="minorHAnsi" w:hAnsi="Arial" w:cs="Arial"/>
          <w:sz w:val="20"/>
          <w:szCs w:val="22"/>
          <w:lang w:val="en-CA"/>
        </w:rPr>
        <w:t>s</w:t>
      </w:r>
      <w:r w:rsidR="004344DB" w:rsidRPr="009007C4">
        <w:rPr>
          <w:rFonts w:ascii="Arial" w:eastAsiaTheme="minorHAnsi" w:hAnsi="Arial" w:cs="Arial"/>
          <w:sz w:val="20"/>
          <w:szCs w:val="22"/>
          <w:lang w:val="en-CA"/>
        </w:rPr>
        <w:t>.</w:t>
      </w:r>
    </w:p>
    <w:p w14:paraId="73309FBC" w14:textId="77777777" w:rsidR="004344DB" w:rsidRPr="009007C4" w:rsidRDefault="004344DB" w:rsidP="001B4A0A">
      <w:pPr>
        <w:spacing w:line="360" w:lineRule="auto"/>
        <w:jc w:val="both"/>
        <w:rPr>
          <w:rFonts w:ascii="Arial" w:eastAsiaTheme="minorHAnsi" w:hAnsi="Arial" w:cs="Arial"/>
          <w:sz w:val="20"/>
          <w:szCs w:val="22"/>
          <w:lang w:val="en-CA"/>
        </w:rPr>
      </w:pPr>
    </w:p>
    <w:p w14:paraId="2CCE22AF" w14:textId="1B6E1E4C" w:rsidR="00122126" w:rsidRPr="00E82B5C" w:rsidRDefault="006D6541" w:rsidP="00024A7C">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D26576">
        <w:rPr>
          <w:rFonts w:ascii="Arial" w:eastAsiaTheme="minorHAnsi" w:hAnsi="Arial" w:cs="Arial"/>
          <w:sz w:val="20"/>
          <w:szCs w:val="22"/>
          <w:lang w:val="en-CA"/>
        </w:rPr>
        <w:t xml:space="preserve"> </w:t>
      </w:r>
      <w:r w:rsidR="004344DB" w:rsidRPr="00B60556">
        <w:rPr>
          <w:rFonts w:ascii="Arial" w:eastAsiaTheme="minorHAnsi" w:hAnsi="Arial" w:cs="Arial"/>
          <w:sz w:val="20"/>
          <w:szCs w:val="22"/>
          <w:lang w:val="en-CA"/>
        </w:rPr>
        <w:t>confirms that it has not diverged from the Board’s m</w:t>
      </w:r>
      <w:r w:rsidR="00FF0500">
        <w:rPr>
          <w:rFonts w:ascii="Arial" w:eastAsiaTheme="minorHAnsi" w:hAnsi="Arial" w:cs="Arial"/>
          <w:sz w:val="20"/>
          <w:szCs w:val="22"/>
          <w:lang w:val="en-CA"/>
        </w:rPr>
        <w:t xml:space="preserve">odel concept or modified the </w:t>
      </w:r>
      <w:r w:rsidR="00C0612A">
        <w:rPr>
          <w:rFonts w:ascii="Arial" w:eastAsiaTheme="minorHAnsi" w:hAnsi="Arial" w:cs="Arial"/>
          <w:sz w:val="20"/>
          <w:szCs w:val="22"/>
          <w:lang w:val="en-CA"/>
        </w:rPr>
        <w:t>2023</w:t>
      </w:r>
      <w:r w:rsidR="004344DB" w:rsidRPr="00B60556">
        <w:rPr>
          <w:rFonts w:ascii="Arial" w:eastAsiaTheme="minorHAnsi" w:hAnsi="Arial" w:cs="Arial"/>
          <w:sz w:val="20"/>
          <w:szCs w:val="22"/>
          <w:lang w:val="en-CA"/>
        </w:rPr>
        <w:t xml:space="preserve"> Rate Model</w:t>
      </w:r>
      <w:r w:rsidR="003034F0">
        <w:rPr>
          <w:rFonts w:ascii="Arial" w:eastAsiaTheme="minorHAnsi" w:hAnsi="Arial" w:cs="Arial"/>
          <w:sz w:val="20"/>
          <w:szCs w:val="22"/>
          <w:lang w:val="en-CA"/>
        </w:rPr>
        <w:t>s to be different</w:t>
      </w:r>
      <w:r w:rsidR="00024A7C">
        <w:rPr>
          <w:rFonts w:ascii="Arial" w:eastAsiaTheme="minorHAnsi" w:hAnsi="Arial" w:cs="Arial"/>
          <w:sz w:val="20"/>
          <w:szCs w:val="22"/>
          <w:lang w:val="en-CA"/>
        </w:rPr>
        <w:t xml:space="preserve"> than the OEB published models</w:t>
      </w:r>
      <w:r w:rsidR="004344DB" w:rsidRPr="00B60556">
        <w:rPr>
          <w:rFonts w:ascii="Arial" w:eastAsiaTheme="minorHAnsi" w:hAnsi="Arial" w:cs="Arial"/>
          <w:sz w:val="20"/>
          <w:szCs w:val="22"/>
          <w:lang w:val="en-CA"/>
        </w:rPr>
        <w:t xml:space="preserve">. </w:t>
      </w:r>
    </w:p>
    <w:p w14:paraId="0927C18D" w14:textId="77777777" w:rsidR="00BE48D0" w:rsidRPr="00CA57E5" w:rsidRDefault="00BE48D0" w:rsidP="00CA57E5">
      <w:pPr>
        <w:autoSpaceDE w:val="0"/>
        <w:autoSpaceDN w:val="0"/>
        <w:adjustRightInd w:val="0"/>
        <w:jc w:val="both"/>
        <w:rPr>
          <w:rFonts w:ascii="Arial" w:eastAsiaTheme="minorHAnsi" w:hAnsi="Arial" w:cs="Arial"/>
          <w:sz w:val="20"/>
          <w:szCs w:val="22"/>
          <w:lang w:val="en-CA"/>
        </w:rPr>
      </w:pPr>
    </w:p>
    <w:p w14:paraId="38CFAB9E" w14:textId="77777777" w:rsidR="008D4E5C" w:rsidRDefault="008D4E5C">
      <w:pPr>
        <w:spacing w:after="200" w:line="276" w:lineRule="auto"/>
        <w:rPr>
          <w:rFonts w:ascii="Arial" w:eastAsiaTheme="majorEastAsia" w:hAnsi="Arial" w:cs="Arial"/>
          <w:b/>
          <w:bCs/>
        </w:rPr>
      </w:pPr>
      <w:bookmarkStart w:id="25" w:name="_Toc497556743"/>
      <w:bookmarkStart w:id="26" w:name="_Toc127886114"/>
      <w:r>
        <w:rPr>
          <w:rFonts w:ascii="Arial" w:hAnsi="Arial" w:cs="Arial"/>
        </w:rPr>
        <w:br w:type="page"/>
      </w:r>
    </w:p>
    <w:p w14:paraId="60C962C8" w14:textId="6F2D52D5" w:rsidR="004344DB" w:rsidRPr="00E25A89" w:rsidRDefault="00BB360D" w:rsidP="004344DB">
      <w:pPr>
        <w:pStyle w:val="Heading2"/>
        <w:rPr>
          <w:rFonts w:ascii="Arial" w:hAnsi="Arial" w:cs="Arial"/>
          <w:color w:val="auto"/>
          <w:sz w:val="24"/>
          <w:szCs w:val="24"/>
        </w:rPr>
      </w:pPr>
      <w:r>
        <w:rPr>
          <w:rFonts w:ascii="Arial" w:hAnsi="Arial" w:cs="Arial"/>
          <w:color w:val="auto"/>
          <w:sz w:val="24"/>
          <w:szCs w:val="24"/>
        </w:rPr>
        <w:lastRenderedPageBreak/>
        <w:t xml:space="preserve">3.2.5 Review and Disposition of </w:t>
      </w:r>
      <w:r w:rsidR="004344DB" w:rsidRPr="00E25A89">
        <w:rPr>
          <w:rFonts w:ascii="Arial" w:hAnsi="Arial" w:cs="Arial"/>
          <w:color w:val="auto"/>
          <w:sz w:val="24"/>
          <w:szCs w:val="24"/>
        </w:rPr>
        <w:t xml:space="preserve">Group 1 </w:t>
      </w:r>
      <w:r w:rsidR="002B5BEA">
        <w:rPr>
          <w:rFonts w:ascii="Arial" w:hAnsi="Arial" w:cs="Arial"/>
          <w:color w:val="auto"/>
          <w:sz w:val="24"/>
          <w:szCs w:val="24"/>
        </w:rPr>
        <w:t xml:space="preserve">1588 &amp; 1589 </w:t>
      </w:r>
      <w:r w:rsidR="004344DB" w:rsidRPr="00E25A89">
        <w:rPr>
          <w:rFonts w:ascii="Arial" w:hAnsi="Arial" w:cs="Arial"/>
          <w:color w:val="auto"/>
          <w:sz w:val="24"/>
          <w:szCs w:val="24"/>
        </w:rPr>
        <w:t>Variance Account Balances</w:t>
      </w:r>
      <w:bookmarkEnd w:id="25"/>
      <w:bookmarkEnd w:id="26"/>
    </w:p>
    <w:p w14:paraId="28DF823A" w14:textId="77777777" w:rsidR="004344DB" w:rsidRDefault="004344DB" w:rsidP="004344DB">
      <w:pPr>
        <w:autoSpaceDE w:val="0"/>
        <w:autoSpaceDN w:val="0"/>
        <w:adjustRightInd w:val="0"/>
        <w:jc w:val="both"/>
        <w:rPr>
          <w:rFonts w:ascii="Arial" w:eastAsiaTheme="minorHAnsi" w:hAnsi="Arial" w:cs="Arial"/>
          <w:sz w:val="20"/>
          <w:szCs w:val="22"/>
          <w:lang w:val="en-CA"/>
        </w:rPr>
      </w:pPr>
    </w:p>
    <w:p w14:paraId="20FC15D1" w14:textId="45857D02" w:rsidR="003D326E" w:rsidRPr="004B1FB9" w:rsidRDefault="006D6541" w:rsidP="003D326E">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4344DB" w:rsidRPr="003A6ED8">
        <w:rPr>
          <w:rFonts w:ascii="Arial" w:eastAsiaTheme="minorHAnsi" w:hAnsi="Arial" w:cs="Arial"/>
          <w:sz w:val="20"/>
          <w:szCs w:val="22"/>
          <w:lang w:val="en-CA"/>
        </w:rPr>
        <w:t xml:space="preserve"> is applying to dispose of the Group 1 </w:t>
      </w:r>
      <w:r w:rsidR="00C009B2">
        <w:rPr>
          <w:rFonts w:ascii="Arial" w:eastAsiaTheme="minorHAnsi" w:hAnsi="Arial" w:cs="Arial"/>
          <w:sz w:val="20"/>
          <w:szCs w:val="22"/>
          <w:lang w:val="en-CA"/>
        </w:rPr>
        <w:t xml:space="preserve">1588 &amp; 1589 </w:t>
      </w:r>
      <w:r w:rsidR="00C009B2" w:rsidRPr="003A6ED8">
        <w:rPr>
          <w:rFonts w:ascii="Arial" w:eastAsiaTheme="minorHAnsi" w:hAnsi="Arial" w:cs="Arial"/>
          <w:sz w:val="20"/>
          <w:szCs w:val="22"/>
          <w:lang w:val="en-CA"/>
        </w:rPr>
        <w:t xml:space="preserve">balances </w:t>
      </w:r>
      <w:r w:rsidR="004344DB" w:rsidRPr="003A6ED8">
        <w:rPr>
          <w:rFonts w:ascii="Arial" w:eastAsiaTheme="minorHAnsi" w:hAnsi="Arial" w:cs="Arial"/>
          <w:sz w:val="20"/>
          <w:szCs w:val="22"/>
          <w:lang w:val="en-CA"/>
        </w:rPr>
        <w:t>Deferral and Variance A</w:t>
      </w:r>
      <w:r w:rsidR="00EA7AE0">
        <w:rPr>
          <w:rFonts w:ascii="Arial" w:eastAsiaTheme="minorHAnsi" w:hAnsi="Arial" w:cs="Arial"/>
          <w:sz w:val="20"/>
          <w:szCs w:val="22"/>
          <w:lang w:val="en-CA"/>
        </w:rPr>
        <w:t>cco</w:t>
      </w:r>
      <w:r w:rsidR="009C69C4">
        <w:rPr>
          <w:rFonts w:ascii="Arial" w:eastAsiaTheme="minorHAnsi" w:hAnsi="Arial" w:cs="Arial"/>
          <w:sz w:val="20"/>
          <w:szCs w:val="22"/>
          <w:lang w:val="en-CA"/>
        </w:rPr>
        <w:t>unts, as of December 31, 20</w:t>
      </w:r>
      <w:r w:rsidR="00C34B9B">
        <w:rPr>
          <w:rFonts w:ascii="Arial" w:eastAsiaTheme="minorHAnsi" w:hAnsi="Arial" w:cs="Arial"/>
          <w:sz w:val="20"/>
          <w:szCs w:val="22"/>
          <w:lang w:val="en-CA"/>
        </w:rPr>
        <w:t>2</w:t>
      </w:r>
      <w:r w:rsidR="001C30FA">
        <w:rPr>
          <w:rFonts w:ascii="Arial" w:eastAsiaTheme="minorHAnsi" w:hAnsi="Arial" w:cs="Arial"/>
          <w:sz w:val="20"/>
          <w:szCs w:val="22"/>
          <w:lang w:val="en-CA"/>
        </w:rPr>
        <w:t>1</w:t>
      </w:r>
      <w:r w:rsidR="007204AB">
        <w:rPr>
          <w:rFonts w:ascii="Arial" w:eastAsiaTheme="minorHAnsi" w:hAnsi="Arial" w:cs="Arial"/>
          <w:sz w:val="20"/>
          <w:szCs w:val="22"/>
          <w:lang w:val="en-CA"/>
        </w:rPr>
        <w:t>,</w:t>
      </w:r>
      <w:r w:rsidR="009C69C4">
        <w:rPr>
          <w:rFonts w:ascii="Arial" w:eastAsiaTheme="minorHAnsi" w:hAnsi="Arial" w:cs="Arial"/>
          <w:sz w:val="20"/>
          <w:szCs w:val="22"/>
          <w:lang w:val="en-CA"/>
        </w:rPr>
        <w:t xml:space="preserve"> for both Thunder Bay and Kenora </w:t>
      </w:r>
      <w:r w:rsidR="00FA4098">
        <w:rPr>
          <w:rFonts w:ascii="Arial" w:eastAsiaTheme="minorHAnsi" w:hAnsi="Arial" w:cs="Arial"/>
          <w:sz w:val="20"/>
          <w:szCs w:val="22"/>
          <w:lang w:val="en-CA"/>
        </w:rPr>
        <w:t>Rate Zone</w:t>
      </w:r>
      <w:r w:rsidR="009C69C4">
        <w:rPr>
          <w:rFonts w:ascii="Arial" w:eastAsiaTheme="minorHAnsi" w:hAnsi="Arial" w:cs="Arial"/>
          <w:sz w:val="20"/>
          <w:szCs w:val="22"/>
          <w:lang w:val="en-CA"/>
        </w:rPr>
        <w:t>s</w:t>
      </w:r>
      <w:r w:rsidR="004344DB">
        <w:rPr>
          <w:rFonts w:ascii="Arial" w:eastAsiaTheme="minorHAnsi" w:hAnsi="Arial" w:cs="Arial"/>
          <w:sz w:val="20"/>
          <w:szCs w:val="22"/>
          <w:lang w:val="en-CA"/>
        </w:rPr>
        <w:t xml:space="preserve">.  </w:t>
      </w:r>
      <w:r w:rsidR="007204AB">
        <w:rPr>
          <w:rFonts w:ascii="Arial" w:eastAsiaTheme="minorHAnsi" w:hAnsi="Arial" w:cs="Arial"/>
          <w:sz w:val="20"/>
          <w:szCs w:val="22"/>
          <w:lang w:val="en-CA"/>
        </w:rPr>
        <w:t>C</w:t>
      </w:r>
      <w:r w:rsidR="0044689F">
        <w:rPr>
          <w:rFonts w:ascii="Arial" w:eastAsiaTheme="minorHAnsi" w:hAnsi="Arial" w:cs="Arial"/>
          <w:sz w:val="20"/>
          <w:szCs w:val="22"/>
          <w:lang w:val="en-CA"/>
        </w:rPr>
        <w:t xml:space="preserve">arrying charges in 2021 were calculated using </w:t>
      </w:r>
      <w:r w:rsidR="00AC7C72">
        <w:rPr>
          <w:rFonts w:ascii="Arial" w:eastAsiaTheme="minorHAnsi" w:hAnsi="Arial" w:cs="Arial"/>
          <w:sz w:val="20"/>
          <w:szCs w:val="22"/>
          <w:lang w:val="en-CA"/>
        </w:rPr>
        <w:t>the Board’s</w:t>
      </w:r>
      <w:r w:rsidR="0044689F">
        <w:rPr>
          <w:rFonts w:ascii="Arial" w:eastAsiaTheme="minorHAnsi" w:hAnsi="Arial" w:cs="Arial"/>
          <w:sz w:val="20"/>
          <w:szCs w:val="22"/>
          <w:lang w:val="en-CA"/>
        </w:rPr>
        <w:t xml:space="preserve"> monthly</w:t>
      </w:r>
      <w:r w:rsidR="00AC7C72">
        <w:rPr>
          <w:rFonts w:ascii="Arial" w:eastAsiaTheme="minorHAnsi" w:hAnsi="Arial" w:cs="Arial"/>
          <w:sz w:val="20"/>
          <w:szCs w:val="22"/>
          <w:lang w:val="en-CA"/>
        </w:rPr>
        <w:t xml:space="preserve"> prescribed i</w:t>
      </w:r>
      <w:r w:rsidR="00CE2BA4">
        <w:rPr>
          <w:rFonts w:ascii="Arial" w:eastAsiaTheme="minorHAnsi" w:hAnsi="Arial" w:cs="Arial"/>
          <w:sz w:val="20"/>
          <w:szCs w:val="22"/>
          <w:lang w:val="en-CA"/>
        </w:rPr>
        <w:t xml:space="preserve">nterest rates. </w:t>
      </w:r>
      <w:r w:rsidR="003D326E">
        <w:rPr>
          <w:rFonts w:ascii="Arial" w:eastAsiaTheme="minorHAnsi" w:hAnsi="Arial" w:cs="Arial"/>
          <w:sz w:val="20"/>
          <w:szCs w:val="22"/>
          <w:lang w:val="en-CA"/>
        </w:rPr>
        <w:t>Estimated</w:t>
      </w:r>
      <w:r w:rsidR="0044689F" w:rsidRPr="003A6ED8">
        <w:rPr>
          <w:rFonts w:ascii="Arial" w:eastAsiaTheme="minorHAnsi" w:hAnsi="Arial" w:cs="Arial"/>
          <w:sz w:val="20"/>
          <w:szCs w:val="22"/>
          <w:lang w:val="en-CA"/>
        </w:rPr>
        <w:t xml:space="preserve"> </w:t>
      </w:r>
      <w:r w:rsidR="0044689F">
        <w:rPr>
          <w:rFonts w:ascii="Arial" w:eastAsiaTheme="minorHAnsi" w:hAnsi="Arial" w:cs="Arial"/>
          <w:sz w:val="20"/>
          <w:szCs w:val="22"/>
          <w:lang w:val="en-CA"/>
        </w:rPr>
        <w:t xml:space="preserve">carrying charges from January 1, </w:t>
      </w:r>
      <w:r w:rsidR="00C0612A">
        <w:rPr>
          <w:rFonts w:ascii="Arial" w:eastAsiaTheme="minorHAnsi" w:hAnsi="Arial" w:cs="Arial"/>
          <w:sz w:val="20"/>
          <w:szCs w:val="22"/>
          <w:lang w:val="en-CA"/>
        </w:rPr>
        <w:t>202</w:t>
      </w:r>
      <w:r w:rsidR="003D326E">
        <w:rPr>
          <w:rFonts w:ascii="Arial" w:eastAsiaTheme="minorHAnsi" w:hAnsi="Arial" w:cs="Arial"/>
          <w:sz w:val="20"/>
          <w:szCs w:val="22"/>
          <w:lang w:val="en-CA"/>
        </w:rPr>
        <w:t>2</w:t>
      </w:r>
      <w:r w:rsidR="0044689F">
        <w:rPr>
          <w:rFonts w:ascii="Arial" w:eastAsiaTheme="minorHAnsi" w:hAnsi="Arial" w:cs="Arial"/>
          <w:sz w:val="20"/>
          <w:szCs w:val="22"/>
          <w:lang w:val="en-CA"/>
        </w:rPr>
        <w:t xml:space="preserve"> to </w:t>
      </w:r>
      <w:r w:rsidR="003D326E">
        <w:rPr>
          <w:rFonts w:ascii="Arial" w:eastAsiaTheme="minorHAnsi" w:hAnsi="Arial" w:cs="Arial"/>
          <w:sz w:val="20"/>
          <w:szCs w:val="22"/>
          <w:lang w:val="en-CA"/>
        </w:rPr>
        <w:t>Dec 31</w:t>
      </w:r>
      <w:r w:rsidR="0044689F">
        <w:rPr>
          <w:rFonts w:ascii="Arial" w:eastAsiaTheme="minorHAnsi" w:hAnsi="Arial" w:cs="Arial"/>
          <w:sz w:val="20"/>
          <w:szCs w:val="22"/>
          <w:lang w:val="en-CA"/>
        </w:rPr>
        <w:t xml:space="preserve">, </w:t>
      </w:r>
      <w:r w:rsidR="00C0612A">
        <w:rPr>
          <w:rFonts w:ascii="Arial" w:eastAsiaTheme="minorHAnsi" w:hAnsi="Arial" w:cs="Arial"/>
          <w:sz w:val="20"/>
          <w:szCs w:val="22"/>
          <w:lang w:val="en-CA"/>
        </w:rPr>
        <w:t>202</w:t>
      </w:r>
      <w:r w:rsidR="003D326E">
        <w:rPr>
          <w:rFonts w:ascii="Arial" w:eastAsiaTheme="minorHAnsi" w:hAnsi="Arial" w:cs="Arial"/>
          <w:sz w:val="20"/>
          <w:szCs w:val="22"/>
          <w:lang w:val="en-CA"/>
        </w:rPr>
        <w:t>2</w:t>
      </w:r>
      <w:r w:rsidR="0044689F">
        <w:rPr>
          <w:rFonts w:ascii="Arial" w:eastAsiaTheme="minorHAnsi" w:hAnsi="Arial" w:cs="Arial"/>
          <w:sz w:val="20"/>
          <w:szCs w:val="22"/>
          <w:lang w:val="en-CA"/>
        </w:rPr>
        <w:t xml:space="preserve"> are calculated using </w:t>
      </w:r>
      <w:r w:rsidR="003D326E">
        <w:rPr>
          <w:rFonts w:ascii="Arial" w:eastAsiaTheme="minorHAnsi" w:hAnsi="Arial" w:cs="Arial"/>
          <w:sz w:val="20"/>
          <w:szCs w:val="22"/>
          <w:lang w:val="en-CA"/>
        </w:rPr>
        <w:t xml:space="preserve">an average of </w:t>
      </w:r>
      <w:r w:rsidR="0044689F">
        <w:rPr>
          <w:rFonts w:ascii="Arial" w:eastAsiaTheme="minorHAnsi" w:hAnsi="Arial" w:cs="Arial"/>
          <w:sz w:val="20"/>
          <w:szCs w:val="22"/>
          <w:lang w:val="en-CA"/>
        </w:rPr>
        <w:t xml:space="preserve">the Board’s </w:t>
      </w:r>
      <w:r w:rsidR="004129CF">
        <w:rPr>
          <w:rFonts w:ascii="Arial" w:eastAsiaTheme="minorHAnsi" w:hAnsi="Arial" w:cs="Arial"/>
          <w:sz w:val="20"/>
          <w:szCs w:val="22"/>
          <w:lang w:val="en-CA"/>
        </w:rPr>
        <w:t>202</w:t>
      </w:r>
      <w:r w:rsidR="003D326E">
        <w:rPr>
          <w:rFonts w:ascii="Arial" w:eastAsiaTheme="minorHAnsi" w:hAnsi="Arial" w:cs="Arial"/>
          <w:sz w:val="20"/>
          <w:szCs w:val="22"/>
          <w:lang w:val="en-CA"/>
        </w:rPr>
        <w:t>2</w:t>
      </w:r>
      <w:r w:rsidR="004129CF">
        <w:rPr>
          <w:rFonts w:ascii="Arial" w:eastAsiaTheme="minorHAnsi" w:hAnsi="Arial" w:cs="Arial"/>
          <w:sz w:val="20"/>
          <w:szCs w:val="22"/>
          <w:lang w:val="en-CA"/>
        </w:rPr>
        <w:t xml:space="preserve"> </w:t>
      </w:r>
      <w:r w:rsidR="0044689F">
        <w:rPr>
          <w:rFonts w:ascii="Arial" w:eastAsiaTheme="minorHAnsi" w:hAnsi="Arial" w:cs="Arial"/>
          <w:sz w:val="20"/>
          <w:szCs w:val="22"/>
          <w:lang w:val="en-CA"/>
        </w:rPr>
        <w:t>rate</w:t>
      </w:r>
      <w:r w:rsidR="003D326E">
        <w:rPr>
          <w:rFonts w:ascii="Arial" w:eastAsiaTheme="minorHAnsi" w:hAnsi="Arial" w:cs="Arial"/>
          <w:sz w:val="20"/>
          <w:szCs w:val="22"/>
          <w:lang w:val="en-CA"/>
        </w:rPr>
        <w:t>s, 1.9%</w:t>
      </w:r>
      <w:r w:rsidR="0044689F">
        <w:rPr>
          <w:rFonts w:ascii="Arial" w:eastAsiaTheme="minorHAnsi" w:hAnsi="Arial" w:cs="Arial"/>
          <w:sz w:val="20"/>
          <w:szCs w:val="22"/>
          <w:lang w:val="en-CA"/>
        </w:rPr>
        <w:t>.</w:t>
      </w:r>
      <w:r w:rsidR="003D326E" w:rsidRPr="003D326E">
        <w:rPr>
          <w:rFonts w:ascii="Arial" w:eastAsiaTheme="minorHAnsi" w:hAnsi="Arial" w:cs="Arial"/>
          <w:sz w:val="20"/>
          <w:szCs w:val="22"/>
          <w:lang w:val="en-CA"/>
        </w:rPr>
        <w:t xml:space="preserve"> </w:t>
      </w:r>
      <w:r w:rsidR="003D326E">
        <w:rPr>
          <w:rFonts w:ascii="Arial" w:eastAsiaTheme="minorHAnsi" w:hAnsi="Arial" w:cs="Arial"/>
          <w:sz w:val="20"/>
          <w:szCs w:val="22"/>
          <w:lang w:val="en-CA"/>
        </w:rPr>
        <w:t xml:space="preserve"> P</w:t>
      </w:r>
      <w:r w:rsidR="003D326E" w:rsidRPr="003A6ED8">
        <w:rPr>
          <w:rFonts w:ascii="Arial" w:eastAsiaTheme="minorHAnsi" w:hAnsi="Arial" w:cs="Arial"/>
          <w:sz w:val="20"/>
          <w:szCs w:val="22"/>
          <w:lang w:val="en-CA"/>
        </w:rPr>
        <w:t xml:space="preserve">rojected </w:t>
      </w:r>
      <w:r w:rsidR="003D326E">
        <w:rPr>
          <w:rFonts w:ascii="Arial" w:eastAsiaTheme="minorHAnsi" w:hAnsi="Arial" w:cs="Arial"/>
          <w:sz w:val="20"/>
          <w:szCs w:val="22"/>
          <w:lang w:val="en-CA"/>
        </w:rPr>
        <w:t xml:space="preserve">carrying charges from January 1, 2023 to April 30, 2023 are calculated using the Board’s most recent </w:t>
      </w:r>
      <w:r w:rsidR="007204AB">
        <w:rPr>
          <w:rFonts w:ascii="Arial" w:eastAsiaTheme="minorHAnsi" w:hAnsi="Arial" w:cs="Arial"/>
          <w:sz w:val="20"/>
          <w:szCs w:val="22"/>
          <w:lang w:val="en-CA"/>
        </w:rPr>
        <w:t>f</w:t>
      </w:r>
      <w:r w:rsidR="003D326E">
        <w:rPr>
          <w:rFonts w:ascii="Arial" w:eastAsiaTheme="minorHAnsi" w:hAnsi="Arial" w:cs="Arial"/>
          <w:sz w:val="20"/>
          <w:szCs w:val="22"/>
          <w:lang w:val="en-CA"/>
        </w:rPr>
        <w:t xml:space="preserve">irst </w:t>
      </w:r>
      <w:r w:rsidR="007204AB">
        <w:rPr>
          <w:rFonts w:ascii="Arial" w:eastAsiaTheme="minorHAnsi" w:hAnsi="Arial" w:cs="Arial"/>
          <w:sz w:val="20"/>
          <w:szCs w:val="22"/>
          <w:lang w:val="en-CA"/>
        </w:rPr>
        <w:t>q</w:t>
      </w:r>
      <w:r w:rsidR="003D326E">
        <w:rPr>
          <w:rFonts w:ascii="Arial" w:eastAsiaTheme="minorHAnsi" w:hAnsi="Arial" w:cs="Arial"/>
          <w:sz w:val="20"/>
          <w:szCs w:val="22"/>
          <w:lang w:val="en-CA"/>
        </w:rPr>
        <w:t>uarter 2023 rate of 4.73%.</w:t>
      </w:r>
    </w:p>
    <w:p w14:paraId="31487D71" w14:textId="02DC718B" w:rsidR="0008581A" w:rsidRDefault="0008581A" w:rsidP="001B4A0A">
      <w:pPr>
        <w:spacing w:line="360" w:lineRule="auto"/>
        <w:rPr>
          <w:rFonts w:ascii="Arial" w:eastAsiaTheme="minorHAnsi" w:hAnsi="Arial" w:cs="Arial"/>
          <w:sz w:val="20"/>
          <w:szCs w:val="22"/>
          <w:lang w:val="en-CA"/>
        </w:rPr>
      </w:pPr>
    </w:p>
    <w:p w14:paraId="43D4314C" w14:textId="7DE430D3" w:rsidR="007204AB" w:rsidRDefault="004D2142" w:rsidP="007204AB">
      <w:pPr>
        <w:rPr>
          <w:rFonts w:ascii="Arial" w:eastAsiaTheme="minorHAnsi" w:hAnsi="Arial" w:cs="Arial"/>
          <w:b/>
          <w:bCs/>
          <w:u w:val="single"/>
          <w:lang w:val="en-CA"/>
        </w:rPr>
      </w:pPr>
      <w:r>
        <w:rPr>
          <w:rFonts w:ascii="Arial" w:eastAsiaTheme="minorHAnsi" w:hAnsi="Arial" w:cs="Arial"/>
          <w:b/>
          <w:u w:val="single"/>
          <w:lang w:val="en-CA"/>
        </w:rPr>
        <w:t>Retroactive</w:t>
      </w:r>
      <w:r w:rsidRPr="007204AB">
        <w:rPr>
          <w:rFonts w:ascii="Arial" w:eastAsiaTheme="minorHAnsi" w:hAnsi="Arial" w:cs="Arial"/>
          <w:b/>
          <w:bCs/>
          <w:u w:val="single"/>
          <w:lang w:val="en-CA"/>
        </w:rPr>
        <w:t xml:space="preserve"> </w:t>
      </w:r>
      <w:r w:rsidR="00C009B2" w:rsidRPr="007204AB">
        <w:rPr>
          <w:rFonts w:ascii="Arial" w:eastAsiaTheme="minorHAnsi" w:hAnsi="Arial" w:cs="Arial"/>
          <w:b/>
          <w:bCs/>
          <w:u w:val="single"/>
          <w:lang w:val="en-CA"/>
        </w:rPr>
        <w:t>Adjustment to Account 1588</w:t>
      </w:r>
    </w:p>
    <w:p w14:paraId="5EE1953D" w14:textId="77777777" w:rsidR="007204AB" w:rsidRPr="007204AB" w:rsidRDefault="007204AB" w:rsidP="007204AB">
      <w:pPr>
        <w:rPr>
          <w:rFonts w:ascii="Arial" w:eastAsiaTheme="minorHAnsi" w:hAnsi="Arial" w:cs="Arial"/>
          <w:b/>
          <w:bCs/>
          <w:u w:val="single"/>
          <w:lang w:val="en-CA"/>
        </w:rPr>
      </w:pPr>
    </w:p>
    <w:p w14:paraId="03260B40" w14:textId="2ADA4B4D" w:rsidR="00AE3C7E" w:rsidRDefault="00AE3C7E" w:rsidP="001B4A0A">
      <w:pPr>
        <w:spacing w:line="360" w:lineRule="auto"/>
        <w:rPr>
          <w:rFonts w:ascii="Arial" w:eastAsiaTheme="minorHAnsi" w:hAnsi="Arial" w:cs="Arial"/>
          <w:sz w:val="20"/>
          <w:szCs w:val="22"/>
          <w:lang w:val="en-CA"/>
        </w:rPr>
      </w:pPr>
      <w:r>
        <w:rPr>
          <w:rFonts w:ascii="Arial" w:eastAsiaTheme="minorHAnsi" w:hAnsi="Arial" w:cs="Arial"/>
          <w:sz w:val="20"/>
          <w:szCs w:val="22"/>
          <w:lang w:val="en-CA"/>
        </w:rPr>
        <w:t>In preparing responses to OEB Staff Questions of December 13, 2022</w:t>
      </w:r>
      <w:r w:rsidR="003B7BFE">
        <w:rPr>
          <w:rFonts w:ascii="Arial" w:eastAsiaTheme="minorHAnsi" w:hAnsi="Arial" w:cs="Arial"/>
          <w:sz w:val="20"/>
          <w:szCs w:val="22"/>
          <w:lang w:val="en-CA"/>
        </w:rPr>
        <w:t xml:space="preserve"> on Application EB-2022-0063</w:t>
      </w:r>
      <w:r>
        <w:rPr>
          <w:rFonts w:ascii="Arial" w:eastAsiaTheme="minorHAnsi" w:hAnsi="Arial" w:cs="Arial"/>
          <w:sz w:val="20"/>
          <w:szCs w:val="22"/>
          <w:lang w:val="en-CA"/>
        </w:rPr>
        <w:t xml:space="preserve">, </w:t>
      </w:r>
      <w:r w:rsidR="006D6541">
        <w:rPr>
          <w:rFonts w:ascii="Arial" w:eastAsiaTheme="minorHAnsi" w:hAnsi="Arial" w:cs="Arial"/>
          <w:sz w:val="20"/>
          <w:szCs w:val="22"/>
          <w:lang w:val="en-CA"/>
        </w:rPr>
        <w:t>SYNERGY NORTH</w:t>
      </w:r>
      <w:r>
        <w:rPr>
          <w:rFonts w:ascii="Arial" w:eastAsiaTheme="minorHAnsi" w:hAnsi="Arial" w:cs="Arial"/>
          <w:sz w:val="20"/>
          <w:szCs w:val="22"/>
          <w:lang w:val="en-CA"/>
        </w:rPr>
        <w:t xml:space="preserve"> discovered an error in </w:t>
      </w:r>
      <w:r w:rsidR="00064D21">
        <w:rPr>
          <w:rFonts w:ascii="Arial" w:eastAsiaTheme="minorHAnsi" w:hAnsi="Arial" w:cs="Arial"/>
          <w:sz w:val="20"/>
          <w:szCs w:val="22"/>
          <w:lang w:val="en-CA"/>
        </w:rPr>
        <w:t xml:space="preserve">billing codes, which had resulted in an underpayment to the IESO and excess credits accumulating in Account 1588 for both Zones.  </w:t>
      </w:r>
    </w:p>
    <w:p w14:paraId="36F73D2C" w14:textId="77777777" w:rsidR="00C64110" w:rsidRDefault="00C64110" w:rsidP="001B4A0A">
      <w:pPr>
        <w:spacing w:line="360" w:lineRule="auto"/>
        <w:rPr>
          <w:rFonts w:ascii="Arial" w:eastAsiaTheme="minorHAnsi" w:hAnsi="Arial" w:cs="Arial"/>
          <w:sz w:val="20"/>
          <w:szCs w:val="22"/>
          <w:lang w:val="en-CA"/>
        </w:rPr>
      </w:pPr>
    </w:p>
    <w:p w14:paraId="40AB17DA" w14:textId="50E34C42" w:rsidR="00C64110" w:rsidRPr="00AF4F8E" w:rsidRDefault="006D6541" w:rsidP="00C64110">
      <w:pPr>
        <w:spacing w:after="200" w:line="276" w:lineRule="auto"/>
        <w:contextualSpacing/>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C64110" w:rsidRPr="00AF4F8E">
        <w:rPr>
          <w:rFonts w:ascii="Arial" w:eastAsiaTheme="minorHAnsi" w:hAnsi="Arial" w:cs="Arial"/>
          <w:sz w:val="20"/>
          <w:szCs w:val="22"/>
          <w:lang w:val="en-CA"/>
        </w:rPr>
        <w:t xml:space="preserve"> customers in the Price Protected General Service Over 50 kW customer class transitioned from non-interval meters to interval (real time) meters.  Billing components within customer accounts differ between non-interval and real time meters. Additional components for real time metering were added to accounts during the transition to real time meters, which included the additions of “RTP” (real time pricing) and “RTN” (real time pricing offset) components.  The original “NSLS” (HOEP) and “NSOS” (HOEP offset) on the non-interval meter components were not removed when the real time meters were implemented. </w:t>
      </w:r>
    </w:p>
    <w:p w14:paraId="7EBEDB3C" w14:textId="77777777" w:rsidR="00C64110" w:rsidRPr="00AF4F8E" w:rsidRDefault="00C64110" w:rsidP="00C64110">
      <w:pPr>
        <w:spacing w:after="200" w:line="276" w:lineRule="auto"/>
        <w:contextualSpacing/>
        <w:jc w:val="both"/>
        <w:rPr>
          <w:rFonts w:ascii="Arial" w:eastAsiaTheme="minorHAnsi" w:hAnsi="Arial" w:cs="Arial"/>
          <w:sz w:val="20"/>
          <w:szCs w:val="22"/>
          <w:lang w:val="en-CA"/>
        </w:rPr>
      </w:pPr>
    </w:p>
    <w:p w14:paraId="7AED9337" w14:textId="77777777" w:rsidR="00C64110" w:rsidRPr="00AF4F8E" w:rsidRDefault="00C64110" w:rsidP="00AF4F8E">
      <w:pPr>
        <w:spacing w:after="200" w:line="276" w:lineRule="auto"/>
        <w:contextualSpacing/>
        <w:jc w:val="both"/>
        <w:rPr>
          <w:rFonts w:ascii="Arial" w:eastAsiaTheme="minorHAnsi" w:hAnsi="Arial" w:cs="Arial"/>
          <w:sz w:val="20"/>
          <w:szCs w:val="22"/>
          <w:lang w:val="en-CA"/>
        </w:rPr>
      </w:pPr>
      <w:r w:rsidRPr="00AF4F8E">
        <w:rPr>
          <w:rFonts w:ascii="Arial" w:eastAsiaTheme="minorHAnsi" w:hAnsi="Arial" w:cs="Arial"/>
          <w:sz w:val="20"/>
          <w:szCs w:val="22"/>
          <w:lang w:val="en-CA"/>
        </w:rPr>
        <w:t>Prior to the addition of the real time components, when an account billed with a non-interval meter, the accounts had the correct components.  The price protected accounts with real time meters consequently had two (one from RTN and one from NSOS) debits being recorded to the IESO settlement general ledger account.  Customer bills were correctly calculated. This duplication of components did not impact the total amounts charged on any bill to any customer class.</w:t>
      </w:r>
    </w:p>
    <w:p w14:paraId="0735A017" w14:textId="77777777" w:rsidR="00C64110" w:rsidRPr="00AF4F8E" w:rsidRDefault="00C64110" w:rsidP="00AF4F8E">
      <w:pPr>
        <w:spacing w:after="200" w:line="276" w:lineRule="auto"/>
        <w:contextualSpacing/>
        <w:jc w:val="both"/>
        <w:rPr>
          <w:rFonts w:ascii="Arial" w:eastAsiaTheme="minorHAnsi" w:hAnsi="Arial" w:cs="Arial"/>
          <w:sz w:val="20"/>
          <w:szCs w:val="22"/>
          <w:lang w:val="en-CA"/>
        </w:rPr>
      </w:pPr>
    </w:p>
    <w:p w14:paraId="2F4B569E" w14:textId="77777777" w:rsidR="00C64110" w:rsidRPr="00AF4F8E" w:rsidRDefault="00C64110" w:rsidP="00C64110">
      <w:pPr>
        <w:spacing w:after="200" w:line="276" w:lineRule="auto"/>
        <w:jc w:val="both"/>
        <w:rPr>
          <w:rFonts w:ascii="Arial" w:eastAsiaTheme="minorHAnsi" w:hAnsi="Arial" w:cs="Arial"/>
          <w:sz w:val="20"/>
          <w:szCs w:val="22"/>
          <w:lang w:val="en-CA"/>
        </w:rPr>
      </w:pPr>
      <w:r w:rsidRPr="00AF4F8E">
        <w:rPr>
          <w:rFonts w:ascii="Arial" w:eastAsiaTheme="minorHAnsi" w:hAnsi="Arial" w:cs="Arial"/>
          <w:sz w:val="20"/>
          <w:szCs w:val="22"/>
          <w:lang w:val="en-CA"/>
        </w:rPr>
        <w:t xml:space="preserve">This difference has resulted in underpayments to the IESO, and an overstated credit in Account 1588.   </w:t>
      </w:r>
    </w:p>
    <w:p w14:paraId="7846B114" w14:textId="77777777" w:rsidR="00C64110" w:rsidRPr="00C64110" w:rsidRDefault="00C64110" w:rsidP="00C64110">
      <w:pPr>
        <w:spacing w:after="160" w:line="259" w:lineRule="auto"/>
        <w:jc w:val="both"/>
        <w:rPr>
          <w:rFonts w:ascii="Arial" w:eastAsiaTheme="minorHAnsi" w:hAnsi="Arial" w:cs="Arial"/>
          <w:sz w:val="20"/>
          <w:szCs w:val="20"/>
          <w:lang w:val="en-CA"/>
        </w:rPr>
      </w:pPr>
      <w:r w:rsidRPr="00AF4F8E">
        <w:rPr>
          <w:rFonts w:ascii="Arial" w:eastAsiaTheme="minorHAnsi" w:hAnsi="Arial" w:cs="Arial"/>
          <w:sz w:val="20"/>
          <w:szCs w:val="22"/>
          <w:lang w:val="en-CA"/>
        </w:rPr>
        <w:t>The error has the following annual impacts, with settlements to the IESO being underpaid, and Account 1588 having</w:t>
      </w:r>
      <w:r w:rsidRPr="00C64110">
        <w:rPr>
          <w:rFonts w:ascii="Arial" w:eastAsiaTheme="minorHAnsi" w:hAnsi="Arial" w:cs="Arial"/>
          <w:sz w:val="20"/>
          <w:szCs w:val="20"/>
          <w:lang w:val="en-CA"/>
        </w:rPr>
        <w:t xml:space="preserve"> an excess credit of:</w:t>
      </w:r>
    </w:p>
    <w:p w14:paraId="3BBF4EEE" w14:textId="6DDCF06F" w:rsidR="00BE7B70" w:rsidRPr="005E3AA5" w:rsidRDefault="00BE7B70" w:rsidP="00C64110">
      <w:pPr>
        <w:spacing w:after="200" w:line="276" w:lineRule="auto"/>
        <w:jc w:val="both"/>
        <w:rPr>
          <w:rFonts w:ascii="Arial" w:eastAsiaTheme="minorHAnsi" w:hAnsi="Arial" w:cs="Arial"/>
          <w:b/>
          <w:bCs/>
          <w:color w:val="4F81BD" w:themeColor="accent1"/>
          <w:lang w:val="en-CA"/>
        </w:rPr>
      </w:pPr>
      <w:r w:rsidRPr="005E3AA5">
        <w:rPr>
          <w:rFonts w:ascii="Arial" w:eastAsiaTheme="minorHAnsi" w:hAnsi="Arial" w:cs="Arial"/>
          <w:b/>
          <w:bCs/>
          <w:color w:val="4F81BD" w:themeColor="accent1"/>
          <w:lang w:val="en-CA"/>
        </w:rPr>
        <w:t>Table 1</w:t>
      </w:r>
      <w:r w:rsidR="00E7280D" w:rsidRPr="005E3AA5">
        <w:rPr>
          <w:rFonts w:ascii="Arial" w:eastAsiaTheme="minorHAnsi" w:hAnsi="Arial" w:cs="Arial"/>
          <w:b/>
          <w:bCs/>
          <w:color w:val="4F81BD" w:themeColor="accent1"/>
          <w:lang w:val="en-CA"/>
        </w:rPr>
        <w:t>:  Account 1588 Error by Year:</w:t>
      </w:r>
    </w:p>
    <w:tbl>
      <w:tblPr>
        <w:tblStyle w:val="TableGrid"/>
        <w:tblW w:w="5263" w:type="dxa"/>
        <w:jc w:val="center"/>
        <w:tblLook w:val="04A0" w:firstRow="1" w:lastRow="0" w:firstColumn="1" w:lastColumn="0" w:noHBand="0" w:noVBand="1"/>
      </w:tblPr>
      <w:tblGrid>
        <w:gridCol w:w="1654"/>
        <w:gridCol w:w="1602"/>
        <w:gridCol w:w="2007"/>
      </w:tblGrid>
      <w:tr w:rsidR="00C64110" w:rsidRPr="00C64110" w14:paraId="2C075CED" w14:textId="77777777" w:rsidTr="004701D9">
        <w:trPr>
          <w:trHeight w:val="443"/>
          <w:jc w:val="center"/>
        </w:trPr>
        <w:tc>
          <w:tcPr>
            <w:tcW w:w="1654" w:type="dxa"/>
          </w:tcPr>
          <w:p w14:paraId="7E892E40"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YEAR</w:t>
            </w:r>
          </w:p>
        </w:tc>
        <w:tc>
          <w:tcPr>
            <w:tcW w:w="1602" w:type="dxa"/>
          </w:tcPr>
          <w:p w14:paraId="6FC0571E"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KENORA</w:t>
            </w:r>
          </w:p>
        </w:tc>
        <w:tc>
          <w:tcPr>
            <w:tcW w:w="2007" w:type="dxa"/>
          </w:tcPr>
          <w:p w14:paraId="40DAFC21"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THUNDER BAY </w:t>
            </w:r>
          </w:p>
        </w:tc>
      </w:tr>
      <w:tr w:rsidR="00C64110" w:rsidRPr="00C64110" w14:paraId="0DE283DF" w14:textId="77777777" w:rsidTr="004701D9">
        <w:trPr>
          <w:trHeight w:val="443"/>
          <w:jc w:val="center"/>
        </w:trPr>
        <w:tc>
          <w:tcPr>
            <w:tcW w:w="1654" w:type="dxa"/>
          </w:tcPr>
          <w:p w14:paraId="3184A8E5"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2021</w:t>
            </w:r>
          </w:p>
        </w:tc>
        <w:tc>
          <w:tcPr>
            <w:tcW w:w="1602" w:type="dxa"/>
          </w:tcPr>
          <w:p w14:paraId="495026E4"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$ 136,784</w:t>
            </w:r>
          </w:p>
        </w:tc>
        <w:tc>
          <w:tcPr>
            <w:tcW w:w="2007" w:type="dxa"/>
          </w:tcPr>
          <w:p w14:paraId="22F0E088"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$ 864,240</w:t>
            </w:r>
          </w:p>
        </w:tc>
      </w:tr>
      <w:tr w:rsidR="00C64110" w:rsidRPr="00C64110" w14:paraId="7E24EB00" w14:textId="77777777" w:rsidTr="004701D9">
        <w:trPr>
          <w:trHeight w:val="443"/>
          <w:jc w:val="center"/>
        </w:trPr>
        <w:tc>
          <w:tcPr>
            <w:tcW w:w="1654" w:type="dxa"/>
          </w:tcPr>
          <w:p w14:paraId="45E9B9E8"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2020</w:t>
            </w:r>
          </w:p>
        </w:tc>
        <w:tc>
          <w:tcPr>
            <w:tcW w:w="1602" w:type="dxa"/>
          </w:tcPr>
          <w:p w14:paraId="328DE674"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$ 31,084 </w:t>
            </w:r>
          </w:p>
        </w:tc>
        <w:tc>
          <w:tcPr>
            <w:tcW w:w="2007" w:type="dxa"/>
          </w:tcPr>
          <w:p w14:paraId="08CEBC92"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$ 442,963 </w:t>
            </w:r>
          </w:p>
        </w:tc>
      </w:tr>
      <w:tr w:rsidR="00C64110" w:rsidRPr="00C64110" w14:paraId="21C7520E" w14:textId="77777777" w:rsidTr="004701D9">
        <w:trPr>
          <w:trHeight w:val="443"/>
          <w:jc w:val="center"/>
        </w:trPr>
        <w:tc>
          <w:tcPr>
            <w:tcW w:w="1654" w:type="dxa"/>
          </w:tcPr>
          <w:p w14:paraId="69586784"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2019</w:t>
            </w:r>
          </w:p>
        </w:tc>
        <w:tc>
          <w:tcPr>
            <w:tcW w:w="1602" w:type="dxa"/>
          </w:tcPr>
          <w:p w14:paraId="7F88315B"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$ 0</w:t>
            </w:r>
          </w:p>
        </w:tc>
        <w:tc>
          <w:tcPr>
            <w:tcW w:w="2007" w:type="dxa"/>
          </w:tcPr>
          <w:p w14:paraId="26DA5A4F"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$ 236,071 </w:t>
            </w:r>
          </w:p>
        </w:tc>
      </w:tr>
      <w:tr w:rsidR="00C64110" w:rsidRPr="00C64110" w14:paraId="40CB120E" w14:textId="77777777" w:rsidTr="004701D9">
        <w:trPr>
          <w:trHeight w:val="443"/>
          <w:jc w:val="center"/>
        </w:trPr>
        <w:tc>
          <w:tcPr>
            <w:tcW w:w="1654" w:type="dxa"/>
          </w:tcPr>
          <w:p w14:paraId="76A3B641"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2018</w:t>
            </w:r>
          </w:p>
        </w:tc>
        <w:tc>
          <w:tcPr>
            <w:tcW w:w="1602" w:type="dxa"/>
          </w:tcPr>
          <w:p w14:paraId="0193CD49"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$ 0</w:t>
            </w:r>
          </w:p>
        </w:tc>
        <w:tc>
          <w:tcPr>
            <w:tcW w:w="2007" w:type="dxa"/>
          </w:tcPr>
          <w:p w14:paraId="1E370BC4"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$ 70,446 </w:t>
            </w:r>
          </w:p>
        </w:tc>
      </w:tr>
      <w:tr w:rsidR="00C64110" w:rsidRPr="00C64110" w14:paraId="298440AB" w14:textId="77777777" w:rsidTr="004701D9">
        <w:trPr>
          <w:trHeight w:val="443"/>
          <w:jc w:val="center"/>
        </w:trPr>
        <w:tc>
          <w:tcPr>
            <w:tcW w:w="1654" w:type="dxa"/>
          </w:tcPr>
          <w:p w14:paraId="49807CBD"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2017</w:t>
            </w:r>
          </w:p>
        </w:tc>
        <w:tc>
          <w:tcPr>
            <w:tcW w:w="1602" w:type="dxa"/>
          </w:tcPr>
          <w:p w14:paraId="613E3221"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$ 0</w:t>
            </w:r>
          </w:p>
        </w:tc>
        <w:tc>
          <w:tcPr>
            <w:tcW w:w="2007" w:type="dxa"/>
          </w:tcPr>
          <w:p w14:paraId="2A16032B"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$ 33,575 </w:t>
            </w:r>
          </w:p>
        </w:tc>
      </w:tr>
      <w:tr w:rsidR="00C64110" w:rsidRPr="00C64110" w14:paraId="356ABF9E" w14:textId="77777777" w:rsidTr="004701D9">
        <w:trPr>
          <w:trHeight w:val="414"/>
          <w:jc w:val="center"/>
        </w:trPr>
        <w:tc>
          <w:tcPr>
            <w:tcW w:w="1654" w:type="dxa"/>
          </w:tcPr>
          <w:p w14:paraId="51B1B4DD"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2016</w:t>
            </w:r>
          </w:p>
        </w:tc>
        <w:tc>
          <w:tcPr>
            <w:tcW w:w="1602" w:type="dxa"/>
          </w:tcPr>
          <w:p w14:paraId="29746CD6"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$ 0</w:t>
            </w:r>
          </w:p>
        </w:tc>
        <w:tc>
          <w:tcPr>
            <w:tcW w:w="2007" w:type="dxa"/>
          </w:tcPr>
          <w:p w14:paraId="72800C74" w14:textId="77777777" w:rsidR="00C64110" w:rsidRPr="00C64110" w:rsidRDefault="00C64110" w:rsidP="00C64110">
            <w:pPr>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$ 25,710 </w:t>
            </w:r>
          </w:p>
        </w:tc>
      </w:tr>
    </w:tbl>
    <w:p w14:paraId="009106C5" w14:textId="77777777" w:rsidR="00C64110" w:rsidRPr="00C64110" w:rsidRDefault="00C64110" w:rsidP="00C64110">
      <w:pPr>
        <w:spacing w:after="200"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lastRenderedPageBreak/>
        <w:t xml:space="preserve">Prior to 2020, the Kenora zone did not have Price Protected Over 50 kW class customers with real time metering. </w:t>
      </w:r>
    </w:p>
    <w:p w14:paraId="56BD69D0" w14:textId="77777777" w:rsidR="00C64110" w:rsidRPr="00C64110" w:rsidRDefault="00C64110" w:rsidP="00C64110">
      <w:pPr>
        <w:spacing w:after="200"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Thunder Bay Hydro Electricity Distribution filed a Cost-of-Service Application EB-2016-0105 for rates in 2017, disposing Account 1588 balance on a final basis as of December 31, 2015.  In this response, errors from 2016 to December 31, 2021 have been presented.     </w:t>
      </w:r>
    </w:p>
    <w:p w14:paraId="4DFFECEE" w14:textId="4CDA7B3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In application EB-2021-0058, both Thunder Bay and Kenora rate zones had their</w:t>
      </w:r>
      <w:r w:rsidR="004915AC">
        <w:rPr>
          <w:rFonts w:ascii="Arial" w:eastAsiaTheme="minorHAnsi" w:hAnsi="Arial" w:cs="Arial"/>
          <w:sz w:val="20"/>
          <w:szCs w:val="20"/>
          <w:lang w:val="en-CA"/>
        </w:rPr>
        <w:t xml:space="preserve"> </w:t>
      </w:r>
      <w:r w:rsidRPr="00C64110">
        <w:rPr>
          <w:rFonts w:ascii="Arial" w:eastAsiaTheme="minorHAnsi" w:hAnsi="Arial" w:cs="Arial"/>
          <w:sz w:val="20"/>
          <w:szCs w:val="20"/>
          <w:lang w:val="en-CA"/>
        </w:rPr>
        <w:t>respective December 31, 2020 balances in Account 1588 disposed of on a final basis.</w:t>
      </w:r>
    </w:p>
    <w:p w14:paraId="6E313A87"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p>
    <w:p w14:paraId="719F459A"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This error has previously been undetected due to its immaterial impact on Account 1588, however as more of the Over 50 kW accounts have been transitioned to Real Time meters, the impact on Account 1588 has been increasing. </w:t>
      </w:r>
    </w:p>
    <w:p w14:paraId="063E08D4"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p>
    <w:p w14:paraId="14E56571"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The Board’s October 31, 2019 letter “Re: Adjustments to Correct for Errors in Electricity Distributor “Pass-Through” Variance Accounts After Disposition” (“OEB Letter”) permits retroactive adjustments on a case-by-case basis to correct for errors in electricity distributor “Pass-Through” variance accounts after final disposition, including account 1588. </w:t>
      </w:r>
    </w:p>
    <w:p w14:paraId="3F714AE9"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p>
    <w:p w14:paraId="7853A296" w14:textId="583D768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For the reasons that follow, </w:t>
      </w:r>
      <w:r w:rsidR="006D6541">
        <w:rPr>
          <w:rFonts w:ascii="Arial" w:eastAsiaTheme="minorHAnsi" w:hAnsi="Arial" w:cs="Arial"/>
          <w:sz w:val="20"/>
          <w:szCs w:val="20"/>
          <w:lang w:val="en-CA"/>
        </w:rPr>
        <w:t>SYNERGY NORTH</w:t>
      </w:r>
      <w:r w:rsidRPr="00C64110">
        <w:rPr>
          <w:rFonts w:ascii="Arial" w:eastAsiaTheme="minorHAnsi" w:hAnsi="Arial" w:cs="Arial"/>
          <w:sz w:val="20"/>
          <w:szCs w:val="20"/>
          <w:lang w:val="en-CA"/>
        </w:rPr>
        <w:t xml:space="preserve"> requests that the OEB correct the balances in Account 1588 for the years that have been disposed on both a final and interim basis in accordance with the proposal below. While the adjustments are in favour of the IESO, the proposed adjustments are aligned with the intent of the OEB Letter and serve the public interest.</w:t>
      </w:r>
    </w:p>
    <w:p w14:paraId="3B913B72"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p>
    <w:p w14:paraId="4DA24E11"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With respect to amounts that have been disposed on a final basis, the OEB has listed four factors that will be considered in making such a determination on a case-by-case basis: </w:t>
      </w:r>
    </w:p>
    <w:p w14:paraId="6699D138" w14:textId="77777777" w:rsidR="00C64110" w:rsidRPr="00C64110" w:rsidRDefault="00C64110" w:rsidP="00C64110">
      <w:pPr>
        <w:numPr>
          <w:ilvl w:val="0"/>
          <w:numId w:val="38"/>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Whether the error was within the control of the distributor.</w:t>
      </w:r>
    </w:p>
    <w:p w14:paraId="35FC3287" w14:textId="77777777" w:rsidR="00C64110" w:rsidRPr="00C64110" w:rsidRDefault="00C64110" w:rsidP="00C64110">
      <w:pPr>
        <w:numPr>
          <w:ilvl w:val="0"/>
          <w:numId w:val="38"/>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The frequency with which the distributor has made the same error.</w:t>
      </w:r>
    </w:p>
    <w:p w14:paraId="272B2F13" w14:textId="77777777" w:rsidR="00C64110" w:rsidRPr="00C64110" w:rsidRDefault="00C64110" w:rsidP="00C64110">
      <w:pPr>
        <w:numPr>
          <w:ilvl w:val="0"/>
          <w:numId w:val="38"/>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Failure to follow guidance provided by the OEB.</w:t>
      </w:r>
    </w:p>
    <w:p w14:paraId="3EB9B110" w14:textId="77777777" w:rsidR="00C64110" w:rsidRPr="00C64110" w:rsidRDefault="00C64110" w:rsidP="00C64110">
      <w:pPr>
        <w:numPr>
          <w:ilvl w:val="0"/>
          <w:numId w:val="38"/>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The degree to which other distributors are making similar errors.</w:t>
      </w:r>
    </w:p>
    <w:p w14:paraId="74CA7F63" w14:textId="77777777"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p>
    <w:p w14:paraId="1785EB3C" w14:textId="131747EE" w:rsidR="00C64110" w:rsidRPr="00C64110" w:rsidRDefault="00C64110" w:rsidP="00C64110">
      <w:pPr>
        <w:autoSpaceDE w:val="0"/>
        <w:autoSpaceDN w:val="0"/>
        <w:adjustRightInd w:val="0"/>
        <w:spacing w:line="276" w:lineRule="auto"/>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In response to each of these factors, </w:t>
      </w:r>
      <w:r w:rsidR="006D6541">
        <w:rPr>
          <w:rFonts w:ascii="Arial" w:eastAsiaTheme="minorHAnsi" w:hAnsi="Arial" w:cs="Arial"/>
          <w:sz w:val="20"/>
          <w:szCs w:val="20"/>
          <w:lang w:val="en-CA"/>
        </w:rPr>
        <w:t>SYNERGY NORTH</w:t>
      </w:r>
      <w:r w:rsidRPr="00C64110">
        <w:rPr>
          <w:rFonts w:ascii="Arial" w:eastAsiaTheme="minorHAnsi" w:hAnsi="Arial" w:cs="Arial"/>
          <w:sz w:val="20"/>
          <w:szCs w:val="20"/>
          <w:lang w:val="en-CA"/>
        </w:rPr>
        <w:t xml:space="preserve"> submits as follows:</w:t>
      </w:r>
    </w:p>
    <w:p w14:paraId="079E106D" w14:textId="5033C5FF" w:rsidR="00C64110" w:rsidRPr="00C64110" w:rsidRDefault="006D6541" w:rsidP="00C64110">
      <w:pPr>
        <w:numPr>
          <w:ilvl w:val="0"/>
          <w:numId w:val="39"/>
        </w:numPr>
        <w:autoSpaceDE w:val="0"/>
        <w:autoSpaceDN w:val="0"/>
        <w:adjustRightInd w:val="0"/>
        <w:spacing w:after="200" w:line="276" w:lineRule="auto"/>
        <w:contextualSpacing/>
        <w:jc w:val="both"/>
        <w:rPr>
          <w:rFonts w:ascii="Arial" w:eastAsiaTheme="minorHAnsi" w:hAnsi="Arial" w:cs="Arial"/>
          <w:sz w:val="20"/>
          <w:szCs w:val="20"/>
          <w:lang w:val="en-CA"/>
        </w:rPr>
      </w:pPr>
      <w:r>
        <w:rPr>
          <w:rFonts w:ascii="Arial" w:eastAsiaTheme="minorHAnsi" w:hAnsi="Arial" w:cs="Arial"/>
          <w:sz w:val="20"/>
          <w:szCs w:val="20"/>
          <w:lang w:val="en-CA"/>
        </w:rPr>
        <w:t>SYNERGY NORTH</w:t>
      </w:r>
      <w:r w:rsidR="00C64110" w:rsidRPr="00C64110">
        <w:rPr>
          <w:rFonts w:ascii="Arial" w:eastAsiaTheme="minorHAnsi" w:hAnsi="Arial" w:cs="Arial"/>
          <w:sz w:val="20"/>
          <w:szCs w:val="20"/>
          <w:lang w:val="en-CA"/>
        </w:rPr>
        <w:t xml:space="preserve"> acknowledges that the error was within its control. However, the error was not intentional and not easily identifiable given the small variance.</w:t>
      </w:r>
    </w:p>
    <w:p w14:paraId="55E8DED8" w14:textId="76FA7CD9" w:rsidR="00C64110" w:rsidRPr="00C64110" w:rsidRDefault="00C64110" w:rsidP="00C64110">
      <w:pPr>
        <w:numPr>
          <w:ilvl w:val="0"/>
          <w:numId w:val="39"/>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 xml:space="preserve">This is the first time </w:t>
      </w:r>
      <w:r w:rsidR="006D6541">
        <w:rPr>
          <w:rFonts w:ascii="Arial" w:eastAsiaTheme="minorHAnsi" w:hAnsi="Arial" w:cs="Arial"/>
          <w:sz w:val="20"/>
          <w:szCs w:val="20"/>
          <w:lang w:val="en-CA"/>
        </w:rPr>
        <w:t>SYNERGY NORTH</w:t>
      </w:r>
      <w:r w:rsidRPr="00C64110">
        <w:rPr>
          <w:rFonts w:ascii="Arial" w:eastAsiaTheme="minorHAnsi" w:hAnsi="Arial" w:cs="Arial"/>
          <w:sz w:val="20"/>
          <w:szCs w:val="20"/>
          <w:lang w:val="en-CA"/>
        </w:rPr>
        <w:t xml:space="preserve"> has requested retroactive adjustment due to an error in Account 1588.  </w:t>
      </w:r>
      <w:r w:rsidR="006D6541">
        <w:rPr>
          <w:rFonts w:ascii="Arial" w:eastAsiaTheme="minorHAnsi" w:hAnsi="Arial" w:cs="Arial"/>
          <w:sz w:val="20"/>
          <w:szCs w:val="20"/>
          <w:lang w:val="en-CA"/>
        </w:rPr>
        <w:t>SYNERGY NORTH</w:t>
      </w:r>
      <w:r w:rsidRPr="00C64110">
        <w:rPr>
          <w:rFonts w:ascii="Arial" w:eastAsiaTheme="minorHAnsi" w:hAnsi="Arial" w:cs="Arial"/>
          <w:sz w:val="20"/>
          <w:szCs w:val="20"/>
          <w:lang w:val="en-CA"/>
        </w:rPr>
        <w:t xml:space="preserve"> will not be profiting from this error. Rather it is a correction to ensure proper payment is remitted to the IESO. No benefit will accrue to </w:t>
      </w:r>
      <w:r w:rsidR="006D6541">
        <w:rPr>
          <w:rFonts w:ascii="Arial" w:eastAsiaTheme="minorHAnsi" w:hAnsi="Arial" w:cs="Arial"/>
          <w:sz w:val="20"/>
          <w:szCs w:val="20"/>
          <w:lang w:val="en-CA"/>
        </w:rPr>
        <w:t>SYNERGY NORTH</w:t>
      </w:r>
      <w:r w:rsidRPr="00C64110">
        <w:rPr>
          <w:rFonts w:ascii="Arial" w:eastAsiaTheme="minorHAnsi" w:hAnsi="Arial" w:cs="Arial"/>
          <w:sz w:val="20"/>
          <w:szCs w:val="20"/>
          <w:lang w:val="en-CA"/>
        </w:rPr>
        <w:t xml:space="preserve"> if the balances are corrected.</w:t>
      </w:r>
    </w:p>
    <w:p w14:paraId="61B9D59D" w14:textId="19CEC989" w:rsidR="00C64110" w:rsidRPr="00C64110" w:rsidRDefault="006D6541" w:rsidP="00C64110">
      <w:pPr>
        <w:numPr>
          <w:ilvl w:val="0"/>
          <w:numId w:val="39"/>
        </w:numPr>
        <w:autoSpaceDE w:val="0"/>
        <w:autoSpaceDN w:val="0"/>
        <w:adjustRightInd w:val="0"/>
        <w:spacing w:after="200" w:line="276" w:lineRule="auto"/>
        <w:contextualSpacing/>
        <w:jc w:val="both"/>
        <w:rPr>
          <w:rFonts w:ascii="Arial" w:eastAsiaTheme="minorHAnsi" w:hAnsi="Arial" w:cs="Arial"/>
          <w:sz w:val="20"/>
          <w:szCs w:val="20"/>
          <w:lang w:val="en-CA"/>
        </w:rPr>
      </w:pPr>
      <w:r>
        <w:rPr>
          <w:rFonts w:ascii="Arial" w:eastAsiaTheme="minorHAnsi" w:hAnsi="Arial" w:cs="Arial"/>
          <w:sz w:val="20"/>
          <w:szCs w:val="20"/>
          <w:lang w:val="en-CA"/>
        </w:rPr>
        <w:t>SYNERGY NORTH</w:t>
      </w:r>
      <w:r w:rsidR="00C64110" w:rsidRPr="00C64110">
        <w:rPr>
          <w:rFonts w:ascii="Arial" w:eastAsiaTheme="minorHAnsi" w:hAnsi="Arial" w:cs="Arial"/>
          <w:sz w:val="20"/>
          <w:szCs w:val="20"/>
          <w:lang w:val="en-CA"/>
        </w:rPr>
        <w:t xml:space="preserve"> is not aware of any guidance from the OEB issued in relation to this issue. </w:t>
      </w:r>
    </w:p>
    <w:p w14:paraId="3144DD60" w14:textId="77777777" w:rsidR="00C64110" w:rsidRPr="00C64110" w:rsidRDefault="00C64110" w:rsidP="00C64110">
      <w:pPr>
        <w:numPr>
          <w:ilvl w:val="0"/>
          <w:numId w:val="39"/>
        </w:numPr>
        <w:autoSpaceDE w:val="0"/>
        <w:autoSpaceDN w:val="0"/>
        <w:adjustRightInd w:val="0"/>
        <w:spacing w:after="200" w:line="276" w:lineRule="auto"/>
        <w:contextualSpacing/>
        <w:jc w:val="both"/>
        <w:rPr>
          <w:rFonts w:ascii="Arial" w:eastAsiaTheme="minorHAnsi" w:hAnsi="Arial" w:cs="Arial"/>
          <w:sz w:val="20"/>
          <w:szCs w:val="20"/>
          <w:lang w:val="en-CA"/>
        </w:rPr>
      </w:pPr>
      <w:r w:rsidRPr="00C64110">
        <w:rPr>
          <w:rFonts w:ascii="Arial" w:eastAsiaTheme="minorHAnsi" w:hAnsi="Arial" w:cs="Arial"/>
          <w:sz w:val="20"/>
          <w:szCs w:val="20"/>
          <w:lang w:val="en-CA"/>
        </w:rPr>
        <w:t>As noted by the OEB in Decision EB-2022-0067 (pages 10-11), the OEB acknowledges that other distributors make similar errors in 1588 given the accounting complexities to calculate the accounting entries.</w:t>
      </w:r>
    </w:p>
    <w:p w14:paraId="2A5167BF" w14:textId="1005DA57" w:rsidR="0071244E" w:rsidRPr="00C64110" w:rsidRDefault="0071244E" w:rsidP="00C64110">
      <w:pPr>
        <w:spacing w:line="360" w:lineRule="auto"/>
        <w:jc w:val="both"/>
        <w:rPr>
          <w:rFonts w:ascii="Arial" w:eastAsiaTheme="minorHAnsi" w:hAnsi="Arial" w:cs="Arial"/>
          <w:sz w:val="20"/>
          <w:szCs w:val="20"/>
          <w:lang w:val="en-CA"/>
        </w:rPr>
      </w:pPr>
    </w:p>
    <w:p w14:paraId="4B95E7D0" w14:textId="14146B7F" w:rsidR="0071244E" w:rsidRDefault="0071244E" w:rsidP="001B4A0A">
      <w:pPr>
        <w:spacing w:line="360" w:lineRule="auto"/>
        <w:rPr>
          <w:rFonts w:ascii="Arial" w:eastAsiaTheme="minorHAnsi" w:hAnsi="Arial" w:cs="Arial"/>
          <w:sz w:val="20"/>
          <w:szCs w:val="22"/>
          <w:lang w:val="en-CA"/>
        </w:rPr>
      </w:pPr>
    </w:p>
    <w:p w14:paraId="6FDF1AFD" w14:textId="77777777" w:rsidR="007204AB" w:rsidRDefault="007204AB">
      <w:pPr>
        <w:spacing w:after="200" w:line="276" w:lineRule="auto"/>
        <w:rPr>
          <w:rFonts w:ascii="Arial" w:eastAsiaTheme="minorHAnsi" w:hAnsi="Arial" w:cs="Arial"/>
          <w:b/>
          <w:bCs/>
          <w:color w:val="4F81BD" w:themeColor="accent1"/>
          <w:lang w:val="en-CA"/>
        </w:rPr>
      </w:pPr>
      <w:bookmarkStart w:id="27" w:name="_Hlk128561679"/>
      <w:r>
        <w:rPr>
          <w:rFonts w:ascii="Arial" w:eastAsiaTheme="minorHAnsi" w:hAnsi="Arial" w:cs="Arial"/>
          <w:b/>
          <w:bCs/>
          <w:color w:val="4F81BD" w:themeColor="accent1"/>
          <w:lang w:val="en-CA"/>
        </w:rPr>
        <w:br w:type="page"/>
      </w:r>
    </w:p>
    <w:p w14:paraId="6E6C9990" w14:textId="0F27406C" w:rsidR="00B27ED9" w:rsidRPr="00B27ED9" w:rsidRDefault="00B27ED9" w:rsidP="001B4A0A">
      <w:pPr>
        <w:spacing w:line="360" w:lineRule="auto"/>
        <w:rPr>
          <w:rFonts w:ascii="Arial" w:eastAsiaTheme="minorHAnsi" w:hAnsi="Arial" w:cs="Arial"/>
          <w:b/>
          <w:bCs/>
          <w:color w:val="4F81BD" w:themeColor="accent1"/>
          <w:lang w:val="en-CA"/>
        </w:rPr>
      </w:pPr>
      <w:r w:rsidRPr="00B27ED9">
        <w:rPr>
          <w:rFonts w:ascii="Arial" w:eastAsiaTheme="minorHAnsi" w:hAnsi="Arial" w:cs="Arial"/>
          <w:b/>
          <w:bCs/>
          <w:color w:val="4F81BD" w:themeColor="accent1"/>
          <w:lang w:val="en-CA"/>
        </w:rPr>
        <w:lastRenderedPageBreak/>
        <w:t>THUNDER BAY RATE ZONE</w:t>
      </w:r>
    </w:p>
    <w:bookmarkEnd w:id="27"/>
    <w:p w14:paraId="1B8910AD" w14:textId="77777777" w:rsidR="00B27ED9" w:rsidRDefault="00B27ED9" w:rsidP="009004FD">
      <w:pPr>
        <w:rPr>
          <w:rFonts w:ascii="Arial" w:eastAsiaTheme="minorHAnsi" w:hAnsi="Arial" w:cs="Arial"/>
          <w:sz w:val="20"/>
          <w:szCs w:val="22"/>
          <w:lang w:val="en-CA"/>
        </w:rPr>
      </w:pPr>
    </w:p>
    <w:p w14:paraId="46BF7348" w14:textId="00C9CE8D" w:rsidR="003A3893" w:rsidRPr="003A3893" w:rsidRDefault="003A3893" w:rsidP="003A3893">
      <w:pPr>
        <w:spacing w:line="276" w:lineRule="auto"/>
        <w:rPr>
          <w:rFonts w:ascii="Arial" w:eastAsiaTheme="minorHAnsi" w:hAnsi="Arial" w:cs="Arial"/>
          <w:b/>
          <w:u w:val="single"/>
          <w:lang w:val="en-CA"/>
        </w:rPr>
      </w:pPr>
      <w:r w:rsidRPr="003A3893">
        <w:rPr>
          <w:rFonts w:ascii="Arial" w:eastAsiaTheme="minorHAnsi" w:hAnsi="Arial" w:cs="Arial"/>
          <w:b/>
          <w:u w:val="single"/>
          <w:lang w:val="en-CA"/>
        </w:rPr>
        <w:t>Proposed Dispositions</w:t>
      </w:r>
    </w:p>
    <w:p w14:paraId="4B4A2747" w14:textId="5905AA19" w:rsidR="00EC2131" w:rsidRDefault="00EC2131" w:rsidP="00520579">
      <w:pPr>
        <w:rPr>
          <w:rFonts w:ascii="Arial" w:eastAsiaTheme="minorHAnsi" w:hAnsi="Arial" w:cs="Arial"/>
          <w:sz w:val="20"/>
          <w:szCs w:val="22"/>
          <w:lang w:val="en-CA"/>
        </w:rPr>
      </w:pPr>
    </w:p>
    <w:p w14:paraId="495B67BC" w14:textId="1DDFDAAE" w:rsidR="003A3893" w:rsidRDefault="003A3893" w:rsidP="001B4A0A">
      <w:pPr>
        <w:spacing w:line="360" w:lineRule="auto"/>
        <w:rPr>
          <w:rFonts w:ascii="Arial" w:eastAsiaTheme="minorHAnsi" w:hAnsi="Arial" w:cs="Arial"/>
          <w:sz w:val="20"/>
          <w:szCs w:val="22"/>
          <w:lang w:val="en-CA"/>
        </w:rPr>
      </w:pPr>
      <w:r w:rsidRPr="005D77C3">
        <w:rPr>
          <w:rFonts w:ascii="Arial" w:eastAsiaTheme="minorHAnsi" w:hAnsi="Arial" w:cs="Arial"/>
          <w:sz w:val="20"/>
          <w:szCs w:val="22"/>
          <w:lang w:val="en-CA"/>
        </w:rPr>
        <w:t xml:space="preserve">The total </w:t>
      </w:r>
      <w:r>
        <w:rPr>
          <w:rFonts w:ascii="Arial" w:eastAsiaTheme="minorHAnsi" w:hAnsi="Arial" w:cs="Arial"/>
          <w:sz w:val="20"/>
          <w:szCs w:val="22"/>
          <w:lang w:val="en-CA"/>
        </w:rPr>
        <w:t xml:space="preserve">of Group 1 Accounts 1588 &amp; 1589 to be disposed of for the </w:t>
      </w:r>
      <w:r w:rsidRPr="00FD3991">
        <w:rPr>
          <w:rFonts w:ascii="Arial" w:eastAsiaTheme="minorHAnsi" w:hAnsi="Arial" w:cs="Arial"/>
          <w:sz w:val="20"/>
          <w:szCs w:val="22"/>
          <w:lang w:val="en-CA"/>
        </w:rPr>
        <w:t xml:space="preserve">Thunder Bay Rate Zone is </w:t>
      </w:r>
      <w:r>
        <w:rPr>
          <w:rFonts w:ascii="Arial" w:eastAsiaTheme="minorHAnsi" w:hAnsi="Arial" w:cs="Arial"/>
          <w:sz w:val="20"/>
          <w:szCs w:val="22"/>
          <w:lang w:val="en-CA"/>
        </w:rPr>
        <w:t>$(</w:t>
      </w:r>
      <w:r w:rsidR="0058529D">
        <w:rPr>
          <w:rFonts w:ascii="Arial" w:eastAsiaTheme="minorHAnsi" w:hAnsi="Arial" w:cs="Arial"/>
          <w:sz w:val="20"/>
          <w:szCs w:val="22"/>
          <w:lang w:val="en-CA"/>
        </w:rPr>
        <w:t>414,668</w:t>
      </w:r>
      <w:r>
        <w:rPr>
          <w:rFonts w:ascii="Arial" w:eastAsiaTheme="minorHAnsi" w:hAnsi="Arial" w:cs="Arial"/>
          <w:sz w:val="20"/>
          <w:szCs w:val="22"/>
          <w:lang w:val="en-CA"/>
        </w:rPr>
        <w:t>)</w:t>
      </w:r>
      <w:r w:rsidRPr="00FD3991">
        <w:rPr>
          <w:rFonts w:ascii="Arial" w:eastAsiaTheme="minorHAnsi" w:hAnsi="Arial" w:cs="Arial"/>
          <w:sz w:val="20"/>
          <w:szCs w:val="22"/>
          <w:lang w:val="en-CA"/>
        </w:rPr>
        <w:t>.</w:t>
      </w:r>
    </w:p>
    <w:p w14:paraId="141D2988" w14:textId="77777777" w:rsidR="003A3893" w:rsidRDefault="003A3893" w:rsidP="00520579">
      <w:pPr>
        <w:rPr>
          <w:rFonts w:ascii="Arial" w:eastAsiaTheme="minorHAnsi" w:hAnsi="Arial" w:cs="Arial"/>
          <w:sz w:val="20"/>
          <w:szCs w:val="22"/>
          <w:lang w:val="en-CA"/>
        </w:rPr>
      </w:pPr>
    </w:p>
    <w:p w14:paraId="546AC957" w14:textId="455ADCFB" w:rsidR="003B7BFE" w:rsidRPr="005E3AA5" w:rsidRDefault="00EC2131" w:rsidP="005E3AA5">
      <w:pPr>
        <w:spacing w:after="200" w:line="276" w:lineRule="auto"/>
        <w:jc w:val="both"/>
        <w:rPr>
          <w:rFonts w:ascii="Arial" w:eastAsiaTheme="minorHAnsi" w:hAnsi="Arial" w:cs="Arial"/>
          <w:b/>
          <w:bCs/>
          <w:color w:val="4F81BD" w:themeColor="accent1"/>
          <w:lang w:val="en-CA"/>
        </w:rPr>
      </w:pPr>
      <w:r w:rsidRPr="005E3AA5">
        <w:rPr>
          <w:rFonts w:ascii="Arial" w:eastAsiaTheme="minorHAnsi" w:hAnsi="Arial" w:cs="Arial"/>
          <w:b/>
          <w:bCs/>
          <w:color w:val="4F81BD" w:themeColor="accent1"/>
          <w:lang w:val="en-CA"/>
        </w:rPr>
        <w:t xml:space="preserve">Table </w:t>
      </w:r>
      <w:r w:rsidR="00E7280D" w:rsidRPr="005E3AA5">
        <w:rPr>
          <w:rFonts w:ascii="Arial" w:eastAsiaTheme="minorHAnsi" w:hAnsi="Arial" w:cs="Arial"/>
          <w:b/>
          <w:bCs/>
          <w:color w:val="4F81BD" w:themeColor="accent1"/>
          <w:lang w:val="en-CA"/>
        </w:rPr>
        <w:t xml:space="preserve">2: </w:t>
      </w:r>
      <w:r w:rsidR="006D6541" w:rsidRPr="005E3AA5">
        <w:rPr>
          <w:rFonts w:ascii="Arial" w:eastAsiaTheme="minorHAnsi" w:hAnsi="Arial" w:cs="Arial"/>
          <w:b/>
          <w:bCs/>
          <w:color w:val="4F81BD" w:themeColor="accent1"/>
          <w:lang w:val="en-CA"/>
        </w:rPr>
        <w:t>Thunder Bay Rate Zone</w:t>
      </w:r>
      <w:r w:rsidR="006D6541">
        <w:rPr>
          <w:rFonts w:ascii="Arial" w:eastAsiaTheme="minorHAnsi" w:hAnsi="Arial" w:cs="Arial"/>
          <w:b/>
          <w:bCs/>
          <w:color w:val="4F81BD" w:themeColor="accent1"/>
          <w:lang w:val="en-CA"/>
        </w:rPr>
        <w:t xml:space="preserve"> </w:t>
      </w:r>
      <w:r w:rsidR="00B27ED9">
        <w:rPr>
          <w:rFonts w:ascii="Arial" w:eastAsiaTheme="minorHAnsi" w:hAnsi="Arial" w:cs="Arial"/>
          <w:b/>
          <w:bCs/>
          <w:color w:val="4F81BD" w:themeColor="accent1"/>
          <w:lang w:val="en-CA"/>
        </w:rPr>
        <w:t>P</w:t>
      </w:r>
      <w:r w:rsidRPr="005E3AA5">
        <w:rPr>
          <w:rFonts w:ascii="Arial" w:eastAsiaTheme="minorHAnsi" w:hAnsi="Arial" w:cs="Arial"/>
          <w:b/>
          <w:bCs/>
          <w:color w:val="4F81BD" w:themeColor="accent1"/>
          <w:lang w:val="en-CA"/>
        </w:rPr>
        <w:t xml:space="preserve">roposed </w:t>
      </w:r>
      <w:r w:rsidR="00B27ED9">
        <w:rPr>
          <w:rFonts w:ascii="Arial" w:eastAsiaTheme="minorHAnsi" w:hAnsi="Arial" w:cs="Arial"/>
          <w:b/>
          <w:bCs/>
          <w:color w:val="4F81BD" w:themeColor="accent1"/>
          <w:lang w:val="en-CA"/>
        </w:rPr>
        <w:t>D</w:t>
      </w:r>
      <w:r w:rsidRPr="005E3AA5">
        <w:rPr>
          <w:rFonts w:ascii="Arial" w:eastAsiaTheme="minorHAnsi" w:hAnsi="Arial" w:cs="Arial"/>
          <w:b/>
          <w:bCs/>
          <w:color w:val="4F81BD" w:themeColor="accent1"/>
          <w:lang w:val="en-CA"/>
        </w:rPr>
        <w:t xml:space="preserve">isposition by Principal and Interest </w:t>
      </w:r>
    </w:p>
    <w:p w14:paraId="74105256" w14:textId="66C5C842" w:rsidR="00EC2131" w:rsidRDefault="0058529D" w:rsidP="00744E63">
      <w:pPr>
        <w:spacing w:line="360" w:lineRule="auto"/>
        <w:jc w:val="center"/>
        <w:rPr>
          <w:rFonts w:ascii="Arial" w:eastAsiaTheme="minorHAnsi" w:hAnsi="Arial" w:cs="Arial"/>
          <w:sz w:val="20"/>
          <w:szCs w:val="22"/>
          <w:lang w:val="en-CA"/>
        </w:rPr>
      </w:pPr>
      <w:r>
        <w:rPr>
          <w:noProof/>
        </w:rPr>
        <w:drawing>
          <wp:inline distT="0" distB="0" distL="0" distR="0" wp14:anchorId="4CA075DA" wp14:editId="2ACD67F0">
            <wp:extent cx="5306695" cy="958339"/>
            <wp:effectExtent l="133350" t="133350" r="141605" b="12763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2"/>
                    <a:stretch>
                      <a:fillRect/>
                    </a:stretch>
                  </pic:blipFill>
                  <pic:spPr>
                    <a:xfrm>
                      <a:off x="0" y="0"/>
                      <a:ext cx="5330830" cy="962698"/>
                    </a:xfrm>
                    <a:prstGeom prst="rect">
                      <a:avLst/>
                    </a:prstGeom>
                    <a:effectLst>
                      <a:glow rad="127000">
                        <a:schemeClr val="accent1">
                          <a:lumMod val="60000"/>
                          <a:lumOff val="40000"/>
                        </a:schemeClr>
                      </a:glow>
                    </a:effectLst>
                  </pic:spPr>
                </pic:pic>
              </a:graphicData>
            </a:graphic>
          </wp:inline>
        </w:drawing>
      </w:r>
    </w:p>
    <w:p w14:paraId="36723CF1" w14:textId="1D470A7C" w:rsidR="008E643B" w:rsidRDefault="008E643B" w:rsidP="00744E63">
      <w:pPr>
        <w:spacing w:line="360" w:lineRule="auto"/>
        <w:jc w:val="center"/>
        <w:rPr>
          <w:rFonts w:ascii="Arial" w:eastAsiaTheme="minorHAnsi" w:hAnsi="Arial" w:cs="Arial"/>
          <w:sz w:val="20"/>
          <w:szCs w:val="22"/>
          <w:lang w:val="en-CA"/>
        </w:rPr>
      </w:pPr>
    </w:p>
    <w:p w14:paraId="4969F756" w14:textId="2E2FBCF3" w:rsidR="00413FB1" w:rsidRDefault="00413FB1" w:rsidP="00413FB1">
      <w:pPr>
        <w:spacing w:line="360" w:lineRule="auto"/>
        <w:rPr>
          <w:rFonts w:ascii="Arial" w:eastAsiaTheme="minorHAnsi" w:hAnsi="Arial" w:cs="Arial"/>
          <w:b/>
          <w:u w:val="single"/>
          <w:lang w:val="en-CA"/>
        </w:rPr>
      </w:pPr>
      <w:r>
        <w:rPr>
          <w:rFonts w:ascii="Arial" w:eastAsiaTheme="minorHAnsi" w:hAnsi="Arial" w:cs="Arial"/>
          <w:b/>
          <w:u w:val="single"/>
          <w:lang w:val="en-CA"/>
        </w:rPr>
        <w:t xml:space="preserve">Account 1588 Proposed </w:t>
      </w:r>
      <w:r w:rsidRPr="003A3893">
        <w:rPr>
          <w:rFonts w:ascii="Arial" w:eastAsiaTheme="minorHAnsi" w:hAnsi="Arial" w:cs="Arial"/>
          <w:b/>
          <w:u w:val="single"/>
          <w:lang w:val="en-CA"/>
        </w:rPr>
        <w:t>Disposition</w:t>
      </w:r>
    </w:p>
    <w:p w14:paraId="787087B9" w14:textId="77777777" w:rsidR="000D17F7" w:rsidRDefault="000D17F7" w:rsidP="00413FB1">
      <w:pPr>
        <w:spacing w:line="360" w:lineRule="auto"/>
        <w:rPr>
          <w:rFonts w:ascii="Arial" w:eastAsiaTheme="minorHAnsi" w:hAnsi="Arial" w:cs="Arial"/>
          <w:b/>
          <w:u w:val="single"/>
          <w:lang w:val="en-CA"/>
        </w:rPr>
      </w:pPr>
    </w:p>
    <w:p w14:paraId="7C4E48C7" w14:textId="77777777" w:rsidR="000D17F7" w:rsidRPr="000D17F7" w:rsidRDefault="000D17F7" w:rsidP="000D17F7">
      <w:pPr>
        <w:spacing w:line="276" w:lineRule="auto"/>
        <w:rPr>
          <w:rFonts w:ascii="Arial" w:eastAsiaTheme="minorHAnsi" w:hAnsi="Arial" w:cs="Arial"/>
          <w:b/>
          <w:sz w:val="20"/>
          <w:szCs w:val="20"/>
          <w:u w:val="single"/>
          <w:lang w:val="en-CA"/>
        </w:rPr>
      </w:pPr>
      <w:r w:rsidRPr="000D17F7">
        <w:rPr>
          <w:rFonts w:ascii="Arial" w:eastAsiaTheme="minorHAnsi" w:hAnsi="Arial" w:cs="Arial"/>
          <w:b/>
          <w:sz w:val="20"/>
          <w:szCs w:val="20"/>
          <w:u w:val="single"/>
          <w:lang w:val="en-CA"/>
        </w:rPr>
        <w:t>Retroactive Adjustment to Account 1588 for the Thunder Bay Rate Zone</w:t>
      </w:r>
    </w:p>
    <w:p w14:paraId="624AE4EA" w14:textId="77777777" w:rsidR="000D17F7" w:rsidRPr="007204AB" w:rsidRDefault="000D17F7" w:rsidP="000D17F7">
      <w:pPr>
        <w:spacing w:line="276" w:lineRule="auto"/>
        <w:rPr>
          <w:rFonts w:ascii="Arial" w:eastAsiaTheme="minorHAnsi" w:hAnsi="Arial" w:cs="Arial"/>
          <w:b/>
          <w:u w:val="single"/>
          <w:lang w:val="en-CA"/>
        </w:rPr>
      </w:pPr>
    </w:p>
    <w:p w14:paraId="6E3CD120" w14:textId="5205BB64" w:rsidR="000D17F7" w:rsidRDefault="000D17F7" w:rsidP="000D17F7">
      <w:pPr>
        <w:spacing w:line="360" w:lineRule="auto"/>
        <w:rPr>
          <w:rFonts w:ascii="Arial" w:eastAsiaTheme="minorHAnsi" w:hAnsi="Arial" w:cs="Arial"/>
          <w:sz w:val="20"/>
          <w:szCs w:val="22"/>
          <w:lang w:val="en-CA"/>
        </w:rPr>
      </w:pPr>
      <w:r>
        <w:rPr>
          <w:rFonts w:ascii="Arial" w:eastAsiaTheme="minorHAnsi" w:hAnsi="Arial" w:cs="Arial"/>
          <w:sz w:val="20"/>
          <w:szCs w:val="22"/>
          <w:lang w:val="en-CA"/>
        </w:rPr>
        <w:t xml:space="preserve">A </w:t>
      </w:r>
      <w:r w:rsidR="00FE0AF1">
        <w:rPr>
          <w:rFonts w:ascii="Arial" w:eastAsiaTheme="minorHAnsi" w:hAnsi="Arial" w:cs="Arial"/>
          <w:sz w:val="20"/>
          <w:szCs w:val="22"/>
          <w:lang w:val="en-CA"/>
        </w:rPr>
        <w:t xml:space="preserve">current year </w:t>
      </w:r>
      <w:r>
        <w:rPr>
          <w:rFonts w:ascii="Arial" w:eastAsiaTheme="minorHAnsi" w:hAnsi="Arial" w:cs="Arial"/>
          <w:sz w:val="20"/>
          <w:szCs w:val="22"/>
          <w:lang w:val="en-CA"/>
        </w:rPr>
        <w:t>principal adjustment</w:t>
      </w:r>
      <w:r w:rsidR="0058529D">
        <w:rPr>
          <w:rFonts w:ascii="Arial" w:eastAsiaTheme="minorHAnsi" w:hAnsi="Arial" w:cs="Arial"/>
          <w:sz w:val="20"/>
          <w:szCs w:val="22"/>
          <w:lang w:val="en-CA"/>
        </w:rPr>
        <w:t xml:space="preserve"> </w:t>
      </w:r>
      <w:r>
        <w:rPr>
          <w:rFonts w:ascii="Arial" w:eastAsiaTheme="minorHAnsi" w:hAnsi="Arial" w:cs="Arial"/>
          <w:sz w:val="20"/>
          <w:szCs w:val="22"/>
          <w:lang w:val="en-CA"/>
        </w:rPr>
        <w:t>to Account 1588 in the Thunder Bay Zone of $864,240</w:t>
      </w:r>
      <w:r w:rsidR="0058529D">
        <w:rPr>
          <w:rFonts w:ascii="Arial" w:eastAsiaTheme="minorHAnsi" w:hAnsi="Arial" w:cs="Arial"/>
          <w:sz w:val="20"/>
          <w:szCs w:val="22"/>
          <w:lang w:val="en-CA"/>
        </w:rPr>
        <w:t xml:space="preserve"> (2021 year), plus two retroactive adjustments of $442,963 (2020 year) and $236,071 (2019 year)</w:t>
      </w:r>
      <w:r>
        <w:rPr>
          <w:rFonts w:ascii="Arial" w:eastAsiaTheme="minorHAnsi" w:hAnsi="Arial" w:cs="Arial"/>
          <w:sz w:val="20"/>
          <w:szCs w:val="22"/>
          <w:lang w:val="en-CA"/>
        </w:rPr>
        <w:t xml:space="preserve"> ha</w:t>
      </w:r>
      <w:r w:rsidR="0058529D">
        <w:rPr>
          <w:rFonts w:ascii="Arial" w:eastAsiaTheme="minorHAnsi" w:hAnsi="Arial" w:cs="Arial"/>
          <w:sz w:val="20"/>
          <w:szCs w:val="22"/>
          <w:lang w:val="en-CA"/>
        </w:rPr>
        <w:t>ve</w:t>
      </w:r>
      <w:r>
        <w:rPr>
          <w:rFonts w:ascii="Arial" w:eastAsiaTheme="minorHAnsi" w:hAnsi="Arial" w:cs="Arial"/>
          <w:sz w:val="20"/>
          <w:szCs w:val="22"/>
          <w:lang w:val="en-CA"/>
        </w:rPr>
        <w:t xml:space="preserve"> been made in the “Principal Adjustments” Tab of the GA Workform, correcting the RTN NSOS error as indicated in Table 1, for 2021</w:t>
      </w:r>
      <w:r w:rsidR="0058529D">
        <w:rPr>
          <w:rFonts w:ascii="Arial" w:eastAsiaTheme="minorHAnsi" w:hAnsi="Arial" w:cs="Arial"/>
          <w:sz w:val="20"/>
          <w:szCs w:val="22"/>
          <w:lang w:val="en-CA"/>
        </w:rPr>
        <w:t>, 2020 and 2019</w:t>
      </w:r>
      <w:r>
        <w:rPr>
          <w:rFonts w:ascii="Arial" w:eastAsiaTheme="minorHAnsi" w:hAnsi="Arial" w:cs="Arial"/>
          <w:sz w:val="20"/>
          <w:szCs w:val="22"/>
          <w:lang w:val="en-CA"/>
        </w:rPr>
        <w:t>.  Errors occurring prior to 20</w:t>
      </w:r>
      <w:r w:rsidR="0058529D">
        <w:rPr>
          <w:rFonts w:ascii="Arial" w:eastAsiaTheme="minorHAnsi" w:hAnsi="Arial" w:cs="Arial"/>
          <w:sz w:val="20"/>
          <w:szCs w:val="22"/>
          <w:lang w:val="en-CA"/>
        </w:rPr>
        <w:t>19</w:t>
      </w:r>
      <w:r>
        <w:rPr>
          <w:rFonts w:ascii="Arial" w:eastAsiaTheme="minorHAnsi" w:hAnsi="Arial" w:cs="Arial"/>
          <w:sz w:val="20"/>
          <w:szCs w:val="22"/>
          <w:lang w:val="en-CA"/>
        </w:rPr>
        <w:t xml:space="preserve"> are not considered material and have not been included in this request for retroactive corrections to customers or correction with the IESO.</w:t>
      </w:r>
    </w:p>
    <w:p w14:paraId="0CA253ED" w14:textId="77777777" w:rsidR="000D17F7" w:rsidRDefault="000D17F7" w:rsidP="00413FB1">
      <w:pPr>
        <w:spacing w:line="360" w:lineRule="auto"/>
        <w:rPr>
          <w:rFonts w:ascii="Arial" w:eastAsiaTheme="minorHAnsi" w:hAnsi="Arial" w:cs="Arial"/>
          <w:sz w:val="20"/>
          <w:szCs w:val="22"/>
          <w:lang w:val="en-CA"/>
        </w:rPr>
      </w:pPr>
    </w:p>
    <w:p w14:paraId="30007191" w14:textId="152BC5BB" w:rsidR="00413FB1" w:rsidRPr="004D2142" w:rsidRDefault="004D2142" w:rsidP="00413FB1">
      <w:pPr>
        <w:spacing w:line="360" w:lineRule="auto"/>
        <w:rPr>
          <w:rFonts w:ascii="Arial" w:eastAsiaTheme="minorHAnsi" w:hAnsi="Arial" w:cs="Arial"/>
          <w:sz w:val="20"/>
          <w:szCs w:val="22"/>
          <w:lang w:val="en-CA"/>
        </w:rPr>
      </w:pPr>
      <w:r w:rsidRPr="004D2142">
        <w:rPr>
          <w:rFonts w:ascii="Arial" w:eastAsiaTheme="minorHAnsi" w:hAnsi="Arial" w:cs="Arial"/>
          <w:sz w:val="20"/>
          <w:szCs w:val="22"/>
          <w:lang w:val="en-CA"/>
        </w:rPr>
        <w:t>The balance of Account 1588 including the retroactive adjustment</w:t>
      </w:r>
      <w:r w:rsidR="0058529D">
        <w:rPr>
          <w:rFonts w:ascii="Arial" w:eastAsiaTheme="minorHAnsi" w:hAnsi="Arial" w:cs="Arial"/>
          <w:sz w:val="20"/>
          <w:szCs w:val="22"/>
          <w:lang w:val="en-CA"/>
        </w:rPr>
        <w:t xml:space="preserve">s </w:t>
      </w:r>
      <w:r w:rsidRPr="004D2142">
        <w:rPr>
          <w:rFonts w:ascii="Arial" w:eastAsiaTheme="minorHAnsi" w:hAnsi="Arial" w:cs="Arial"/>
          <w:sz w:val="20"/>
          <w:szCs w:val="22"/>
          <w:lang w:val="en-CA"/>
        </w:rPr>
        <w:t xml:space="preserve">is </w:t>
      </w:r>
      <w:r w:rsidR="0058529D">
        <w:rPr>
          <w:rFonts w:ascii="Arial" w:eastAsiaTheme="minorHAnsi" w:hAnsi="Arial" w:cs="Arial"/>
          <w:sz w:val="20"/>
          <w:szCs w:val="22"/>
          <w:lang w:val="en-CA"/>
        </w:rPr>
        <w:t>$603,990</w:t>
      </w:r>
      <w:r w:rsidRPr="004D2142">
        <w:rPr>
          <w:rFonts w:ascii="Arial" w:eastAsiaTheme="minorHAnsi" w:hAnsi="Arial" w:cs="Arial"/>
          <w:sz w:val="20"/>
          <w:szCs w:val="22"/>
          <w:lang w:val="en-CA"/>
        </w:rPr>
        <w:t>.  The following Table</w:t>
      </w:r>
      <w:r>
        <w:rPr>
          <w:rFonts w:ascii="Arial" w:eastAsiaTheme="minorHAnsi" w:hAnsi="Arial" w:cs="Arial"/>
          <w:sz w:val="20"/>
          <w:szCs w:val="22"/>
          <w:lang w:val="en-CA"/>
        </w:rPr>
        <w:t>,</w:t>
      </w:r>
      <w:r w:rsidRPr="004D2142">
        <w:rPr>
          <w:rFonts w:ascii="Arial" w:eastAsiaTheme="minorHAnsi" w:hAnsi="Arial" w:cs="Arial"/>
          <w:sz w:val="20"/>
          <w:szCs w:val="22"/>
          <w:lang w:val="en-CA"/>
        </w:rPr>
        <w:t xml:space="preserve"> taken from the IRM calculates the allocation by class and the resulting rate rider over a one year disposal period.</w:t>
      </w:r>
    </w:p>
    <w:p w14:paraId="6D255963" w14:textId="77777777" w:rsidR="00413FB1" w:rsidRDefault="00413FB1" w:rsidP="00744E63">
      <w:pPr>
        <w:spacing w:line="360" w:lineRule="auto"/>
        <w:jc w:val="center"/>
        <w:rPr>
          <w:rFonts w:ascii="Arial" w:eastAsiaTheme="minorHAnsi" w:hAnsi="Arial" w:cs="Arial"/>
          <w:sz w:val="20"/>
          <w:szCs w:val="22"/>
          <w:lang w:val="en-CA"/>
        </w:rPr>
      </w:pPr>
    </w:p>
    <w:p w14:paraId="4003AE30" w14:textId="21285311" w:rsidR="008E643B" w:rsidRPr="00B27ED9" w:rsidRDefault="008E643B" w:rsidP="008E643B">
      <w:pPr>
        <w:spacing w:after="200" w:line="276" w:lineRule="auto"/>
        <w:jc w:val="both"/>
        <w:rPr>
          <w:rFonts w:ascii="Arial" w:eastAsiaTheme="minorHAnsi" w:hAnsi="Arial" w:cs="Arial"/>
          <w:b/>
          <w:bCs/>
          <w:color w:val="4F81BD" w:themeColor="accent1"/>
          <w:lang w:val="en-CA"/>
        </w:rPr>
      </w:pPr>
      <w:r w:rsidRPr="00B27ED9">
        <w:rPr>
          <w:rFonts w:ascii="Arial" w:eastAsiaTheme="minorHAnsi" w:hAnsi="Arial" w:cs="Arial"/>
          <w:b/>
          <w:bCs/>
          <w:color w:val="4F81BD" w:themeColor="accent1"/>
          <w:lang w:val="en-CA"/>
        </w:rPr>
        <w:t xml:space="preserve">Table </w:t>
      </w:r>
      <w:r>
        <w:rPr>
          <w:rFonts w:ascii="Arial" w:eastAsiaTheme="minorHAnsi" w:hAnsi="Arial" w:cs="Arial"/>
          <w:b/>
          <w:bCs/>
          <w:color w:val="4F81BD" w:themeColor="accent1"/>
          <w:lang w:val="en-CA"/>
        </w:rPr>
        <w:t>3</w:t>
      </w:r>
      <w:r w:rsidRPr="00B27ED9">
        <w:rPr>
          <w:rFonts w:ascii="Arial" w:eastAsiaTheme="minorHAnsi" w:hAnsi="Arial" w:cs="Arial"/>
          <w:b/>
          <w:bCs/>
          <w:color w:val="4F81BD" w:themeColor="accent1"/>
          <w:lang w:val="en-CA"/>
        </w:rPr>
        <w:t xml:space="preserve">: </w:t>
      </w:r>
      <w:r>
        <w:rPr>
          <w:rFonts w:ascii="Arial" w:eastAsiaTheme="minorHAnsi" w:hAnsi="Arial" w:cs="Arial"/>
          <w:b/>
          <w:bCs/>
          <w:color w:val="4F81BD" w:themeColor="accent1"/>
          <w:lang w:val="en-CA"/>
        </w:rPr>
        <w:t>Thunder Bay</w:t>
      </w:r>
      <w:r w:rsidRPr="00B27ED9">
        <w:rPr>
          <w:rFonts w:ascii="Arial" w:eastAsiaTheme="minorHAnsi" w:hAnsi="Arial" w:cs="Arial"/>
          <w:b/>
          <w:bCs/>
          <w:color w:val="4F81BD" w:themeColor="accent1"/>
          <w:lang w:val="en-CA"/>
        </w:rPr>
        <w:t xml:space="preserve"> Rate Zone Group One 1588 Disposition and Riders </w:t>
      </w:r>
    </w:p>
    <w:p w14:paraId="4E4D2C1C" w14:textId="4B4D5234" w:rsidR="008E643B" w:rsidRDefault="008E643B" w:rsidP="00744E63">
      <w:pPr>
        <w:spacing w:line="360" w:lineRule="auto"/>
        <w:jc w:val="center"/>
        <w:rPr>
          <w:rFonts w:ascii="Arial" w:eastAsiaTheme="minorHAnsi" w:hAnsi="Arial" w:cs="Arial"/>
          <w:sz w:val="20"/>
          <w:szCs w:val="22"/>
          <w:lang w:val="en-CA"/>
        </w:rPr>
      </w:pPr>
    </w:p>
    <w:p w14:paraId="36FF4F3C" w14:textId="45ACD38B" w:rsidR="008E643B" w:rsidRDefault="0058529D" w:rsidP="00744E63">
      <w:pPr>
        <w:spacing w:line="360" w:lineRule="auto"/>
        <w:jc w:val="center"/>
        <w:rPr>
          <w:rFonts w:ascii="Arial" w:eastAsiaTheme="minorHAnsi" w:hAnsi="Arial" w:cs="Arial"/>
          <w:sz w:val="20"/>
          <w:szCs w:val="22"/>
          <w:lang w:val="en-CA"/>
        </w:rPr>
      </w:pPr>
      <w:r>
        <w:rPr>
          <w:noProof/>
        </w:rPr>
        <w:drawing>
          <wp:inline distT="0" distB="0" distL="0" distR="0" wp14:anchorId="123C5078" wp14:editId="7A87F76F">
            <wp:extent cx="5474335" cy="1414511"/>
            <wp:effectExtent l="133350" t="133350" r="126365" b="128905"/>
            <wp:docPr id="9" name="Picture 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able&#10;&#10;Description automatically generated"/>
                    <pic:cNvPicPr/>
                  </pic:nvPicPr>
                  <pic:blipFill>
                    <a:blip r:embed="rId13"/>
                    <a:stretch>
                      <a:fillRect/>
                    </a:stretch>
                  </pic:blipFill>
                  <pic:spPr>
                    <a:xfrm>
                      <a:off x="0" y="0"/>
                      <a:ext cx="5490671" cy="1418732"/>
                    </a:xfrm>
                    <a:prstGeom prst="rect">
                      <a:avLst/>
                    </a:prstGeom>
                    <a:effectLst>
                      <a:glow rad="127000">
                        <a:schemeClr val="accent1">
                          <a:lumMod val="60000"/>
                          <a:lumOff val="40000"/>
                        </a:schemeClr>
                      </a:glow>
                    </a:effectLst>
                  </pic:spPr>
                </pic:pic>
              </a:graphicData>
            </a:graphic>
          </wp:inline>
        </w:drawing>
      </w:r>
    </w:p>
    <w:p w14:paraId="4B596850" w14:textId="77777777" w:rsidR="008E643B" w:rsidRDefault="008E643B" w:rsidP="00744E63">
      <w:pPr>
        <w:spacing w:line="360" w:lineRule="auto"/>
        <w:jc w:val="center"/>
        <w:rPr>
          <w:rFonts w:ascii="Arial" w:eastAsiaTheme="minorHAnsi" w:hAnsi="Arial" w:cs="Arial"/>
          <w:sz w:val="20"/>
          <w:szCs w:val="22"/>
          <w:lang w:val="en-CA"/>
        </w:rPr>
      </w:pPr>
    </w:p>
    <w:p w14:paraId="319A7B92" w14:textId="5F70F1B7" w:rsidR="00413FB1" w:rsidRDefault="00413FB1" w:rsidP="00413FB1">
      <w:pPr>
        <w:spacing w:line="360" w:lineRule="auto"/>
        <w:rPr>
          <w:rFonts w:ascii="Arial" w:eastAsiaTheme="minorHAnsi" w:hAnsi="Arial" w:cs="Arial"/>
          <w:b/>
          <w:u w:val="single"/>
          <w:lang w:val="en-CA"/>
        </w:rPr>
      </w:pPr>
      <w:r>
        <w:rPr>
          <w:rFonts w:ascii="Arial" w:eastAsiaTheme="minorHAnsi" w:hAnsi="Arial" w:cs="Arial"/>
          <w:b/>
          <w:u w:val="single"/>
          <w:lang w:val="en-CA"/>
        </w:rPr>
        <w:lastRenderedPageBreak/>
        <w:t xml:space="preserve">Account 1589 Proposed </w:t>
      </w:r>
      <w:r w:rsidRPr="003A3893">
        <w:rPr>
          <w:rFonts w:ascii="Arial" w:eastAsiaTheme="minorHAnsi" w:hAnsi="Arial" w:cs="Arial"/>
          <w:b/>
          <w:u w:val="single"/>
          <w:lang w:val="en-CA"/>
        </w:rPr>
        <w:t>Disposition</w:t>
      </w:r>
    </w:p>
    <w:p w14:paraId="19A6DDDF" w14:textId="77777777" w:rsidR="00413FB1" w:rsidRDefault="00413FB1" w:rsidP="00BE7B70">
      <w:pPr>
        <w:autoSpaceDE w:val="0"/>
        <w:autoSpaceDN w:val="0"/>
        <w:adjustRightInd w:val="0"/>
        <w:spacing w:line="360" w:lineRule="auto"/>
        <w:jc w:val="both"/>
        <w:rPr>
          <w:rFonts w:ascii="Arial" w:eastAsiaTheme="minorHAnsi" w:hAnsi="Arial" w:cs="Arial"/>
          <w:sz w:val="20"/>
          <w:szCs w:val="22"/>
          <w:lang w:val="en-CA"/>
        </w:rPr>
      </w:pPr>
    </w:p>
    <w:p w14:paraId="07861A51" w14:textId="36CAB5A2" w:rsidR="00BE7B70" w:rsidRDefault="004344DB" w:rsidP="00BE7B70">
      <w:pPr>
        <w:autoSpaceDE w:val="0"/>
        <w:autoSpaceDN w:val="0"/>
        <w:adjustRightInd w:val="0"/>
        <w:spacing w:line="360" w:lineRule="auto"/>
        <w:jc w:val="both"/>
        <w:rPr>
          <w:rFonts w:ascii="Arial" w:eastAsiaTheme="minorHAnsi" w:hAnsi="Arial" w:cs="Arial"/>
          <w:sz w:val="20"/>
          <w:szCs w:val="22"/>
          <w:lang w:val="en-CA"/>
        </w:rPr>
      </w:pPr>
      <w:r w:rsidRPr="00FD3991">
        <w:rPr>
          <w:rFonts w:ascii="Arial" w:eastAsiaTheme="minorHAnsi" w:hAnsi="Arial" w:cs="Arial"/>
          <w:sz w:val="20"/>
          <w:szCs w:val="22"/>
          <w:lang w:val="en-CA"/>
        </w:rPr>
        <w:t xml:space="preserve">The RSVA Global Adjustment balance </w:t>
      </w:r>
      <w:r w:rsidR="00843CB4">
        <w:rPr>
          <w:rFonts w:ascii="Arial" w:eastAsiaTheme="minorHAnsi" w:hAnsi="Arial" w:cs="Arial"/>
          <w:sz w:val="20"/>
          <w:szCs w:val="22"/>
          <w:lang w:val="en-CA"/>
        </w:rPr>
        <w:t xml:space="preserve">for disposal </w:t>
      </w:r>
      <w:r w:rsidRPr="00FD3991">
        <w:rPr>
          <w:rFonts w:ascii="Arial" w:eastAsiaTheme="minorHAnsi" w:hAnsi="Arial" w:cs="Arial"/>
          <w:sz w:val="20"/>
          <w:szCs w:val="22"/>
          <w:lang w:val="en-CA"/>
        </w:rPr>
        <w:t xml:space="preserve">in account 1589 is </w:t>
      </w:r>
      <w:r w:rsidR="00627D31">
        <w:rPr>
          <w:rFonts w:ascii="Arial" w:eastAsiaTheme="minorHAnsi" w:hAnsi="Arial" w:cs="Arial"/>
          <w:sz w:val="20"/>
          <w:szCs w:val="22"/>
          <w:lang w:val="en-CA"/>
        </w:rPr>
        <w:t>$(</w:t>
      </w:r>
      <w:r w:rsidR="00E63769">
        <w:rPr>
          <w:rFonts w:ascii="Arial" w:eastAsiaTheme="minorHAnsi" w:hAnsi="Arial" w:cs="Arial"/>
          <w:sz w:val="20"/>
          <w:szCs w:val="22"/>
          <w:lang w:val="en-CA"/>
        </w:rPr>
        <w:t>1,0</w:t>
      </w:r>
      <w:r w:rsidR="00843CB4">
        <w:rPr>
          <w:rFonts w:ascii="Arial" w:eastAsiaTheme="minorHAnsi" w:hAnsi="Arial" w:cs="Arial"/>
          <w:sz w:val="20"/>
          <w:szCs w:val="22"/>
          <w:lang w:val="en-CA"/>
        </w:rPr>
        <w:t>18,658</w:t>
      </w:r>
      <w:r w:rsidR="00627D31">
        <w:rPr>
          <w:rFonts w:ascii="Arial" w:eastAsiaTheme="minorHAnsi" w:hAnsi="Arial" w:cs="Arial"/>
          <w:sz w:val="20"/>
          <w:szCs w:val="22"/>
          <w:lang w:val="en-CA"/>
        </w:rPr>
        <w:t xml:space="preserve">) </w:t>
      </w:r>
      <w:r w:rsidRPr="00FD3991">
        <w:rPr>
          <w:rFonts w:ascii="Arial" w:eastAsiaTheme="minorHAnsi" w:hAnsi="Arial" w:cs="Arial"/>
          <w:sz w:val="20"/>
          <w:szCs w:val="22"/>
          <w:lang w:val="en-CA"/>
        </w:rPr>
        <w:t xml:space="preserve">to be </w:t>
      </w:r>
      <w:r w:rsidR="009E7367">
        <w:rPr>
          <w:rFonts w:ascii="Arial" w:eastAsiaTheme="minorHAnsi" w:hAnsi="Arial" w:cs="Arial"/>
          <w:sz w:val="20"/>
          <w:szCs w:val="22"/>
          <w:lang w:val="en-CA"/>
        </w:rPr>
        <w:t xml:space="preserve">returned </w:t>
      </w:r>
      <w:r w:rsidR="00477601" w:rsidRPr="00FD3991">
        <w:rPr>
          <w:rFonts w:ascii="Arial" w:eastAsiaTheme="minorHAnsi" w:hAnsi="Arial" w:cs="Arial"/>
          <w:sz w:val="20"/>
          <w:szCs w:val="22"/>
          <w:lang w:val="en-CA"/>
        </w:rPr>
        <w:t>in a rate rider</w:t>
      </w:r>
      <w:r w:rsidRPr="00FD3991">
        <w:rPr>
          <w:rFonts w:ascii="Arial" w:eastAsiaTheme="minorHAnsi" w:hAnsi="Arial" w:cs="Arial"/>
          <w:sz w:val="20"/>
          <w:szCs w:val="22"/>
          <w:lang w:val="en-CA"/>
        </w:rPr>
        <w:t xml:space="preserve"> </w:t>
      </w:r>
      <w:r w:rsidR="00EA7AE0" w:rsidRPr="00FD3991">
        <w:rPr>
          <w:rFonts w:ascii="Arial" w:eastAsiaTheme="minorHAnsi" w:hAnsi="Arial" w:cs="Arial"/>
          <w:sz w:val="20"/>
          <w:szCs w:val="22"/>
          <w:lang w:val="en-CA"/>
        </w:rPr>
        <w:t>from</w:t>
      </w:r>
      <w:r w:rsidRPr="00FD3991">
        <w:rPr>
          <w:rFonts w:ascii="Arial" w:eastAsiaTheme="minorHAnsi" w:hAnsi="Arial" w:cs="Arial"/>
          <w:sz w:val="20"/>
          <w:szCs w:val="22"/>
          <w:lang w:val="en-CA"/>
        </w:rPr>
        <w:t xml:space="preserve"> </w:t>
      </w:r>
      <w:proofErr w:type="gramStart"/>
      <w:r w:rsidRPr="00FD3991">
        <w:rPr>
          <w:rFonts w:ascii="Arial" w:eastAsiaTheme="minorHAnsi" w:hAnsi="Arial" w:cs="Arial"/>
          <w:sz w:val="20"/>
          <w:szCs w:val="22"/>
          <w:lang w:val="en-CA"/>
        </w:rPr>
        <w:t>Non-RPP</w:t>
      </w:r>
      <w:proofErr w:type="gramEnd"/>
      <w:r w:rsidRPr="00FD3991">
        <w:rPr>
          <w:rFonts w:ascii="Arial" w:eastAsiaTheme="minorHAnsi" w:hAnsi="Arial" w:cs="Arial"/>
          <w:sz w:val="20"/>
          <w:szCs w:val="22"/>
          <w:lang w:val="en-CA"/>
        </w:rPr>
        <w:t xml:space="preserve"> customers (excluding Class A customers). </w:t>
      </w:r>
      <w:r w:rsidR="00843CB4">
        <w:rPr>
          <w:rFonts w:ascii="Arial" w:eastAsiaTheme="minorHAnsi" w:hAnsi="Arial" w:cs="Arial"/>
          <w:sz w:val="20"/>
          <w:szCs w:val="22"/>
          <w:lang w:val="en-CA"/>
        </w:rPr>
        <w:t>There was one transition customer from Class B to Class A during 2021</w:t>
      </w:r>
      <w:r w:rsidR="00150CBC">
        <w:rPr>
          <w:rFonts w:ascii="Arial" w:eastAsiaTheme="minorHAnsi" w:hAnsi="Arial" w:cs="Arial"/>
          <w:sz w:val="20"/>
          <w:szCs w:val="22"/>
          <w:lang w:val="en-CA"/>
        </w:rPr>
        <w:t xml:space="preserve"> (see Table 3)</w:t>
      </w:r>
      <w:r w:rsidR="00843CB4">
        <w:rPr>
          <w:rFonts w:ascii="Arial" w:eastAsiaTheme="minorHAnsi" w:hAnsi="Arial" w:cs="Arial"/>
          <w:sz w:val="20"/>
          <w:szCs w:val="22"/>
          <w:lang w:val="en-CA"/>
        </w:rPr>
        <w:t xml:space="preserve">, </w:t>
      </w:r>
      <w:r w:rsidR="00150CBC">
        <w:rPr>
          <w:rFonts w:ascii="Arial" w:eastAsiaTheme="minorHAnsi" w:hAnsi="Arial" w:cs="Arial"/>
          <w:sz w:val="20"/>
          <w:szCs w:val="22"/>
          <w:lang w:val="en-CA"/>
        </w:rPr>
        <w:t xml:space="preserve">reducing the </w:t>
      </w:r>
      <w:r w:rsidR="00843CB4">
        <w:rPr>
          <w:rFonts w:ascii="Arial" w:eastAsiaTheme="minorHAnsi" w:hAnsi="Arial" w:cs="Arial"/>
          <w:sz w:val="20"/>
          <w:szCs w:val="22"/>
          <w:lang w:val="en-CA"/>
        </w:rPr>
        <w:t xml:space="preserve">total </w:t>
      </w:r>
      <w:r w:rsidR="00150CBC">
        <w:rPr>
          <w:rFonts w:ascii="Arial" w:eastAsiaTheme="minorHAnsi" w:hAnsi="Arial" w:cs="Arial"/>
          <w:sz w:val="20"/>
          <w:szCs w:val="22"/>
          <w:lang w:val="en-CA"/>
        </w:rPr>
        <w:t xml:space="preserve">to </w:t>
      </w:r>
      <w:r w:rsidR="00843CB4">
        <w:rPr>
          <w:rFonts w:ascii="Arial" w:eastAsiaTheme="minorHAnsi" w:hAnsi="Arial" w:cs="Arial"/>
          <w:sz w:val="20"/>
          <w:szCs w:val="22"/>
          <w:lang w:val="en-CA"/>
        </w:rPr>
        <w:t xml:space="preserve">$(1,001,267) </w:t>
      </w:r>
      <w:r w:rsidR="00150CBC">
        <w:rPr>
          <w:rFonts w:ascii="Arial" w:eastAsiaTheme="minorHAnsi" w:hAnsi="Arial" w:cs="Arial"/>
          <w:sz w:val="20"/>
          <w:szCs w:val="22"/>
          <w:lang w:val="en-CA"/>
        </w:rPr>
        <w:t xml:space="preserve">which </w:t>
      </w:r>
      <w:r w:rsidR="00843CB4">
        <w:rPr>
          <w:rFonts w:ascii="Arial" w:eastAsiaTheme="minorHAnsi" w:hAnsi="Arial" w:cs="Arial"/>
          <w:sz w:val="20"/>
          <w:szCs w:val="22"/>
          <w:lang w:val="en-CA"/>
        </w:rPr>
        <w:t xml:space="preserve">will be disposed of to Class B Non-RPP customers. </w:t>
      </w:r>
    </w:p>
    <w:p w14:paraId="609FFC93" w14:textId="77777777" w:rsidR="00BE7B70" w:rsidRDefault="00BE7B70" w:rsidP="00744E63">
      <w:pPr>
        <w:autoSpaceDE w:val="0"/>
        <w:autoSpaceDN w:val="0"/>
        <w:adjustRightInd w:val="0"/>
        <w:jc w:val="both"/>
        <w:rPr>
          <w:rFonts w:ascii="Arial" w:eastAsiaTheme="minorHAnsi" w:hAnsi="Arial" w:cs="Arial"/>
          <w:sz w:val="20"/>
          <w:szCs w:val="22"/>
          <w:lang w:val="en-CA"/>
        </w:rPr>
      </w:pPr>
    </w:p>
    <w:p w14:paraId="45012886" w14:textId="5BF8861F" w:rsidR="004344DB" w:rsidRPr="005E3AA5" w:rsidRDefault="00E7280D" w:rsidP="00520579">
      <w:pPr>
        <w:spacing w:after="200" w:line="276" w:lineRule="auto"/>
        <w:jc w:val="both"/>
        <w:rPr>
          <w:rFonts w:ascii="Arial" w:eastAsiaTheme="minorHAnsi" w:hAnsi="Arial" w:cs="Arial"/>
          <w:b/>
          <w:bCs/>
          <w:color w:val="4F81BD" w:themeColor="accent1"/>
          <w:lang w:val="en-CA"/>
        </w:rPr>
      </w:pPr>
      <w:r w:rsidRPr="005E3AA5">
        <w:rPr>
          <w:rFonts w:ascii="Arial" w:eastAsiaTheme="minorHAnsi" w:hAnsi="Arial" w:cs="Arial"/>
          <w:b/>
          <w:bCs/>
          <w:color w:val="4F81BD" w:themeColor="accent1"/>
          <w:lang w:val="en-CA"/>
        </w:rPr>
        <w:t xml:space="preserve">Table </w:t>
      </w:r>
      <w:r w:rsidR="008E643B">
        <w:rPr>
          <w:rFonts w:ascii="Arial" w:eastAsiaTheme="minorHAnsi" w:hAnsi="Arial" w:cs="Arial"/>
          <w:b/>
          <w:bCs/>
          <w:color w:val="4F81BD" w:themeColor="accent1"/>
          <w:lang w:val="en-CA"/>
        </w:rPr>
        <w:t>4</w:t>
      </w:r>
      <w:r w:rsidRPr="005E3AA5">
        <w:rPr>
          <w:rFonts w:ascii="Arial" w:eastAsiaTheme="minorHAnsi" w:hAnsi="Arial" w:cs="Arial"/>
          <w:b/>
          <w:bCs/>
          <w:color w:val="4F81BD" w:themeColor="accent1"/>
          <w:lang w:val="en-CA"/>
        </w:rPr>
        <w:t xml:space="preserve">: </w:t>
      </w:r>
      <w:r w:rsidR="006D6541">
        <w:rPr>
          <w:rFonts w:ascii="Arial" w:eastAsiaTheme="minorHAnsi" w:hAnsi="Arial" w:cs="Arial"/>
          <w:b/>
          <w:bCs/>
          <w:color w:val="4F81BD" w:themeColor="accent1"/>
          <w:lang w:val="en-CA"/>
        </w:rPr>
        <w:t xml:space="preserve">Thunder Bay </w:t>
      </w:r>
      <w:r w:rsidRPr="005E3AA5">
        <w:rPr>
          <w:rFonts w:ascii="Arial" w:eastAsiaTheme="minorHAnsi" w:hAnsi="Arial" w:cs="Arial"/>
          <w:b/>
          <w:bCs/>
          <w:color w:val="4F81BD" w:themeColor="accent1"/>
          <w:lang w:val="en-CA"/>
        </w:rPr>
        <w:t xml:space="preserve">Account 1589 </w:t>
      </w:r>
      <w:r w:rsidR="006223EF">
        <w:rPr>
          <w:rFonts w:ascii="Arial" w:eastAsiaTheme="minorHAnsi" w:hAnsi="Arial" w:cs="Arial"/>
          <w:b/>
          <w:bCs/>
          <w:color w:val="4F81BD" w:themeColor="accent1"/>
          <w:lang w:val="en-CA"/>
        </w:rPr>
        <w:t xml:space="preserve">Disposition </w:t>
      </w:r>
      <w:r w:rsidRPr="005E3AA5">
        <w:rPr>
          <w:rFonts w:ascii="Arial" w:eastAsiaTheme="minorHAnsi" w:hAnsi="Arial" w:cs="Arial"/>
          <w:b/>
          <w:bCs/>
          <w:color w:val="4F81BD" w:themeColor="accent1"/>
          <w:lang w:val="en-CA"/>
        </w:rPr>
        <w:t>and Riders</w:t>
      </w:r>
    </w:p>
    <w:p w14:paraId="73373105" w14:textId="2881FF6F" w:rsidR="00EC2131" w:rsidRDefault="00725A9E" w:rsidP="00520579">
      <w:pPr>
        <w:spacing w:line="360" w:lineRule="auto"/>
        <w:jc w:val="center"/>
        <w:rPr>
          <w:rFonts w:ascii="Arial" w:eastAsiaTheme="minorHAnsi" w:hAnsi="Arial" w:cs="Arial"/>
          <w:sz w:val="20"/>
          <w:szCs w:val="22"/>
          <w:lang w:val="en-CA"/>
        </w:rPr>
      </w:pPr>
      <w:r>
        <w:rPr>
          <w:noProof/>
        </w:rPr>
        <w:drawing>
          <wp:inline distT="0" distB="0" distL="0" distR="0" wp14:anchorId="1E31181F" wp14:editId="6EC7422B">
            <wp:extent cx="4388485" cy="2374019"/>
            <wp:effectExtent l="133350" t="133350" r="126365" b="14097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a:stretch>
                      <a:fillRect/>
                    </a:stretch>
                  </pic:blipFill>
                  <pic:spPr>
                    <a:xfrm>
                      <a:off x="0" y="0"/>
                      <a:ext cx="4395381" cy="2377750"/>
                    </a:xfrm>
                    <a:prstGeom prst="rect">
                      <a:avLst/>
                    </a:prstGeom>
                    <a:effectLst>
                      <a:glow rad="127000">
                        <a:schemeClr val="accent1">
                          <a:lumMod val="60000"/>
                          <a:lumOff val="40000"/>
                        </a:schemeClr>
                      </a:glow>
                    </a:effectLst>
                  </pic:spPr>
                </pic:pic>
              </a:graphicData>
            </a:graphic>
          </wp:inline>
        </w:drawing>
      </w:r>
    </w:p>
    <w:p w14:paraId="7A969EBC" w14:textId="77777777" w:rsidR="00150CBC" w:rsidRPr="00312CC5" w:rsidRDefault="00150CBC" w:rsidP="00150CBC">
      <w:pPr>
        <w:autoSpaceDE w:val="0"/>
        <w:autoSpaceDN w:val="0"/>
        <w:adjustRightInd w:val="0"/>
        <w:spacing w:line="360" w:lineRule="auto"/>
        <w:jc w:val="both"/>
        <w:rPr>
          <w:rFonts w:ascii="Arial" w:eastAsiaTheme="minorHAnsi" w:hAnsi="Arial" w:cs="Arial"/>
          <w:sz w:val="20"/>
          <w:szCs w:val="22"/>
          <w:lang w:val="en-CA"/>
        </w:rPr>
      </w:pPr>
      <w:r w:rsidRPr="009340DD">
        <w:rPr>
          <w:rFonts w:ascii="Arial" w:eastAsiaTheme="minorHAnsi" w:hAnsi="Arial" w:cs="Arial"/>
          <w:sz w:val="20"/>
          <w:szCs w:val="22"/>
          <w:lang w:val="en-CA"/>
        </w:rPr>
        <w:t xml:space="preserve">GA rate riders </w:t>
      </w:r>
      <w:r>
        <w:rPr>
          <w:rFonts w:ascii="Arial" w:eastAsiaTheme="minorHAnsi" w:hAnsi="Arial" w:cs="Arial"/>
          <w:sz w:val="20"/>
          <w:szCs w:val="22"/>
          <w:lang w:val="en-CA"/>
        </w:rPr>
        <w:t xml:space="preserve">for all classes </w:t>
      </w:r>
      <w:r w:rsidRPr="009340DD">
        <w:rPr>
          <w:rFonts w:ascii="Arial" w:eastAsiaTheme="minorHAnsi" w:hAnsi="Arial" w:cs="Arial"/>
          <w:sz w:val="20"/>
          <w:szCs w:val="22"/>
          <w:lang w:val="en-CA"/>
        </w:rPr>
        <w:t>have been calculated on an energy basis (kWh) as per 2023 Filing</w:t>
      </w:r>
      <w:r w:rsidRPr="00312CC5">
        <w:rPr>
          <w:rFonts w:ascii="Arial" w:eastAsiaTheme="minorHAnsi" w:hAnsi="Arial" w:cs="Arial"/>
          <w:sz w:val="20"/>
          <w:szCs w:val="22"/>
          <w:lang w:val="en-CA"/>
        </w:rPr>
        <w:t xml:space="preserve"> Requirements</w:t>
      </w:r>
      <w:r>
        <w:rPr>
          <w:rFonts w:ascii="Arial" w:eastAsiaTheme="minorHAnsi" w:hAnsi="Arial" w:cs="Arial"/>
          <w:sz w:val="20"/>
          <w:szCs w:val="22"/>
          <w:lang w:val="en-CA"/>
        </w:rPr>
        <w:t xml:space="preserve"> </w:t>
      </w:r>
      <w:r w:rsidRPr="00312CC5">
        <w:rPr>
          <w:rFonts w:ascii="Arial" w:eastAsiaTheme="minorHAnsi" w:hAnsi="Arial" w:cs="Arial"/>
          <w:sz w:val="20"/>
          <w:szCs w:val="22"/>
          <w:lang w:val="en-CA"/>
        </w:rPr>
        <w:t>section 3.2.5.2 and can be</w:t>
      </w:r>
      <w:r>
        <w:rPr>
          <w:rFonts w:ascii="Arial" w:eastAsiaTheme="minorHAnsi" w:hAnsi="Arial" w:cs="Arial"/>
          <w:sz w:val="20"/>
          <w:szCs w:val="22"/>
          <w:lang w:val="en-CA"/>
        </w:rPr>
        <w:t xml:space="preserve"> found on Tab 6.1 ‘GA’ in the 2023 Thunder Bay Rate Zone</w:t>
      </w:r>
      <w:r w:rsidRPr="00312CC5">
        <w:rPr>
          <w:rFonts w:ascii="Arial" w:eastAsiaTheme="minorHAnsi" w:hAnsi="Arial" w:cs="Arial"/>
          <w:sz w:val="20"/>
          <w:szCs w:val="22"/>
          <w:lang w:val="en-CA"/>
        </w:rPr>
        <w:t xml:space="preserve"> IRM Rate Generator Model. </w:t>
      </w:r>
    </w:p>
    <w:p w14:paraId="4B99B0DE" w14:textId="77777777" w:rsidR="009004FD" w:rsidRDefault="009004FD" w:rsidP="009004FD">
      <w:pPr>
        <w:autoSpaceDE w:val="0"/>
        <w:autoSpaceDN w:val="0"/>
        <w:adjustRightInd w:val="0"/>
        <w:spacing w:line="276" w:lineRule="auto"/>
        <w:jc w:val="both"/>
        <w:rPr>
          <w:rFonts w:ascii="Arial" w:eastAsiaTheme="minorHAnsi" w:hAnsi="Arial" w:cs="Arial"/>
          <w:sz w:val="20"/>
          <w:szCs w:val="22"/>
          <w:lang w:val="en-CA"/>
        </w:rPr>
      </w:pPr>
    </w:p>
    <w:p w14:paraId="4595A33F" w14:textId="3119F35B" w:rsidR="004344DB" w:rsidRDefault="00C64110"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 xml:space="preserve">A </w:t>
      </w:r>
      <w:r w:rsidR="007B2A93">
        <w:rPr>
          <w:rFonts w:ascii="Arial" w:eastAsiaTheme="minorHAnsi" w:hAnsi="Arial" w:cs="Arial"/>
          <w:sz w:val="20"/>
          <w:szCs w:val="22"/>
          <w:lang w:val="en-CA"/>
        </w:rPr>
        <w:t xml:space="preserve">one-year disposition period is requested for the Group 1 </w:t>
      </w:r>
      <w:r>
        <w:rPr>
          <w:rFonts w:ascii="Arial" w:eastAsiaTheme="minorHAnsi" w:hAnsi="Arial" w:cs="Arial"/>
          <w:sz w:val="20"/>
          <w:szCs w:val="22"/>
          <w:lang w:val="en-CA"/>
        </w:rPr>
        <w:t>1588 &amp; 1589 RSVA</w:t>
      </w:r>
      <w:r w:rsidR="007B2A93">
        <w:rPr>
          <w:rFonts w:ascii="Arial" w:eastAsiaTheme="minorHAnsi" w:hAnsi="Arial" w:cs="Arial"/>
          <w:sz w:val="20"/>
          <w:szCs w:val="22"/>
          <w:lang w:val="en-CA"/>
        </w:rPr>
        <w:t xml:space="preserve"> Accounts, with rate riders effective May 1, </w:t>
      </w:r>
      <w:r w:rsidR="00C0612A">
        <w:rPr>
          <w:rFonts w:ascii="Arial" w:eastAsiaTheme="minorHAnsi" w:hAnsi="Arial" w:cs="Arial"/>
          <w:sz w:val="20"/>
          <w:szCs w:val="22"/>
          <w:lang w:val="en-CA"/>
        </w:rPr>
        <w:t>2023</w:t>
      </w:r>
      <w:r w:rsidR="00017818">
        <w:rPr>
          <w:rFonts w:ascii="Arial" w:eastAsiaTheme="minorHAnsi" w:hAnsi="Arial" w:cs="Arial"/>
          <w:sz w:val="20"/>
          <w:szCs w:val="22"/>
          <w:lang w:val="en-CA"/>
        </w:rPr>
        <w:t>,</w:t>
      </w:r>
      <w:r w:rsidR="007B2A93">
        <w:rPr>
          <w:rFonts w:ascii="Arial" w:eastAsiaTheme="minorHAnsi" w:hAnsi="Arial" w:cs="Arial"/>
          <w:sz w:val="20"/>
          <w:szCs w:val="22"/>
          <w:lang w:val="en-CA"/>
        </w:rPr>
        <w:t xml:space="preserve"> until April 30, 202</w:t>
      </w:r>
      <w:r w:rsidR="00C853E5">
        <w:rPr>
          <w:rFonts w:ascii="Arial" w:eastAsiaTheme="minorHAnsi" w:hAnsi="Arial" w:cs="Arial"/>
          <w:sz w:val="20"/>
          <w:szCs w:val="22"/>
          <w:lang w:val="en-CA"/>
        </w:rPr>
        <w:t>4</w:t>
      </w:r>
      <w:r w:rsidR="007B2A93">
        <w:rPr>
          <w:rFonts w:ascii="Arial" w:eastAsiaTheme="minorHAnsi" w:hAnsi="Arial" w:cs="Arial"/>
          <w:sz w:val="20"/>
          <w:szCs w:val="22"/>
          <w:lang w:val="en-CA"/>
        </w:rPr>
        <w:t xml:space="preserve">. </w:t>
      </w:r>
    </w:p>
    <w:p w14:paraId="245A4DE7" w14:textId="77777777" w:rsidR="009D47AF" w:rsidRDefault="009D47AF" w:rsidP="009D47AF">
      <w:pPr>
        <w:autoSpaceDE w:val="0"/>
        <w:autoSpaceDN w:val="0"/>
        <w:adjustRightInd w:val="0"/>
        <w:spacing w:line="360" w:lineRule="auto"/>
        <w:jc w:val="both"/>
        <w:rPr>
          <w:rFonts w:ascii="Arial" w:hAnsi="Arial" w:cs="Arial"/>
          <w:sz w:val="20"/>
          <w:szCs w:val="22"/>
          <w:lang w:eastAsia="en-CA"/>
        </w:rPr>
      </w:pPr>
      <w:bookmarkStart w:id="28" w:name="_Toc497556745"/>
    </w:p>
    <w:p w14:paraId="376B5542" w14:textId="690161E2" w:rsidR="009D47AF" w:rsidRDefault="009D47AF" w:rsidP="003A3893">
      <w:pPr>
        <w:autoSpaceDE w:val="0"/>
        <w:autoSpaceDN w:val="0"/>
        <w:adjustRightInd w:val="0"/>
        <w:jc w:val="both"/>
        <w:rPr>
          <w:rFonts w:ascii="Arial" w:hAnsi="Arial" w:cs="Arial"/>
          <w:b/>
          <w:sz w:val="20"/>
          <w:szCs w:val="22"/>
          <w:u w:val="single"/>
          <w:lang w:eastAsia="en-CA"/>
        </w:rPr>
      </w:pPr>
      <w:r w:rsidRPr="0007452E">
        <w:rPr>
          <w:rFonts w:ascii="Arial" w:hAnsi="Arial" w:cs="Arial"/>
          <w:b/>
          <w:sz w:val="20"/>
          <w:szCs w:val="22"/>
          <w:u w:val="single"/>
          <w:lang w:eastAsia="en-CA"/>
        </w:rPr>
        <w:t xml:space="preserve">Thunder Bay </w:t>
      </w:r>
      <w:r>
        <w:rPr>
          <w:rFonts w:ascii="Arial" w:hAnsi="Arial" w:cs="Arial"/>
          <w:b/>
          <w:sz w:val="20"/>
          <w:szCs w:val="22"/>
          <w:u w:val="single"/>
          <w:lang w:eastAsia="en-CA"/>
        </w:rPr>
        <w:t>Rate Zone Bill Impacts</w:t>
      </w:r>
    </w:p>
    <w:p w14:paraId="7514FE14" w14:textId="77777777" w:rsidR="003A3893" w:rsidRDefault="003A3893" w:rsidP="003A3893">
      <w:pPr>
        <w:autoSpaceDE w:val="0"/>
        <w:autoSpaceDN w:val="0"/>
        <w:adjustRightInd w:val="0"/>
        <w:jc w:val="both"/>
        <w:rPr>
          <w:rFonts w:ascii="Arial" w:hAnsi="Arial" w:cs="Arial"/>
          <w:b/>
          <w:sz w:val="20"/>
          <w:szCs w:val="22"/>
          <w:u w:val="single"/>
          <w:lang w:eastAsia="en-CA"/>
        </w:rPr>
      </w:pPr>
    </w:p>
    <w:p w14:paraId="696D9FEA" w14:textId="77777777" w:rsidR="006940ED" w:rsidRPr="0007452E" w:rsidRDefault="006940ED" w:rsidP="009D47AF">
      <w:pPr>
        <w:autoSpaceDE w:val="0"/>
        <w:autoSpaceDN w:val="0"/>
        <w:adjustRightInd w:val="0"/>
        <w:spacing w:line="360" w:lineRule="auto"/>
        <w:jc w:val="both"/>
        <w:rPr>
          <w:rFonts w:ascii="Arial" w:hAnsi="Arial" w:cs="Arial"/>
          <w:sz w:val="20"/>
          <w:szCs w:val="22"/>
          <w:lang w:eastAsia="en-CA"/>
        </w:rPr>
      </w:pPr>
    </w:p>
    <w:p w14:paraId="1C4DE184" w14:textId="682C7E41" w:rsidR="009D47AF" w:rsidRDefault="009D47AF" w:rsidP="006940ED">
      <w:pPr>
        <w:autoSpaceDE w:val="0"/>
        <w:autoSpaceDN w:val="0"/>
        <w:adjustRightInd w:val="0"/>
        <w:spacing w:line="360" w:lineRule="auto"/>
        <w:jc w:val="both"/>
        <w:rPr>
          <w:rFonts w:ascii="Arial" w:hAnsi="Arial" w:cs="Arial"/>
          <w:sz w:val="20"/>
          <w:szCs w:val="22"/>
          <w:lang w:eastAsia="en-CA"/>
        </w:rPr>
      </w:pPr>
      <w:r w:rsidRPr="00FD4DE0">
        <w:rPr>
          <w:rFonts w:ascii="Arial" w:hAnsi="Arial" w:cs="Arial"/>
          <w:sz w:val="20"/>
          <w:szCs w:val="22"/>
          <w:lang w:eastAsia="en-CA"/>
        </w:rPr>
        <w:t xml:space="preserve">Table </w:t>
      </w:r>
      <w:r w:rsidR="008E643B">
        <w:rPr>
          <w:rFonts w:ascii="Arial" w:hAnsi="Arial" w:cs="Arial"/>
          <w:sz w:val="20"/>
          <w:szCs w:val="22"/>
          <w:lang w:eastAsia="en-CA"/>
        </w:rPr>
        <w:t>5</w:t>
      </w:r>
      <w:r w:rsidR="00150CBC">
        <w:rPr>
          <w:rFonts w:ascii="Arial" w:hAnsi="Arial" w:cs="Arial"/>
          <w:sz w:val="20"/>
          <w:szCs w:val="22"/>
          <w:lang w:eastAsia="en-CA"/>
        </w:rPr>
        <w:t xml:space="preserve"> is</w:t>
      </w:r>
      <w:r w:rsidRPr="00FD4DE0">
        <w:rPr>
          <w:rFonts w:ascii="Arial" w:hAnsi="Arial" w:cs="Arial"/>
          <w:sz w:val="20"/>
          <w:szCs w:val="22"/>
          <w:lang w:eastAsia="en-CA"/>
        </w:rPr>
        <w:t xml:space="preserve"> a summary of the bill impact for each rate class, based on Tab 20 of the </w:t>
      </w:r>
      <w:r>
        <w:rPr>
          <w:rFonts w:ascii="Arial" w:hAnsi="Arial" w:cs="Arial"/>
          <w:sz w:val="20"/>
          <w:szCs w:val="22"/>
        </w:rPr>
        <w:t>2023</w:t>
      </w:r>
      <w:r w:rsidRPr="00FD4DE0">
        <w:rPr>
          <w:rFonts w:ascii="Arial" w:hAnsi="Arial" w:cs="Arial"/>
          <w:sz w:val="20"/>
          <w:szCs w:val="22"/>
        </w:rPr>
        <w:t xml:space="preserve"> IRM Rate Generator Mode</w:t>
      </w:r>
      <w:r w:rsidRPr="00FD4DE0">
        <w:rPr>
          <w:rFonts w:ascii="Arial" w:hAnsi="Arial" w:cs="Arial"/>
          <w:sz w:val="20"/>
          <w:szCs w:val="22"/>
          <w:lang w:eastAsia="en-CA"/>
        </w:rPr>
        <w:t>l</w:t>
      </w:r>
      <w:r>
        <w:rPr>
          <w:rFonts w:ascii="Arial" w:hAnsi="Arial" w:cs="Arial"/>
          <w:sz w:val="20"/>
          <w:szCs w:val="22"/>
          <w:lang w:eastAsia="en-CA"/>
        </w:rPr>
        <w:t xml:space="preserve"> for the Account 1588 &amp; 1589 Riders.</w:t>
      </w:r>
      <w:r w:rsidR="0050245E">
        <w:rPr>
          <w:rFonts w:ascii="Arial" w:hAnsi="Arial" w:cs="Arial"/>
          <w:sz w:val="20"/>
          <w:szCs w:val="22"/>
          <w:lang w:eastAsia="en-CA"/>
        </w:rPr>
        <w:t xml:space="preserve">  Column “F” in Tab 20 </w:t>
      </w:r>
      <w:r w:rsidR="005408F5">
        <w:rPr>
          <w:rFonts w:ascii="Arial" w:hAnsi="Arial" w:cs="Arial"/>
          <w:sz w:val="20"/>
          <w:szCs w:val="22"/>
          <w:lang w:eastAsia="en-CA"/>
        </w:rPr>
        <w:t xml:space="preserve">of the IRM </w:t>
      </w:r>
      <w:r w:rsidR="0050245E">
        <w:rPr>
          <w:rFonts w:ascii="Arial" w:hAnsi="Arial" w:cs="Arial"/>
          <w:sz w:val="20"/>
          <w:szCs w:val="22"/>
          <w:lang w:eastAsia="en-CA"/>
        </w:rPr>
        <w:t>has been input as the Rates submitted in “Phase 1” of EB-2022-0063 to calculate the impact of the riders in this Bifurcated application.</w:t>
      </w:r>
    </w:p>
    <w:p w14:paraId="0473C15B" w14:textId="67CD7255" w:rsidR="00150CBC" w:rsidRDefault="00150CBC" w:rsidP="009D47AF">
      <w:pPr>
        <w:autoSpaceDE w:val="0"/>
        <w:autoSpaceDN w:val="0"/>
        <w:adjustRightInd w:val="0"/>
        <w:spacing w:line="360" w:lineRule="auto"/>
        <w:jc w:val="both"/>
        <w:rPr>
          <w:rFonts w:ascii="Arial" w:hAnsi="Arial" w:cs="Arial"/>
          <w:sz w:val="20"/>
          <w:szCs w:val="22"/>
          <w:lang w:eastAsia="en-CA"/>
        </w:rPr>
      </w:pPr>
    </w:p>
    <w:p w14:paraId="5390F0AE" w14:textId="77777777" w:rsidR="006F33AE" w:rsidRDefault="006F33AE">
      <w:pPr>
        <w:spacing w:after="200" w:line="276" w:lineRule="auto"/>
        <w:rPr>
          <w:rFonts w:ascii="Arial" w:eastAsiaTheme="minorHAnsi" w:hAnsi="Arial" w:cs="Arial"/>
          <w:b/>
          <w:bCs/>
          <w:color w:val="4F81BD" w:themeColor="accent1"/>
          <w:lang w:val="en-CA"/>
        </w:rPr>
      </w:pPr>
      <w:r>
        <w:rPr>
          <w:rFonts w:ascii="Arial" w:eastAsiaTheme="minorHAnsi" w:hAnsi="Arial" w:cs="Arial"/>
          <w:b/>
          <w:bCs/>
          <w:color w:val="4F81BD" w:themeColor="accent1"/>
          <w:lang w:val="en-CA"/>
        </w:rPr>
        <w:br w:type="page"/>
      </w:r>
    </w:p>
    <w:p w14:paraId="2F157EF1" w14:textId="25193848" w:rsidR="00150CBC" w:rsidRPr="005E3AA5" w:rsidRDefault="00150CBC" w:rsidP="00150CBC">
      <w:pPr>
        <w:spacing w:after="200" w:line="276" w:lineRule="auto"/>
        <w:jc w:val="both"/>
        <w:rPr>
          <w:rFonts w:ascii="Arial" w:eastAsiaTheme="minorHAnsi" w:hAnsi="Arial" w:cs="Arial"/>
          <w:b/>
          <w:bCs/>
          <w:color w:val="4F81BD" w:themeColor="accent1"/>
          <w:lang w:val="en-CA"/>
        </w:rPr>
      </w:pPr>
      <w:r w:rsidRPr="005E3AA5">
        <w:rPr>
          <w:rFonts w:ascii="Arial" w:eastAsiaTheme="minorHAnsi" w:hAnsi="Arial" w:cs="Arial"/>
          <w:b/>
          <w:bCs/>
          <w:color w:val="4F81BD" w:themeColor="accent1"/>
          <w:lang w:val="en-CA"/>
        </w:rPr>
        <w:lastRenderedPageBreak/>
        <w:t xml:space="preserve">Table </w:t>
      </w:r>
      <w:r w:rsidR="008E643B">
        <w:rPr>
          <w:rFonts w:ascii="Arial" w:eastAsiaTheme="minorHAnsi" w:hAnsi="Arial" w:cs="Arial"/>
          <w:b/>
          <w:bCs/>
          <w:color w:val="4F81BD" w:themeColor="accent1"/>
          <w:lang w:val="en-CA"/>
        </w:rPr>
        <w:t>5</w:t>
      </w:r>
      <w:r w:rsidRPr="005E3AA5">
        <w:rPr>
          <w:rFonts w:ascii="Arial" w:eastAsiaTheme="minorHAnsi" w:hAnsi="Arial" w:cs="Arial"/>
          <w:b/>
          <w:bCs/>
          <w:color w:val="4F81BD" w:themeColor="accent1"/>
          <w:lang w:val="en-CA"/>
        </w:rPr>
        <w:t xml:space="preserve"> : </w:t>
      </w:r>
      <w:r>
        <w:rPr>
          <w:rFonts w:ascii="Arial" w:eastAsiaTheme="minorHAnsi" w:hAnsi="Arial" w:cs="Arial"/>
          <w:b/>
          <w:bCs/>
          <w:color w:val="4F81BD" w:themeColor="accent1"/>
          <w:lang w:val="en-CA"/>
        </w:rPr>
        <w:t xml:space="preserve">Thunder Bay </w:t>
      </w:r>
      <w:r w:rsidRPr="00B629CE">
        <w:rPr>
          <w:rFonts w:ascii="Arial" w:eastAsiaTheme="minorHAnsi" w:hAnsi="Arial" w:cs="Arial"/>
          <w:b/>
          <w:bCs/>
          <w:color w:val="4F81BD" w:themeColor="accent1"/>
          <w:lang w:val="en-CA"/>
        </w:rPr>
        <w:t>Rate Zone 2023 Bill Impact Summary</w:t>
      </w:r>
    </w:p>
    <w:bookmarkEnd w:id="28"/>
    <w:p w14:paraId="3703351E" w14:textId="5774F868" w:rsidR="00520579" w:rsidRDefault="0050245E">
      <w:pPr>
        <w:spacing w:after="200" w:line="276" w:lineRule="auto"/>
        <w:rPr>
          <w:rFonts w:ascii="Arial" w:eastAsiaTheme="minorHAnsi" w:hAnsi="Arial" w:cs="Arial"/>
          <w:b/>
          <w:bCs/>
          <w:color w:val="4F81BD" w:themeColor="accent1"/>
          <w:lang w:val="en-CA"/>
        </w:rPr>
      </w:pPr>
      <w:r>
        <w:rPr>
          <w:noProof/>
        </w:rPr>
        <w:drawing>
          <wp:inline distT="0" distB="0" distL="0" distR="0" wp14:anchorId="3D6A9CAD" wp14:editId="215CC6BE">
            <wp:extent cx="6301105" cy="1045845"/>
            <wp:effectExtent l="133350" t="133350" r="137795" b="13525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5"/>
                    <a:stretch>
                      <a:fillRect/>
                    </a:stretch>
                  </pic:blipFill>
                  <pic:spPr>
                    <a:xfrm>
                      <a:off x="0" y="0"/>
                      <a:ext cx="6301105" cy="1045845"/>
                    </a:xfrm>
                    <a:prstGeom prst="rect">
                      <a:avLst/>
                    </a:prstGeom>
                    <a:effectLst>
                      <a:glow rad="127000">
                        <a:schemeClr val="accent1">
                          <a:lumMod val="60000"/>
                          <a:lumOff val="40000"/>
                        </a:schemeClr>
                      </a:glow>
                    </a:effectLst>
                  </pic:spPr>
                </pic:pic>
              </a:graphicData>
            </a:graphic>
          </wp:inline>
        </w:drawing>
      </w:r>
    </w:p>
    <w:p w14:paraId="24D2C7CF" w14:textId="67FD7950" w:rsidR="00B27ED9" w:rsidRDefault="00B27ED9" w:rsidP="00B27ED9">
      <w:pPr>
        <w:spacing w:line="360" w:lineRule="auto"/>
        <w:rPr>
          <w:rFonts w:ascii="Arial" w:eastAsiaTheme="minorHAnsi" w:hAnsi="Arial" w:cs="Arial"/>
          <w:b/>
          <w:bCs/>
          <w:color w:val="4F81BD" w:themeColor="accent1"/>
          <w:lang w:val="en-CA"/>
        </w:rPr>
      </w:pPr>
      <w:r>
        <w:rPr>
          <w:rFonts w:ascii="Arial" w:eastAsiaTheme="minorHAnsi" w:hAnsi="Arial" w:cs="Arial"/>
          <w:b/>
          <w:bCs/>
          <w:color w:val="4F81BD" w:themeColor="accent1"/>
          <w:lang w:val="en-CA"/>
        </w:rPr>
        <w:t>KENORA</w:t>
      </w:r>
      <w:r w:rsidRPr="00B27ED9">
        <w:rPr>
          <w:rFonts w:ascii="Arial" w:eastAsiaTheme="minorHAnsi" w:hAnsi="Arial" w:cs="Arial"/>
          <w:b/>
          <w:bCs/>
          <w:color w:val="4F81BD" w:themeColor="accent1"/>
          <w:lang w:val="en-CA"/>
        </w:rPr>
        <w:t xml:space="preserve"> RATE ZONE</w:t>
      </w:r>
    </w:p>
    <w:p w14:paraId="0223D233" w14:textId="77777777" w:rsidR="006223EF" w:rsidRDefault="006223EF" w:rsidP="00B27ED9">
      <w:pPr>
        <w:spacing w:line="360" w:lineRule="auto"/>
        <w:rPr>
          <w:rFonts w:ascii="Arial" w:eastAsiaTheme="minorHAnsi" w:hAnsi="Arial" w:cs="Arial"/>
          <w:b/>
          <w:bCs/>
          <w:color w:val="4F81BD" w:themeColor="accent1"/>
          <w:lang w:val="en-CA"/>
        </w:rPr>
      </w:pPr>
    </w:p>
    <w:p w14:paraId="42EBB7F8" w14:textId="77777777" w:rsidR="006223EF" w:rsidRPr="003A3893" w:rsidRDefault="006223EF" w:rsidP="006223EF">
      <w:pPr>
        <w:spacing w:line="276" w:lineRule="auto"/>
        <w:rPr>
          <w:rFonts w:ascii="Arial" w:eastAsiaTheme="minorHAnsi" w:hAnsi="Arial" w:cs="Arial"/>
          <w:b/>
          <w:u w:val="single"/>
          <w:lang w:val="en-CA"/>
        </w:rPr>
      </w:pPr>
      <w:r w:rsidRPr="003A3893">
        <w:rPr>
          <w:rFonts w:ascii="Arial" w:eastAsiaTheme="minorHAnsi" w:hAnsi="Arial" w:cs="Arial"/>
          <w:b/>
          <w:u w:val="single"/>
          <w:lang w:val="en-CA"/>
        </w:rPr>
        <w:t>Proposed Dispositions</w:t>
      </w:r>
    </w:p>
    <w:p w14:paraId="283CB92D" w14:textId="3C98C625" w:rsidR="000D17F7" w:rsidRDefault="000D17F7" w:rsidP="00B27ED9">
      <w:pPr>
        <w:spacing w:line="360" w:lineRule="auto"/>
        <w:rPr>
          <w:rFonts w:ascii="Arial" w:eastAsiaTheme="minorHAnsi" w:hAnsi="Arial" w:cs="Arial"/>
          <w:b/>
          <w:bCs/>
          <w:color w:val="4F81BD" w:themeColor="accent1"/>
          <w:lang w:val="en-CA"/>
        </w:rPr>
      </w:pPr>
    </w:p>
    <w:p w14:paraId="278DF9C6" w14:textId="7560F411" w:rsidR="000D17F7" w:rsidRDefault="000D17F7" w:rsidP="000D17F7">
      <w:pPr>
        <w:autoSpaceDE w:val="0"/>
        <w:autoSpaceDN w:val="0"/>
        <w:adjustRightInd w:val="0"/>
        <w:spacing w:line="360" w:lineRule="auto"/>
        <w:jc w:val="both"/>
        <w:rPr>
          <w:rFonts w:ascii="Arial" w:eastAsiaTheme="minorHAnsi" w:hAnsi="Arial" w:cs="Arial"/>
          <w:sz w:val="20"/>
          <w:szCs w:val="22"/>
          <w:lang w:val="en-CA"/>
        </w:rPr>
      </w:pPr>
      <w:r w:rsidRPr="005D77C3">
        <w:rPr>
          <w:rFonts w:ascii="Arial" w:eastAsiaTheme="minorHAnsi" w:hAnsi="Arial" w:cs="Arial"/>
          <w:sz w:val="20"/>
          <w:szCs w:val="22"/>
          <w:lang w:val="en-CA"/>
        </w:rPr>
        <w:t xml:space="preserve">The total </w:t>
      </w:r>
      <w:r>
        <w:rPr>
          <w:rFonts w:ascii="Arial" w:eastAsiaTheme="minorHAnsi" w:hAnsi="Arial" w:cs="Arial"/>
          <w:sz w:val="20"/>
          <w:szCs w:val="22"/>
          <w:lang w:val="en-CA"/>
        </w:rPr>
        <w:t xml:space="preserve">of Group 1 1588 &amp; 1589 Accounts </w:t>
      </w:r>
      <w:r w:rsidRPr="00FD3991">
        <w:rPr>
          <w:rFonts w:ascii="Arial" w:eastAsiaTheme="minorHAnsi" w:hAnsi="Arial" w:cs="Arial"/>
          <w:sz w:val="20"/>
          <w:szCs w:val="22"/>
          <w:lang w:val="en-CA"/>
        </w:rPr>
        <w:t>to be disposed of for the Kenora Rate Zone is $</w:t>
      </w:r>
      <w:r>
        <w:rPr>
          <w:rFonts w:ascii="Arial" w:eastAsiaTheme="minorHAnsi" w:hAnsi="Arial" w:cs="Arial"/>
          <w:sz w:val="20"/>
          <w:szCs w:val="22"/>
          <w:lang w:val="en-CA"/>
        </w:rPr>
        <w:t>(40,762)</w:t>
      </w:r>
      <w:r w:rsidRPr="00FD3991">
        <w:rPr>
          <w:rFonts w:ascii="Arial" w:eastAsiaTheme="minorHAnsi" w:hAnsi="Arial" w:cs="Arial"/>
          <w:sz w:val="20"/>
          <w:szCs w:val="22"/>
          <w:lang w:val="en-CA"/>
        </w:rPr>
        <w:t xml:space="preserve">. </w:t>
      </w:r>
    </w:p>
    <w:p w14:paraId="2380163B" w14:textId="77777777" w:rsidR="000D17F7" w:rsidRDefault="000D17F7" w:rsidP="000D17F7">
      <w:pPr>
        <w:autoSpaceDE w:val="0"/>
        <w:autoSpaceDN w:val="0"/>
        <w:adjustRightInd w:val="0"/>
        <w:spacing w:line="360" w:lineRule="auto"/>
        <w:jc w:val="both"/>
        <w:rPr>
          <w:rFonts w:ascii="Arial" w:eastAsiaTheme="minorHAnsi" w:hAnsi="Arial" w:cs="Arial"/>
          <w:sz w:val="20"/>
          <w:szCs w:val="22"/>
          <w:lang w:val="en-CA"/>
        </w:rPr>
      </w:pPr>
    </w:p>
    <w:p w14:paraId="3F226512" w14:textId="77777777" w:rsidR="000D17F7" w:rsidRPr="00B27ED9" w:rsidRDefault="000D17F7" w:rsidP="000D17F7">
      <w:pPr>
        <w:spacing w:after="200" w:line="276" w:lineRule="auto"/>
        <w:jc w:val="both"/>
        <w:rPr>
          <w:rFonts w:ascii="Arial" w:eastAsiaTheme="minorHAnsi" w:hAnsi="Arial" w:cs="Arial"/>
          <w:b/>
          <w:bCs/>
          <w:color w:val="4F81BD" w:themeColor="accent1"/>
          <w:lang w:val="en-CA"/>
        </w:rPr>
      </w:pPr>
      <w:r w:rsidRPr="00B27ED9">
        <w:rPr>
          <w:rFonts w:ascii="Arial" w:eastAsiaTheme="minorHAnsi" w:hAnsi="Arial" w:cs="Arial"/>
          <w:b/>
          <w:bCs/>
          <w:color w:val="4F81BD" w:themeColor="accent1"/>
          <w:lang w:val="en-CA"/>
        </w:rPr>
        <w:t xml:space="preserve">Table </w:t>
      </w:r>
      <w:r>
        <w:rPr>
          <w:rFonts w:ascii="Arial" w:eastAsiaTheme="minorHAnsi" w:hAnsi="Arial" w:cs="Arial"/>
          <w:b/>
          <w:bCs/>
          <w:color w:val="4F81BD" w:themeColor="accent1"/>
          <w:lang w:val="en-CA"/>
        </w:rPr>
        <w:t xml:space="preserve">6: </w:t>
      </w:r>
      <w:r w:rsidRPr="00B27ED9">
        <w:rPr>
          <w:rFonts w:ascii="Arial" w:eastAsiaTheme="minorHAnsi" w:hAnsi="Arial" w:cs="Arial"/>
          <w:b/>
          <w:bCs/>
          <w:color w:val="4F81BD" w:themeColor="accent1"/>
          <w:lang w:val="en-CA"/>
        </w:rPr>
        <w:t xml:space="preserve">Kenora Rate Zone </w:t>
      </w:r>
      <w:r>
        <w:rPr>
          <w:rFonts w:ascii="Arial" w:eastAsiaTheme="minorHAnsi" w:hAnsi="Arial" w:cs="Arial"/>
          <w:b/>
          <w:bCs/>
          <w:color w:val="4F81BD" w:themeColor="accent1"/>
          <w:lang w:val="en-CA"/>
        </w:rPr>
        <w:t>P</w:t>
      </w:r>
      <w:r w:rsidRPr="00B27ED9">
        <w:rPr>
          <w:rFonts w:ascii="Arial" w:eastAsiaTheme="minorHAnsi" w:hAnsi="Arial" w:cs="Arial"/>
          <w:b/>
          <w:bCs/>
          <w:color w:val="4F81BD" w:themeColor="accent1"/>
          <w:lang w:val="en-CA"/>
        </w:rPr>
        <w:t xml:space="preserve">roposed </w:t>
      </w:r>
      <w:r>
        <w:rPr>
          <w:rFonts w:ascii="Arial" w:eastAsiaTheme="minorHAnsi" w:hAnsi="Arial" w:cs="Arial"/>
          <w:b/>
          <w:bCs/>
          <w:color w:val="4F81BD" w:themeColor="accent1"/>
          <w:lang w:val="en-CA"/>
        </w:rPr>
        <w:t>D</w:t>
      </w:r>
      <w:r w:rsidRPr="00B27ED9">
        <w:rPr>
          <w:rFonts w:ascii="Arial" w:eastAsiaTheme="minorHAnsi" w:hAnsi="Arial" w:cs="Arial"/>
          <w:b/>
          <w:bCs/>
          <w:color w:val="4F81BD" w:themeColor="accent1"/>
          <w:lang w:val="en-CA"/>
        </w:rPr>
        <w:t>isposition</w:t>
      </w:r>
      <w:r>
        <w:rPr>
          <w:rFonts w:ascii="Arial" w:eastAsiaTheme="minorHAnsi" w:hAnsi="Arial" w:cs="Arial"/>
          <w:b/>
          <w:bCs/>
          <w:color w:val="4F81BD" w:themeColor="accent1"/>
          <w:lang w:val="en-CA"/>
        </w:rPr>
        <w:t xml:space="preserve"> b</w:t>
      </w:r>
      <w:r w:rsidRPr="00B27ED9">
        <w:rPr>
          <w:rFonts w:ascii="Arial" w:eastAsiaTheme="minorHAnsi" w:hAnsi="Arial" w:cs="Arial"/>
          <w:b/>
          <w:bCs/>
          <w:color w:val="4F81BD" w:themeColor="accent1"/>
          <w:lang w:val="en-CA"/>
        </w:rPr>
        <w:t xml:space="preserve">y </w:t>
      </w:r>
      <w:r>
        <w:rPr>
          <w:rFonts w:ascii="Arial" w:eastAsiaTheme="minorHAnsi" w:hAnsi="Arial" w:cs="Arial"/>
          <w:b/>
          <w:bCs/>
          <w:color w:val="4F81BD" w:themeColor="accent1"/>
          <w:lang w:val="en-CA"/>
        </w:rPr>
        <w:t>P</w:t>
      </w:r>
      <w:r w:rsidRPr="00B27ED9">
        <w:rPr>
          <w:rFonts w:ascii="Arial" w:eastAsiaTheme="minorHAnsi" w:hAnsi="Arial" w:cs="Arial"/>
          <w:b/>
          <w:bCs/>
          <w:color w:val="4F81BD" w:themeColor="accent1"/>
          <w:lang w:val="en-CA"/>
        </w:rPr>
        <w:t xml:space="preserve">rincipal and </w:t>
      </w:r>
      <w:r>
        <w:rPr>
          <w:rFonts w:ascii="Arial" w:eastAsiaTheme="minorHAnsi" w:hAnsi="Arial" w:cs="Arial"/>
          <w:b/>
          <w:bCs/>
          <w:color w:val="4F81BD" w:themeColor="accent1"/>
          <w:lang w:val="en-CA"/>
        </w:rPr>
        <w:t>I</w:t>
      </w:r>
      <w:r w:rsidRPr="00B27ED9">
        <w:rPr>
          <w:rFonts w:ascii="Arial" w:eastAsiaTheme="minorHAnsi" w:hAnsi="Arial" w:cs="Arial"/>
          <w:b/>
          <w:bCs/>
          <w:color w:val="4F81BD" w:themeColor="accent1"/>
          <w:lang w:val="en-CA"/>
        </w:rPr>
        <w:t xml:space="preserve">nterest </w:t>
      </w:r>
    </w:p>
    <w:p w14:paraId="0E014A7B" w14:textId="3AD9097C" w:rsidR="000D17F7" w:rsidRDefault="000D17F7" w:rsidP="00B27ED9">
      <w:pPr>
        <w:spacing w:line="360" w:lineRule="auto"/>
        <w:rPr>
          <w:rFonts w:ascii="Arial" w:eastAsiaTheme="minorHAnsi" w:hAnsi="Arial" w:cs="Arial"/>
          <w:b/>
          <w:bCs/>
          <w:color w:val="4F81BD" w:themeColor="accent1"/>
          <w:lang w:val="en-CA"/>
        </w:rPr>
      </w:pPr>
      <w:r>
        <w:rPr>
          <w:noProof/>
        </w:rPr>
        <w:drawing>
          <wp:inline distT="0" distB="0" distL="0" distR="0" wp14:anchorId="334DA773" wp14:editId="2FB8D8C5">
            <wp:extent cx="6301105" cy="1122045"/>
            <wp:effectExtent l="133350" t="133350" r="137795" b="135255"/>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6"/>
                    <a:stretch>
                      <a:fillRect/>
                    </a:stretch>
                  </pic:blipFill>
                  <pic:spPr>
                    <a:xfrm>
                      <a:off x="0" y="0"/>
                      <a:ext cx="6301105" cy="1122045"/>
                    </a:xfrm>
                    <a:prstGeom prst="rect">
                      <a:avLst/>
                    </a:prstGeom>
                    <a:effectLst>
                      <a:glow rad="127000">
                        <a:schemeClr val="accent1">
                          <a:lumMod val="60000"/>
                          <a:lumOff val="40000"/>
                        </a:schemeClr>
                      </a:glow>
                    </a:effectLst>
                  </pic:spPr>
                </pic:pic>
              </a:graphicData>
            </a:graphic>
          </wp:inline>
        </w:drawing>
      </w:r>
    </w:p>
    <w:p w14:paraId="77C4F5A7" w14:textId="5A10F4FD" w:rsidR="00D445A3" w:rsidRDefault="00D445A3" w:rsidP="00B04A3A">
      <w:pPr>
        <w:spacing w:line="360" w:lineRule="auto"/>
        <w:rPr>
          <w:rFonts w:ascii="Arial" w:eastAsiaTheme="minorHAnsi" w:hAnsi="Arial" w:cs="Arial"/>
          <w:sz w:val="20"/>
          <w:szCs w:val="22"/>
          <w:lang w:val="en-CA"/>
        </w:rPr>
      </w:pPr>
    </w:p>
    <w:p w14:paraId="15878DA4" w14:textId="178995CE" w:rsidR="00413FB1" w:rsidRDefault="00413FB1" w:rsidP="00413FB1">
      <w:pPr>
        <w:spacing w:line="360" w:lineRule="auto"/>
        <w:rPr>
          <w:rFonts w:ascii="Arial" w:eastAsiaTheme="minorHAnsi" w:hAnsi="Arial" w:cs="Arial"/>
          <w:b/>
          <w:u w:val="single"/>
          <w:lang w:val="en-CA"/>
        </w:rPr>
      </w:pPr>
      <w:r>
        <w:rPr>
          <w:rFonts w:ascii="Arial" w:eastAsiaTheme="minorHAnsi" w:hAnsi="Arial" w:cs="Arial"/>
          <w:b/>
          <w:u w:val="single"/>
          <w:lang w:val="en-CA"/>
        </w:rPr>
        <w:t xml:space="preserve">Account 1588 Proposed </w:t>
      </w:r>
      <w:r w:rsidRPr="003A3893">
        <w:rPr>
          <w:rFonts w:ascii="Arial" w:eastAsiaTheme="minorHAnsi" w:hAnsi="Arial" w:cs="Arial"/>
          <w:b/>
          <w:u w:val="single"/>
          <w:lang w:val="en-CA"/>
        </w:rPr>
        <w:t>Disposition</w:t>
      </w:r>
    </w:p>
    <w:p w14:paraId="1444CA65" w14:textId="2E152DE7" w:rsidR="000D17F7" w:rsidRDefault="000D17F7" w:rsidP="00413FB1">
      <w:pPr>
        <w:spacing w:line="360" w:lineRule="auto"/>
        <w:rPr>
          <w:rFonts w:ascii="Arial" w:eastAsiaTheme="minorHAnsi" w:hAnsi="Arial" w:cs="Arial"/>
          <w:b/>
          <w:u w:val="single"/>
          <w:lang w:val="en-CA"/>
        </w:rPr>
      </w:pPr>
    </w:p>
    <w:p w14:paraId="6A5BBA9D" w14:textId="7ECE12FE" w:rsidR="000D17F7" w:rsidRPr="000D17F7" w:rsidRDefault="000D17F7" w:rsidP="000D17F7">
      <w:pPr>
        <w:spacing w:line="276" w:lineRule="auto"/>
        <w:rPr>
          <w:rFonts w:ascii="Arial" w:eastAsiaTheme="minorHAnsi" w:hAnsi="Arial" w:cs="Arial"/>
          <w:b/>
          <w:sz w:val="20"/>
          <w:szCs w:val="20"/>
          <w:u w:val="single"/>
          <w:lang w:val="en-CA"/>
        </w:rPr>
      </w:pPr>
      <w:r w:rsidRPr="000D17F7">
        <w:rPr>
          <w:rFonts w:ascii="Arial" w:eastAsiaTheme="minorHAnsi" w:hAnsi="Arial" w:cs="Arial"/>
          <w:b/>
          <w:sz w:val="20"/>
          <w:szCs w:val="20"/>
          <w:u w:val="single"/>
          <w:lang w:val="en-CA"/>
        </w:rPr>
        <w:t>Retroactive Adjustment to Account 1588 for the Kenora Rate Zone</w:t>
      </w:r>
    </w:p>
    <w:p w14:paraId="7D8ECD02" w14:textId="77777777" w:rsidR="000D17F7" w:rsidRPr="000D17F7" w:rsidRDefault="000D17F7" w:rsidP="00413FB1">
      <w:pPr>
        <w:spacing w:line="360" w:lineRule="auto"/>
        <w:rPr>
          <w:rFonts w:ascii="Arial" w:eastAsiaTheme="minorHAnsi" w:hAnsi="Arial" w:cs="Arial"/>
          <w:b/>
          <w:sz w:val="20"/>
          <w:szCs w:val="20"/>
          <w:u w:val="single"/>
          <w:lang w:val="en-CA"/>
        </w:rPr>
      </w:pPr>
    </w:p>
    <w:p w14:paraId="31EA8CDD" w14:textId="5F1ED752" w:rsidR="000D17F7" w:rsidRDefault="000D17F7" w:rsidP="000D17F7">
      <w:pPr>
        <w:spacing w:line="360" w:lineRule="auto"/>
        <w:rPr>
          <w:rFonts w:ascii="Arial" w:eastAsiaTheme="minorHAnsi" w:hAnsi="Arial" w:cs="Arial"/>
          <w:sz w:val="20"/>
          <w:szCs w:val="22"/>
          <w:lang w:val="en-CA"/>
        </w:rPr>
      </w:pPr>
      <w:r>
        <w:rPr>
          <w:rFonts w:ascii="Arial" w:eastAsiaTheme="minorHAnsi" w:hAnsi="Arial" w:cs="Arial"/>
          <w:sz w:val="20"/>
          <w:szCs w:val="22"/>
          <w:lang w:val="en-CA"/>
        </w:rPr>
        <w:t xml:space="preserve">A </w:t>
      </w:r>
      <w:r w:rsidR="00FE0AF1">
        <w:rPr>
          <w:rFonts w:ascii="Arial" w:eastAsiaTheme="minorHAnsi" w:hAnsi="Arial" w:cs="Arial"/>
          <w:sz w:val="20"/>
          <w:szCs w:val="22"/>
          <w:lang w:val="en-CA"/>
        </w:rPr>
        <w:t xml:space="preserve">current year </w:t>
      </w:r>
      <w:r>
        <w:rPr>
          <w:rFonts w:ascii="Arial" w:eastAsiaTheme="minorHAnsi" w:hAnsi="Arial" w:cs="Arial"/>
          <w:sz w:val="20"/>
          <w:szCs w:val="22"/>
          <w:lang w:val="en-CA"/>
        </w:rPr>
        <w:t>principal adjustment to Account 1588 in the Kenora Zone of $136,784 has been made in the “Principal Adjustments” Tab of the GA Workform, correcting the RTN NSOS error for 2021 as noted in Table 1.</w:t>
      </w:r>
      <w:r w:rsidRPr="00396FF2">
        <w:rPr>
          <w:rFonts w:ascii="Arial" w:eastAsiaTheme="minorHAnsi" w:hAnsi="Arial" w:cs="Arial"/>
          <w:sz w:val="20"/>
          <w:szCs w:val="22"/>
          <w:lang w:val="en-CA"/>
        </w:rPr>
        <w:t xml:space="preserve"> </w:t>
      </w:r>
      <w:r>
        <w:rPr>
          <w:rFonts w:ascii="Arial" w:eastAsiaTheme="minorHAnsi" w:hAnsi="Arial" w:cs="Arial"/>
          <w:sz w:val="20"/>
          <w:szCs w:val="22"/>
          <w:lang w:val="en-CA"/>
        </w:rPr>
        <w:t xml:space="preserve"> Errors occurring prior to 2021 are not considered material and have not been included </w:t>
      </w:r>
      <w:r w:rsidR="0058529D">
        <w:rPr>
          <w:rFonts w:ascii="Arial" w:eastAsiaTheme="minorHAnsi" w:hAnsi="Arial" w:cs="Arial"/>
          <w:sz w:val="20"/>
          <w:szCs w:val="22"/>
          <w:lang w:val="en-CA"/>
        </w:rPr>
        <w:t>as</w:t>
      </w:r>
      <w:r>
        <w:rPr>
          <w:rFonts w:ascii="Arial" w:eastAsiaTheme="minorHAnsi" w:hAnsi="Arial" w:cs="Arial"/>
          <w:sz w:val="20"/>
          <w:szCs w:val="22"/>
          <w:lang w:val="en-CA"/>
        </w:rPr>
        <w:t xml:space="preserve"> retroactive corrections to customers or corrections with the IESO.</w:t>
      </w:r>
    </w:p>
    <w:p w14:paraId="4485FC35" w14:textId="77777777" w:rsidR="004D2142" w:rsidRDefault="004D2142" w:rsidP="00413FB1">
      <w:pPr>
        <w:spacing w:line="360" w:lineRule="auto"/>
        <w:rPr>
          <w:rFonts w:ascii="Arial" w:eastAsiaTheme="minorHAnsi" w:hAnsi="Arial" w:cs="Arial"/>
          <w:b/>
          <w:u w:val="single"/>
          <w:lang w:val="en-CA"/>
        </w:rPr>
      </w:pPr>
    </w:p>
    <w:p w14:paraId="523E748E" w14:textId="58DEBE0E" w:rsidR="004D2142" w:rsidRPr="004D2142" w:rsidRDefault="004D2142" w:rsidP="004D2142">
      <w:pPr>
        <w:spacing w:line="360" w:lineRule="auto"/>
        <w:rPr>
          <w:rFonts w:ascii="Arial" w:eastAsiaTheme="minorHAnsi" w:hAnsi="Arial" w:cs="Arial"/>
          <w:sz w:val="20"/>
          <w:szCs w:val="22"/>
          <w:lang w:val="en-CA"/>
        </w:rPr>
      </w:pPr>
      <w:r w:rsidRPr="004D2142">
        <w:rPr>
          <w:rFonts w:ascii="Arial" w:eastAsiaTheme="minorHAnsi" w:hAnsi="Arial" w:cs="Arial"/>
          <w:sz w:val="20"/>
          <w:szCs w:val="22"/>
          <w:lang w:val="en-CA"/>
        </w:rPr>
        <w:t xml:space="preserve">The balance of Account 1588 including the </w:t>
      </w:r>
      <w:r w:rsidR="0058529D">
        <w:rPr>
          <w:rFonts w:ascii="Arial" w:eastAsiaTheme="minorHAnsi" w:hAnsi="Arial" w:cs="Arial"/>
          <w:sz w:val="20"/>
          <w:szCs w:val="22"/>
          <w:lang w:val="en-CA"/>
        </w:rPr>
        <w:t xml:space="preserve">2021 </w:t>
      </w:r>
      <w:r w:rsidRPr="004D2142">
        <w:rPr>
          <w:rFonts w:ascii="Arial" w:eastAsiaTheme="minorHAnsi" w:hAnsi="Arial" w:cs="Arial"/>
          <w:sz w:val="20"/>
          <w:szCs w:val="22"/>
          <w:lang w:val="en-CA"/>
        </w:rPr>
        <w:t xml:space="preserve">adjustment is </w:t>
      </w:r>
      <w:r>
        <w:rPr>
          <w:rFonts w:ascii="Arial" w:eastAsiaTheme="minorHAnsi" w:hAnsi="Arial" w:cs="Arial"/>
          <w:sz w:val="20"/>
          <w:szCs w:val="22"/>
          <w:lang w:val="en-CA"/>
        </w:rPr>
        <w:t>$67,334.</w:t>
      </w:r>
      <w:r w:rsidRPr="004D2142">
        <w:rPr>
          <w:rFonts w:ascii="Arial" w:eastAsiaTheme="minorHAnsi" w:hAnsi="Arial" w:cs="Arial"/>
          <w:sz w:val="20"/>
          <w:szCs w:val="22"/>
          <w:lang w:val="en-CA"/>
        </w:rPr>
        <w:t xml:space="preserve">  The following Table taken from the IRM calculates the allocation by class and the resulting rate rider over a one year disposal period.</w:t>
      </w:r>
    </w:p>
    <w:p w14:paraId="408FF117" w14:textId="77777777" w:rsidR="00B27ED9" w:rsidRDefault="00B27ED9" w:rsidP="00396FF2">
      <w:pPr>
        <w:spacing w:line="360" w:lineRule="auto"/>
        <w:rPr>
          <w:rFonts w:ascii="Arial" w:eastAsiaTheme="minorHAnsi" w:hAnsi="Arial" w:cs="Arial"/>
          <w:sz w:val="20"/>
          <w:szCs w:val="22"/>
          <w:lang w:val="en-CA"/>
        </w:rPr>
      </w:pPr>
    </w:p>
    <w:p w14:paraId="2397A45F" w14:textId="77777777" w:rsidR="00725A9E" w:rsidRDefault="00725A9E">
      <w:pPr>
        <w:spacing w:after="200" w:line="276" w:lineRule="auto"/>
        <w:rPr>
          <w:rFonts w:ascii="Arial" w:eastAsiaTheme="minorHAnsi" w:hAnsi="Arial" w:cs="Arial"/>
          <w:b/>
          <w:bCs/>
          <w:color w:val="4F81BD" w:themeColor="accent1"/>
          <w:lang w:val="en-CA"/>
        </w:rPr>
      </w:pPr>
      <w:r>
        <w:rPr>
          <w:rFonts w:ascii="Arial" w:eastAsiaTheme="minorHAnsi" w:hAnsi="Arial" w:cs="Arial"/>
          <w:b/>
          <w:bCs/>
          <w:color w:val="4F81BD" w:themeColor="accent1"/>
          <w:lang w:val="en-CA"/>
        </w:rPr>
        <w:br w:type="page"/>
      </w:r>
    </w:p>
    <w:p w14:paraId="514047C5" w14:textId="6D424D2D" w:rsidR="002901AE" w:rsidRPr="00B27ED9" w:rsidRDefault="00600BE3" w:rsidP="00B27ED9">
      <w:pPr>
        <w:spacing w:after="200" w:line="276" w:lineRule="auto"/>
        <w:jc w:val="both"/>
        <w:rPr>
          <w:rFonts w:ascii="Arial" w:eastAsiaTheme="minorHAnsi" w:hAnsi="Arial" w:cs="Arial"/>
          <w:b/>
          <w:bCs/>
          <w:color w:val="4F81BD" w:themeColor="accent1"/>
          <w:lang w:val="en-CA"/>
        </w:rPr>
      </w:pPr>
      <w:r w:rsidRPr="00B27ED9">
        <w:rPr>
          <w:rFonts w:ascii="Arial" w:eastAsiaTheme="minorHAnsi" w:hAnsi="Arial" w:cs="Arial"/>
          <w:b/>
          <w:bCs/>
          <w:color w:val="4F81BD" w:themeColor="accent1"/>
          <w:lang w:val="en-CA"/>
        </w:rPr>
        <w:lastRenderedPageBreak/>
        <w:t xml:space="preserve">Table </w:t>
      </w:r>
      <w:r w:rsidR="008E643B">
        <w:rPr>
          <w:rFonts w:ascii="Arial" w:eastAsiaTheme="minorHAnsi" w:hAnsi="Arial" w:cs="Arial"/>
          <w:b/>
          <w:bCs/>
          <w:color w:val="4F81BD" w:themeColor="accent1"/>
          <w:lang w:val="en-CA"/>
        </w:rPr>
        <w:t>7</w:t>
      </w:r>
      <w:r w:rsidRPr="00B27ED9">
        <w:rPr>
          <w:rFonts w:ascii="Arial" w:eastAsiaTheme="minorHAnsi" w:hAnsi="Arial" w:cs="Arial"/>
          <w:b/>
          <w:bCs/>
          <w:color w:val="4F81BD" w:themeColor="accent1"/>
          <w:lang w:val="en-CA"/>
        </w:rPr>
        <w:t xml:space="preserve">: </w:t>
      </w:r>
      <w:r w:rsidR="00AC6593" w:rsidRPr="00B27ED9">
        <w:rPr>
          <w:rFonts w:ascii="Arial" w:eastAsiaTheme="minorHAnsi" w:hAnsi="Arial" w:cs="Arial"/>
          <w:b/>
          <w:bCs/>
          <w:color w:val="4F81BD" w:themeColor="accent1"/>
          <w:lang w:val="en-CA"/>
        </w:rPr>
        <w:t xml:space="preserve">Kenora Rate Zone Group </w:t>
      </w:r>
      <w:r w:rsidRPr="00B27ED9">
        <w:rPr>
          <w:rFonts w:ascii="Arial" w:eastAsiaTheme="minorHAnsi" w:hAnsi="Arial" w:cs="Arial"/>
          <w:b/>
          <w:bCs/>
          <w:color w:val="4F81BD" w:themeColor="accent1"/>
          <w:lang w:val="en-CA"/>
        </w:rPr>
        <w:t xml:space="preserve">One </w:t>
      </w:r>
      <w:r w:rsidR="001354A0" w:rsidRPr="00B27ED9">
        <w:rPr>
          <w:rFonts w:ascii="Arial" w:eastAsiaTheme="minorHAnsi" w:hAnsi="Arial" w:cs="Arial"/>
          <w:b/>
          <w:bCs/>
          <w:color w:val="4F81BD" w:themeColor="accent1"/>
          <w:lang w:val="en-CA"/>
        </w:rPr>
        <w:t xml:space="preserve">1588 </w:t>
      </w:r>
      <w:r w:rsidRPr="00B27ED9">
        <w:rPr>
          <w:rFonts w:ascii="Arial" w:eastAsiaTheme="minorHAnsi" w:hAnsi="Arial" w:cs="Arial"/>
          <w:b/>
          <w:bCs/>
          <w:color w:val="4F81BD" w:themeColor="accent1"/>
          <w:lang w:val="en-CA"/>
        </w:rPr>
        <w:t xml:space="preserve">Disposition </w:t>
      </w:r>
      <w:r w:rsidR="001354A0" w:rsidRPr="00B27ED9">
        <w:rPr>
          <w:rFonts w:ascii="Arial" w:eastAsiaTheme="minorHAnsi" w:hAnsi="Arial" w:cs="Arial"/>
          <w:b/>
          <w:bCs/>
          <w:color w:val="4F81BD" w:themeColor="accent1"/>
          <w:lang w:val="en-CA"/>
        </w:rPr>
        <w:t xml:space="preserve">and Riders </w:t>
      </w:r>
    </w:p>
    <w:p w14:paraId="7B4A174A" w14:textId="77777777" w:rsidR="002901AE" w:rsidRDefault="002901AE" w:rsidP="00B04A3A">
      <w:pPr>
        <w:spacing w:line="360" w:lineRule="auto"/>
        <w:rPr>
          <w:rFonts w:ascii="Arial" w:eastAsiaTheme="minorHAnsi" w:hAnsi="Arial" w:cs="Arial"/>
          <w:sz w:val="20"/>
          <w:szCs w:val="22"/>
          <w:lang w:val="en-CA"/>
        </w:rPr>
      </w:pPr>
    </w:p>
    <w:p w14:paraId="2DD0B3B2" w14:textId="5C129609" w:rsidR="00AC6593" w:rsidRPr="00B27ED9" w:rsidRDefault="00FE0F27" w:rsidP="00B27ED9">
      <w:pPr>
        <w:spacing w:after="200" w:line="276" w:lineRule="auto"/>
        <w:jc w:val="both"/>
        <w:rPr>
          <w:rFonts w:ascii="Arial" w:eastAsiaTheme="minorHAnsi" w:hAnsi="Arial" w:cs="Arial"/>
          <w:b/>
          <w:bCs/>
          <w:color w:val="4F81BD" w:themeColor="accent1"/>
          <w:lang w:val="en-CA"/>
        </w:rPr>
      </w:pPr>
      <w:r w:rsidRPr="00B27ED9">
        <w:rPr>
          <w:rFonts w:ascii="Arial" w:eastAsiaTheme="minorHAnsi" w:hAnsi="Arial" w:cs="Arial"/>
          <w:b/>
          <w:bCs/>
          <w:noProof/>
          <w:color w:val="4F81BD" w:themeColor="accent1"/>
          <w:lang w:val="en-CA"/>
        </w:rPr>
        <w:drawing>
          <wp:inline distT="0" distB="0" distL="0" distR="0" wp14:anchorId="5012BD8C" wp14:editId="3519EC26">
            <wp:extent cx="6301105" cy="1572895"/>
            <wp:effectExtent l="133350" t="133350" r="137795" b="14160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17"/>
                    <a:stretch>
                      <a:fillRect/>
                    </a:stretch>
                  </pic:blipFill>
                  <pic:spPr>
                    <a:xfrm>
                      <a:off x="0" y="0"/>
                      <a:ext cx="6301105" cy="1572895"/>
                    </a:xfrm>
                    <a:prstGeom prst="rect">
                      <a:avLst/>
                    </a:prstGeom>
                    <a:effectLst>
                      <a:glow rad="127000">
                        <a:schemeClr val="accent1">
                          <a:lumMod val="60000"/>
                          <a:lumOff val="40000"/>
                        </a:schemeClr>
                      </a:glow>
                    </a:effectLst>
                  </pic:spPr>
                </pic:pic>
              </a:graphicData>
            </a:graphic>
          </wp:inline>
        </w:drawing>
      </w:r>
    </w:p>
    <w:p w14:paraId="0C519AA8" w14:textId="641895C7" w:rsidR="00413FB1" w:rsidRDefault="00413FB1" w:rsidP="00413FB1">
      <w:pPr>
        <w:spacing w:line="360" w:lineRule="auto"/>
        <w:rPr>
          <w:rFonts w:ascii="Arial" w:eastAsiaTheme="minorHAnsi" w:hAnsi="Arial" w:cs="Arial"/>
          <w:b/>
          <w:u w:val="single"/>
          <w:lang w:val="en-CA"/>
        </w:rPr>
      </w:pPr>
      <w:r>
        <w:rPr>
          <w:rFonts w:ascii="Arial" w:eastAsiaTheme="minorHAnsi" w:hAnsi="Arial" w:cs="Arial"/>
          <w:b/>
          <w:u w:val="single"/>
          <w:lang w:val="en-CA"/>
        </w:rPr>
        <w:t xml:space="preserve">Account 1589 Proposed </w:t>
      </w:r>
      <w:r w:rsidRPr="003A3893">
        <w:rPr>
          <w:rFonts w:ascii="Arial" w:eastAsiaTheme="minorHAnsi" w:hAnsi="Arial" w:cs="Arial"/>
          <w:b/>
          <w:u w:val="single"/>
          <w:lang w:val="en-CA"/>
        </w:rPr>
        <w:t>Disposition</w:t>
      </w:r>
    </w:p>
    <w:p w14:paraId="1E36D4A1" w14:textId="77777777" w:rsidR="000D17F7" w:rsidRDefault="000D17F7" w:rsidP="00413FB1">
      <w:pPr>
        <w:spacing w:line="360" w:lineRule="auto"/>
        <w:rPr>
          <w:rFonts w:ascii="Arial" w:eastAsiaTheme="minorHAnsi" w:hAnsi="Arial" w:cs="Arial"/>
          <w:b/>
          <w:u w:val="single"/>
          <w:lang w:val="en-CA"/>
        </w:rPr>
      </w:pPr>
    </w:p>
    <w:p w14:paraId="7652DDEC" w14:textId="419651DB" w:rsidR="000D17F7" w:rsidRDefault="000D17F7" w:rsidP="000D17F7">
      <w:pPr>
        <w:autoSpaceDE w:val="0"/>
        <w:autoSpaceDN w:val="0"/>
        <w:adjustRightInd w:val="0"/>
        <w:spacing w:line="360" w:lineRule="auto"/>
        <w:jc w:val="both"/>
        <w:rPr>
          <w:rFonts w:ascii="Arial" w:eastAsiaTheme="minorHAnsi" w:hAnsi="Arial" w:cs="Arial"/>
          <w:sz w:val="20"/>
          <w:szCs w:val="22"/>
          <w:lang w:val="en-CA"/>
        </w:rPr>
      </w:pPr>
      <w:r w:rsidRPr="00FD3991">
        <w:rPr>
          <w:rFonts w:ascii="Arial" w:eastAsiaTheme="minorHAnsi" w:hAnsi="Arial" w:cs="Arial"/>
          <w:sz w:val="20"/>
          <w:szCs w:val="22"/>
          <w:lang w:val="en-CA"/>
        </w:rPr>
        <w:t xml:space="preserve">The RSVA Global Adjustment balance </w:t>
      </w:r>
      <w:r>
        <w:rPr>
          <w:rFonts w:ascii="Arial" w:eastAsiaTheme="minorHAnsi" w:hAnsi="Arial" w:cs="Arial"/>
          <w:sz w:val="20"/>
          <w:szCs w:val="22"/>
          <w:lang w:val="en-CA"/>
        </w:rPr>
        <w:t xml:space="preserve">for disposal </w:t>
      </w:r>
      <w:r w:rsidRPr="00FD3991">
        <w:rPr>
          <w:rFonts w:ascii="Arial" w:eastAsiaTheme="minorHAnsi" w:hAnsi="Arial" w:cs="Arial"/>
          <w:sz w:val="20"/>
          <w:szCs w:val="22"/>
          <w:lang w:val="en-CA"/>
        </w:rPr>
        <w:t xml:space="preserve">in </w:t>
      </w:r>
      <w:r>
        <w:rPr>
          <w:rFonts w:ascii="Arial" w:eastAsiaTheme="minorHAnsi" w:hAnsi="Arial" w:cs="Arial"/>
          <w:sz w:val="20"/>
          <w:szCs w:val="22"/>
          <w:lang w:val="en-CA"/>
        </w:rPr>
        <w:t>A</w:t>
      </w:r>
      <w:r w:rsidRPr="00FD3991">
        <w:rPr>
          <w:rFonts w:ascii="Arial" w:eastAsiaTheme="minorHAnsi" w:hAnsi="Arial" w:cs="Arial"/>
          <w:sz w:val="20"/>
          <w:szCs w:val="22"/>
          <w:lang w:val="en-CA"/>
        </w:rPr>
        <w:t xml:space="preserve">ccount 1589 is </w:t>
      </w:r>
      <w:r>
        <w:rPr>
          <w:rFonts w:ascii="Arial" w:eastAsiaTheme="minorHAnsi" w:hAnsi="Arial" w:cs="Arial"/>
          <w:sz w:val="20"/>
          <w:szCs w:val="22"/>
          <w:lang w:val="en-CA"/>
        </w:rPr>
        <w:t xml:space="preserve">$(108,096) </w:t>
      </w:r>
      <w:r w:rsidRPr="00FD3991">
        <w:rPr>
          <w:rFonts w:ascii="Arial" w:eastAsiaTheme="minorHAnsi" w:hAnsi="Arial" w:cs="Arial"/>
          <w:sz w:val="20"/>
          <w:szCs w:val="22"/>
          <w:lang w:val="en-CA"/>
        </w:rPr>
        <w:t xml:space="preserve">to be </w:t>
      </w:r>
      <w:r>
        <w:rPr>
          <w:rFonts w:ascii="Arial" w:eastAsiaTheme="minorHAnsi" w:hAnsi="Arial" w:cs="Arial"/>
          <w:sz w:val="20"/>
          <w:szCs w:val="22"/>
          <w:lang w:val="en-CA"/>
        </w:rPr>
        <w:t xml:space="preserve">returned </w:t>
      </w:r>
      <w:r w:rsidRPr="00FD3991">
        <w:rPr>
          <w:rFonts w:ascii="Arial" w:eastAsiaTheme="minorHAnsi" w:hAnsi="Arial" w:cs="Arial"/>
          <w:sz w:val="20"/>
          <w:szCs w:val="22"/>
          <w:lang w:val="en-CA"/>
        </w:rPr>
        <w:t xml:space="preserve">in a rate rider from </w:t>
      </w:r>
      <w:proofErr w:type="gramStart"/>
      <w:r w:rsidRPr="00FD3991">
        <w:rPr>
          <w:rFonts w:ascii="Arial" w:eastAsiaTheme="minorHAnsi" w:hAnsi="Arial" w:cs="Arial"/>
          <w:sz w:val="20"/>
          <w:szCs w:val="22"/>
          <w:lang w:val="en-CA"/>
        </w:rPr>
        <w:t>Non-RPP</w:t>
      </w:r>
      <w:proofErr w:type="gramEnd"/>
      <w:r w:rsidRPr="00FD3991">
        <w:rPr>
          <w:rFonts w:ascii="Arial" w:eastAsiaTheme="minorHAnsi" w:hAnsi="Arial" w:cs="Arial"/>
          <w:sz w:val="20"/>
          <w:szCs w:val="22"/>
          <w:lang w:val="en-CA"/>
        </w:rPr>
        <w:t xml:space="preserve"> customers </w:t>
      </w:r>
      <w:r>
        <w:rPr>
          <w:rFonts w:ascii="Arial" w:eastAsiaTheme="minorHAnsi" w:hAnsi="Arial" w:cs="Arial"/>
          <w:sz w:val="20"/>
          <w:szCs w:val="22"/>
          <w:lang w:val="en-CA"/>
        </w:rPr>
        <w:t xml:space="preserve">Class B customers. </w:t>
      </w:r>
      <w:r w:rsidR="006223EF">
        <w:rPr>
          <w:rFonts w:ascii="Arial" w:eastAsiaTheme="minorHAnsi" w:hAnsi="Arial" w:cs="Arial"/>
          <w:sz w:val="20"/>
          <w:szCs w:val="22"/>
          <w:lang w:val="en-CA"/>
        </w:rPr>
        <w:t xml:space="preserve"> There were no Class A customers during 2021.</w:t>
      </w:r>
    </w:p>
    <w:p w14:paraId="7FA480A4" w14:textId="3ECF048B" w:rsidR="007204AB" w:rsidRDefault="007204AB">
      <w:pPr>
        <w:spacing w:after="200" w:line="276" w:lineRule="auto"/>
        <w:rPr>
          <w:rFonts w:ascii="Arial" w:eastAsiaTheme="minorHAnsi" w:hAnsi="Arial" w:cs="Arial"/>
          <w:b/>
          <w:bCs/>
          <w:color w:val="4F81BD" w:themeColor="accent1"/>
          <w:lang w:val="en-CA"/>
        </w:rPr>
      </w:pPr>
    </w:p>
    <w:p w14:paraId="16699983" w14:textId="6A317974" w:rsidR="001354A0" w:rsidRPr="00B629CE" w:rsidRDefault="00AC6593" w:rsidP="00B629CE">
      <w:pPr>
        <w:spacing w:after="200" w:line="276" w:lineRule="auto"/>
        <w:jc w:val="both"/>
        <w:rPr>
          <w:rFonts w:ascii="Arial" w:eastAsiaTheme="minorHAnsi" w:hAnsi="Arial" w:cs="Arial"/>
          <w:b/>
          <w:bCs/>
          <w:color w:val="4F81BD" w:themeColor="accent1"/>
          <w:lang w:val="en-CA"/>
        </w:rPr>
      </w:pPr>
      <w:r w:rsidRPr="00B629CE">
        <w:rPr>
          <w:rFonts w:ascii="Arial" w:eastAsiaTheme="minorHAnsi" w:hAnsi="Arial" w:cs="Arial"/>
          <w:b/>
          <w:bCs/>
          <w:color w:val="4F81BD" w:themeColor="accent1"/>
          <w:lang w:val="en-CA"/>
        </w:rPr>
        <w:t xml:space="preserve">Table </w:t>
      </w:r>
      <w:r w:rsidR="008E643B">
        <w:rPr>
          <w:rFonts w:ascii="Arial" w:eastAsiaTheme="minorHAnsi" w:hAnsi="Arial" w:cs="Arial"/>
          <w:b/>
          <w:bCs/>
          <w:color w:val="4F81BD" w:themeColor="accent1"/>
          <w:lang w:val="en-CA"/>
        </w:rPr>
        <w:t>8</w:t>
      </w:r>
      <w:r w:rsidRPr="00B629CE">
        <w:rPr>
          <w:rFonts w:ascii="Arial" w:eastAsiaTheme="minorHAnsi" w:hAnsi="Arial" w:cs="Arial"/>
          <w:b/>
          <w:bCs/>
          <w:color w:val="4F81BD" w:themeColor="accent1"/>
          <w:lang w:val="en-CA"/>
        </w:rPr>
        <w:t xml:space="preserve">: </w:t>
      </w:r>
      <w:r w:rsidR="001354A0" w:rsidRPr="00B629CE">
        <w:rPr>
          <w:rFonts w:ascii="Arial" w:eastAsiaTheme="minorHAnsi" w:hAnsi="Arial" w:cs="Arial"/>
          <w:b/>
          <w:bCs/>
          <w:color w:val="4F81BD" w:themeColor="accent1"/>
          <w:lang w:val="en-CA"/>
        </w:rPr>
        <w:t>Kenora Rate Zone</w:t>
      </w:r>
      <w:r w:rsidR="006223EF">
        <w:rPr>
          <w:rFonts w:ascii="Arial" w:eastAsiaTheme="minorHAnsi" w:hAnsi="Arial" w:cs="Arial"/>
          <w:b/>
          <w:bCs/>
          <w:color w:val="4F81BD" w:themeColor="accent1"/>
          <w:lang w:val="en-CA"/>
        </w:rPr>
        <w:t xml:space="preserve"> Account</w:t>
      </w:r>
      <w:r w:rsidR="001354A0" w:rsidRPr="00B629CE">
        <w:rPr>
          <w:rFonts w:ascii="Arial" w:eastAsiaTheme="minorHAnsi" w:hAnsi="Arial" w:cs="Arial"/>
          <w:b/>
          <w:bCs/>
          <w:color w:val="4F81BD" w:themeColor="accent1"/>
          <w:lang w:val="en-CA"/>
        </w:rPr>
        <w:t xml:space="preserve"> 1589 Disposition and Riders </w:t>
      </w:r>
    </w:p>
    <w:p w14:paraId="6D8CE610" w14:textId="7000C69E" w:rsidR="00D70781" w:rsidRDefault="000B0B47" w:rsidP="004D2142">
      <w:pPr>
        <w:jc w:val="center"/>
        <w:rPr>
          <w:rFonts w:eastAsiaTheme="minorHAnsi"/>
          <w:lang w:val="en-CA"/>
        </w:rPr>
      </w:pPr>
      <w:r>
        <w:rPr>
          <w:noProof/>
        </w:rPr>
        <w:drawing>
          <wp:inline distT="0" distB="0" distL="0" distR="0" wp14:anchorId="68D08798" wp14:editId="59F8CF26">
            <wp:extent cx="5070475" cy="1890123"/>
            <wp:effectExtent l="133350" t="133350" r="130175" b="12954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18"/>
                    <a:stretch>
                      <a:fillRect/>
                    </a:stretch>
                  </pic:blipFill>
                  <pic:spPr>
                    <a:xfrm>
                      <a:off x="0" y="0"/>
                      <a:ext cx="5075664" cy="1892057"/>
                    </a:xfrm>
                    <a:prstGeom prst="rect">
                      <a:avLst/>
                    </a:prstGeom>
                    <a:effectLst>
                      <a:glow rad="127000">
                        <a:schemeClr val="accent1">
                          <a:lumMod val="60000"/>
                          <a:lumOff val="40000"/>
                        </a:schemeClr>
                      </a:glow>
                    </a:effectLst>
                  </pic:spPr>
                </pic:pic>
              </a:graphicData>
            </a:graphic>
          </wp:inline>
        </w:drawing>
      </w:r>
    </w:p>
    <w:p w14:paraId="5A7A832B" w14:textId="6A39B3D9" w:rsidR="00D70781" w:rsidRPr="00D70781" w:rsidRDefault="00D70781" w:rsidP="00D70781">
      <w:pPr>
        <w:rPr>
          <w:rFonts w:eastAsiaTheme="minorHAnsi"/>
          <w:lang w:val="en-CA"/>
        </w:rPr>
      </w:pPr>
    </w:p>
    <w:p w14:paraId="44AB4460" w14:textId="77777777" w:rsidR="00150CBC" w:rsidRPr="00312CC5" w:rsidRDefault="00150CBC" w:rsidP="00150CBC">
      <w:pPr>
        <w:autoSpaceDE w:val="0"/>
        <w:autoSpaceDN w:val="0"/>
        <w:adjustRightInd w:val="0"/>
        <w:spacing w:line="360" w:lineRule="auto"/>
        <w:jc w:val="both"/>
        <w:rPr>
          <w:rFonts w:ascii="Arial" w:eastAsiaTheme="minorHAnsi" w:hAnsi="Arial" w:cs="Arial"/>
          <w:sz w:val="20"/>
          <w:szCs w:val="22"/>
          <w:lang w:val="en-CA"/>
        </w:rPr>
      </w:pPr>
      <w:r w:rsidRPr="009340DD">
        <w:rPr>
          <w:rFonts w:ascii="Arial" w:eastAsiaTheme="minorHAnsi" w:hAnsi="Arial" w:cs="Arial"/>
          <w:sz w:val="20"/>
          <w:szCs w:val="22"/>
          <w:lang w:val="en-CA"/>
        </w:rPr>
        <w:t xml:space="preserve">GA rate riders </w:t>
      </w:r>
      <w:r>
        <w:rPr>
          <w:rFonts w:ascii="Arial" w:eastAsiaTheme="minorHAnsi" w:hAnsi="Arial" w:cs="Arial"/>
          <w:sz w:val="20"/>
          <w:szCs w:val="22"/>
          <w:lang w:val="en-CA"/>
        </w:rPr>
        <w:t xml:space="preserve">for all classes </w:t>
      </w:r>
      <w:r w:rsidRPr="009340DD">
        <w:rPr>
          <w:rFonts w:ascii="Arial" w:eastAsiaTheme="minorHAnsi" w:hAnsi="Arial" w:cs="Arial"/>
          <w:sz w:val="20"/>
          <w:szCs w:val="22"/>
          <w:lang w:val="en-CA"/>
        </w:rPr>
        <w:t>have been calculated on an energy basis (kWh) as per 2023 Filing</w:t>
      </w:r>
      <w:r w:rsidRPr="00312CC5">
        <w:rPr>
          <w:rFonts w:ascii="Arial" w:eastAsiaTheme="minorHAnsi" w:hAnsi="Arial" w:cs="Arial"/>
          <w:sz w:val="20"/>
          <w:szCs w:val="22"/>
          <w:lang w:val="en-CA"/>
        </w:rPr>
        <w:t xml:space="preserve"> Requirements</w:t>
      </w:r>
      <w:r>
        <w:rPr>
          <w:rFonts w:ascii="Arial" w:eastAsiaTheme="minorHAnsi" w:hAnsi="Arial" w:cs="Arial"/>
          <w:sz w:val="20"/>
          <w:szCs w:val="22"/>
          <w:lang w:val="en-CA"/>
        </w:rPr>
        <w:t xml:space="preserve"> </w:t>
      </w:r>
      <w:r w:rsidRPr="00312CC5">
        <w:rPr>
          <w:rFonts w:ascii="Arial" w:eastAsiaTheme="minorHAnsi" w:hAnsi="Arial" w:cs="Arial"/>
          <w:sz w:val="20"/>
          <w:szCs w:val="22"/>
          <w:lang w:val="en-CA"/>
        </w:rPr>
        <w:t>section 3.2.5.2 and can be</w:t>
      </w:r>
      <w:r>
        <w:rPr>
          <w:rFonts w:ascii="Arial" w:eastAsiaTheme="minorHAnsi" w:hAnsi="Arial" w:cs="Arial"/>
          <w:sz w:val="20"/>
          <w:szCs w:val="22"/>
          <w:lang w:val="en-CA"/>
        </w:rPr>
        <w:t xml:space="preserve"> found on Tab 6.1 ‘GA’ in the 2023 Thunder Bay Rate Zone</w:t>
      </w:r>
      <w:r w:rsidRPr="00312CC5">
        <w:rPr>
          <w:rFonts w:ascii="Arial" w:eastAsiaTheme="minorHAnsi" w:hAnsi="Arial" w:cs="Arial"/>
          <w:sz w:val="20"/>
          <w:szCs w:val="22"/>
          <w:lang w:val="en-CA"/>
        </w:rPr>
        <w:t xml:space="preserve"> IRM Rate Generator Model. </w:t>
      </w:r>
    </w:p>
    <w:p w14:paraId="1311B652" w14:textId="77777777" w:rsidR="00705B05" w:rsidRDefault="00705B05" w:rsidP="00520579">
      <w:pPr>
        <w:autoSpaceDE w:val="0"/>
        <w:autoSpaceDN w:val="0"/>
        <w:adjustRightInd w:val="0"/>
        <w:spacing w:line="276" w:lineRule="auto"/>
        <w:jc w:val="both"/>
        <w:rPr>
          <w:rFonts w:ascii="Arial" w:eastAsiaTheme="minorHAnsi" w:hAnsi="Arial" w:cs="Arial"/>
          <w:sz w:val="20"/>
          <w:szCs w:val="22"/>
          <w:lang w:val="en-CA"/>
        </w:rPr>
      </w:pPr>
    </w:p>
    <w:p w14:paraId="7D894F7C" w14:textId="0DE1C34C" w:rsidR="007A5DC2" w:rsidRDefault="00130460" w:rsidP="00305D38">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A</w:t>
      </w:r>
      <w:r w:rsidR="00A56035">
        <w:rPr>
          <w:rFonts w:ascii="Arial" w:eastAsiaTheme="minorHAnsi" w:hAnsi="Arial" w:cs="Arial"/>
          <w:sz w:val="20"/>
          <w:szCs w:val="22"/>
          <w:lang w:val="en-CA"/>
        </w:rPr>
        <w:t xml:space="preserve"> </w:t>
      </w:r>
      <w:r w:rsidR="00C853E5">
        <w:rPr>
          <w:rFonts w:ascii="Arial" w:eastAsiaTheme="minorHAnsi" w:hAnsi="Arial" w:cs="Arial"/>
          <w:sz w:val="20"/>
          <w:szCs w:val="22"/>
          <w:lang w:val="en-CA"/>
        </w:rPr>
        <w:t>one</w:t>
      </w:r>
      <w:r w:rsidR="00913958">
        <w:rPr>
          <w:rFonts w:ascii="Arial" w:eastAsiaTheme="minorHAnsi" w:hAnsi="Arial" w:cs="Arial"/>
          <w:sz w:val="20"/>
          <w:szCs w:val="22"/>
          <w:lang w:val="en-CA"/>
        </w:rPr>
        <w:t>-year</w:t>
      </w:r>
      <w:r w:rsidR="00631502">
        <w:rPr>
          <w:rFonts w:ascii="Arial" w:eastAsiaTheme="minorHAnsi" w:hAnsi="Arial" w:cs="Arial"/>
          <w:sz w:val="20"/>
          <w:szCs w:val="22"/>
          <w:lang w:val="en-CA"/>
        </w:rPr>
        <w:t xml:space="preserve"> disposition period is requested for the Group 1 Deferral and Variance Accounts, with rate riders effective May 1, </w:t>
      </w:r>
      <w:r w:rsidR="00017818">
        <w:rPr>
          <w:rFonts w:ascii="Arial" w:eastAsiaTheme="minorHAnsi" w:hAnsi="Arial" w:cs="Arial"/>
          <w:sz w:val="20"/>
          <w:szCs w:val="22"/>
          <w:lang w:val="en-CA"/>
        </w:rPr>
        <w:t>202</w:t>
      </w:r>
      <w:r w:rsidR="00C853E5">
        <w:rPr>
          <w:rFonts w:ascii="Arial" w:eastAsiaTheme="minorHAnsi" w:hAnsi="Arial" w:cs="Arial"/>
          <w:sz w:val="20"/>
          <w:szCs w:val="22"/>
          <w:lang w:val="en-CA"/>
        </w:rPr>
        <w:t>3</w:t>
      </w:r>
      <w:r w:rsidR="00017818">
        <w:rPr>
          <w:rFonts w:ascii="Arial" w:eastAsiaTheme="minorHAnsi" w:hAnsi="Arial" w:cs="Arial"/>
          <w:sz w:val="20"/>
          <w:szCs w:val="22"/>
          <w:lang w:val="en-CA"/>
        </w:rPr>
        <w:t>,</w:t>
      </w:r>
      <w:r w:rsidR="00631502">
        <w:rPr>
          <w:rFonts w:ascii="Arial" w:eastAsiaTheme="minorHAnsi" w:hAnsi="Arial" w:cs="Arial"/>
          <w:sz w:val="20"/>
          <w:szCs w:val="22"/>
          <w:lang w:val="en-CA"/>
        </w:rPr>
        <w:t xml:space="preserve"> until April 30, 202</w:t>
      </w:r>
      <w:r w:rsidR="007519CB">
        <w:rPr>
          <w:rFonts w:ascii="Arial" w:eastAsiaTheme="minorHAnsi" w:hAnsi="Arial" w:cs="Arial"/>
          <w:sz w:val="20"/>
          <w:szCs w:val="22"/>
          <w:lang w:val="en-CA"/>
        </w:rPr>
        <w:t>4</w:t>
      </w:r>
      <w:r w:rsidR="00165BEE">
        <w:rPr>
          <w:rFonts w:ascii="Arial" w:eastAsiaTheme="minorHAnsi" w:hAnsi="Arial" w:cs="Arial"/>
          <w:sz w:val="20"/>
          <w:szCs w:val="22"/>
          <w:lang w:val="en-CA"/>
        </w:rPr>
        <w:t>.</w:t>
      </w:r>
      <w:r w:rsidR="00BC502F">
        <w:rPr>
          <w:rFonts w:ascii="Arial" w:eastAsiaTheme="minorHAnsi" w:hAnsi="Arial" w:cs="Arial"/>
          <w:sz w:val="20"/>
          <w:szCs w:val="22"/>
          <w:lang w:val="en-CA"/>
        </w:rPr>
        <w:t xml:space="preserve"> </w:t>
      </w:r>
      <w:r w:rsidR="00165BEE">
        <w:rPr>
          <w:rFonts w:ascii="Arial" w:eastAsiaTheme="minorHAnsi" w:hAnsi="Arial" w:cs="Arial"/>
          <w:sz w:val="20"/>
          <w:szCs w:val="22"/>
          <w:lang w:val="en-CA"/>
        </w:rPr>
        <w:t xml:space="preserve"> </w:t>
      </w:r>
    </w:p>
    <w:p w14:paraId="3B5DA48B" w14:textId="6486B0C9" w:rsidR="001354A0" w:rsidRDefault="001354A0" w:rsidP="001354A0">
      <w:pPr>
        <w:rPr>
          <w:rFonts w:eastAsiaTheme="minorHAnsi"/>
          <w:lang w:val="en-CA"/>
        </w:rPr>
      </w:pPr>
    </w:p>
    <w:p w14:paraId="5AA56D49" w14:textId="77777777" w:rsidR="006F33AE" w:rsidRDefault="006F33AE">
      <w:pPr>
        <w:spacing w:after="200" w:line="276" w:lineRule="auto"/>
        <w:rPr>
          <w:rFonts w:ascii="Arial" w:hAnsi="Arial" w:cs="Arial"/>
          <w:b/>
          <w:sz w:val="20"/>
          <w:szCs w:val="22"/>
          <w:u w:val="single"/>
          <w:lang w:eastAsia="en-CA"/>
        </w:rPr>
      </w:pPr>
      <w:r>
        <w:rPr>
          <w:rFonts w:ascii="Arial" w:hAnsi="Arial" w:cs="Arial"/>
          <w:b/>
          <w:sz w:val="20"/>
          <w:szCs w:val="22"/>
          <w:u w:val="single"/>
          <w:lang w:eastAsia="en-CA"/>
        </w:rPr>
        <w:br w:type="page"/>
      </w:r>
    </w:p>
    <w:p w14:paraId="415E023D" w14:textId="2E10EEC9" w:rsidR="00CB060A" w:rsidRDefault="00CB060A" w:rsidP="00CB060A">
      <w:pPr>
        <w:autoSpaceDE w:val="0"/>
        <w:autoSpaceDN w:val="0"/>
        <w:adjustRightInd w:val="0"/>
        <w:spacing w:line="360" w:lineRule="auto"/>
        <w:jc w:val="both"/>
        <w:rPr>
          <w:rFonts w:ascii="Arial" w:hAnsi="Arial" w:cs="Arial"/>
          <w:b/>
          <w:sz w:val="20"/>
          <w:szCs w:val="22"/>
          <w:u w:val="single"/>
          <w:lang w:eastAsia="en-CA"/>
        </w:rPr>
      </w:pPr>
      <w:r>
        <w:rPr>
          <w:rFonts w:ascii="Arial" w:hAnsi="Arial" w:cs="Arial"/>
          <w:b/>
          <w:sz w:val="20"/>
          <w:szCs w:val="22"/>
          <w:u w:val="single"/>
          <w:lang w:eastAsia="en-CA"/>
        </w:rPr>
        <w:lastRenderedPageBreak/>
        <w:t>Kenora</w:t>
      </w:r>
      <w:r w:rsidRPr="0007452E">
        <w:rPr>
          <w:rFonts w:ascii="Arial" w:hAnsi="Arial" w:cs="Arial"/>
          <w:b/>
          <w:sz w:val="20"/>
          <w:szCs w:val="22"/>
          <w:u w:val="single"/>
          <w:lang w:eastAsia="en-CA"/>
        </w:rPr>
        <w:t xml:space="preserve"> </w:t>
      </w:r>
      <w:r>
        <w:rPr>
          <w:rFonts w:ascii="Arial" w:hAnsi="Arial" w:cs="Arial"/>
          <w:b/>
          <w:sz w:val="20"/>
          <w:szCs w:val="22"/>
          <w:u w:val="single"/>
          <w:lang w:eastAsia="en-CA"/>
        </w:rPr>
        <w:t>Rate Zone Bill Impacts</w:t>
      </w:r>
    </w:p>
    <w:p w14:paraId="4E88C6FC" w14:textId="77777777" w:rsidR="00CB060A" w:rsidRDefault="00CB060A" w:rsidP="00CB060A">
      <w:pPr>
        <w:autoSpaceDE w:val="0"/>
        <w:autoSpaceDN w:val="0"/>
        <w:adjustRightInd w:val="0"/>
        <w:spacing w:line="360" w:lineRule="auto"/>
        <w:jc w:val="both"/>
        <w:rPr>
          <w:rFonts w:ascii="Arial" w:hAnsi="Arial" w:cs="Arial"/>
          <w:b/>
          <w:sz w:val="20"/>
          <w:szCs w:val="22"/>
          <w:u w:val="single"/>
          <w:lang w:eastAsia="en-CA"/>
        </w:rPr>
      </w:pPr>
    </w:p>
    <w:p w14:paraId="5E07BF01" w14:textId="77777777" w:rsidR="00CB060A" w:rsidRPr="0085214F" w:rsidRDefault="00CB060A" w:rsidP="00520579">
      <w:pPr>
        <w:autoSpaceDE w:val="0"/>
        <w:autoSpaceDN w:val="0"/>
        <w:adjustRightInd w:val="0"/>
        <w:jc w:val="both"/>
        <w:rPr>
          <w:rFonts w:ascii="Arial" w:hAnsi="Arial" w:cs="Arial"/>
          <w:sz w:val="20"/>
          <w:szCs w:val="22"/>
          <w:highlight w:val="magenta"/>
          <w:lang w:eastAsia="en-CA"/>
        </w:rPr>
      </w:pPr>
    </w:p>
    <w:p w14:paraId="6A377C3A" w14:textId="00E60B16" w:rsidR="00CB060A" w:rsidRPr="00FD4DE0" w:rsidRDefault="00CB060A" w:rsidP="00CB060A">
      <w:pPr>
        <w:autoSpaceDE w:val="0"/>
        <w:autoSpaceDN w:val="0"/>
        <w:adjustRightInd w:val="0"/>
        <w:spacing w:line="360" w:lineRule="auto"/>
        <w:jc w:val="both"/>
        <w:rPr>
          <w:rFonts w:ascii="Arial" w:hAnsi="Arial" w:cs="Arial"/>
          <w:sz w:val="20"/>
          <w:szCs w:val="22"/>
          <w:lang w:eastAsia="en-CA"/>
        </w:rPr>
      </w:pPr>
      <w:r w:rsidRPr="00FD4DE0">
        <w:rPr>
          <w:rFonts w:ascii="Arial" w:hAnsi="Arial" w:cs="Arial"/>
          <w:sz w:val="20"/>
          <w:szCs w:val="22"/>
          <w:lang w:eastAsia="en-CA"/>
        </w:rPr>
        <w:t xml:space="preserve">Table </w:t>
      </w:r>
      <w:r w:rsidR="008E643B">
        <w:rPr>
          <w:rFonts w:ascii="Arial" w:hAnsi="Arial" w:cs="Arial"/>
          <w:sz w:val="20"/>
          <w:szCs w:val="22"/>
          <w:lang w:eastAsia="en-CA"/>
        </w:rPr>
        <w:t>9</w:t>
      </w:r>
      <w:r w:rsidR="008D4E5C">
        <w:rPr>
          <w:rFonts w:ascii="Arial" w:hAnsi="Arial" w:cs="Arial"/>
          <w:sz w:val="20"/>
          <w:szCs w:val="22"/>
          <w:lang w:eastAsia="en-CA"/>
        </w:rPr>
        <w:t xml:space="preserve"> is</w:t>
      </w:r>
      <w:r w:rsidRPr="00FD4DE0">
        <w:rPr>
          <w:rFonts w:ascii="Arial" w:hAnsi="Arial" w:cs="Arial"/>
          <w:sz w:val="20"/>
          <w:szCs w:val="22"/>
          <w:lang w:eastAsia="en-CA"/>
        </w:rPr>
        <w:t xml:space="preserve"> a summary of the bill impact for each rate class</w:t>
      </w:r>
      <w:r w:rsidR="006223EF">
        <w:rPr>
          <w:rFonts w:ascii="Arial" w:hAnsi="Arial" w:cs="Arial"/>
          <w:sz w:val="20"/>
          <w:szCs w:val="22"/>
          <w:lang w:eastAsia="en-CA"/>
        </w:rPr>
        <w:t>,</w:t>
      </w:r>
      <w:r w:rsidRPr="00FD4DE0">
        <w:rPr>
          <w:rFonts w:ascii="Arial" w:hAnsi="Arial" w:cs="Arial"/>
          <w:sz w:val="20"/>
          <w:szCs w:val="22"/>
          <w:lang w:eastAsia="en-CA"/>
        </w:rPr>
        <w:t xml:space="preserve"> based on Tab 20 of the </w:t>
      </w:r>
      <w:r>
        <w:rPr>
          <w:rFonts w:ascii="Arial" w:hAnsi="Arial" w:cs="Arial"/>
          <w:sz w:val="20"/>
          <w:szCs w:val="22"/>
        </w:rPr>
        <w:t>2023</w:t>
      </w:r>
      <w:r w:rsidRPr="00FD4DE0">
        <w:rPr>
          <w:rFonts w:ascii="Arial" w:hAnsi="Arial" w:cs="Arial"/>
          <w:sz w:val="20"/>
          <w:szCs w:val="22"/>
        </w:rPr>
        <w:t xml:space="preserve"> IRM Rate Generator Mode</w:t>
      </w:r>
      <w:r w:rsidRPr="00FD4DE0">
        <w:rPr>
          <w:rFonts w:ascii="Arial" w:hAnsi="Arial" w:cs="Arial"/>
          <w:sz w:val="20"/>
          <w:szCs w:val="22"/>
          <w:lang w:eastAsia="en-CA"/>
        </w:rPr>
        <w:t>l</w:t>
      </w:r>
      <w:r w:rsidR="006223EF">
        <w:rPr>
          <w:rFonts w:ascii="Arial" w:hAnsi="Arial" w:cs="Arial"/>
          <w:sz w:val="20"/>
          <w:szCs w:val="22"/>
          <w:lang w:eastAsia="en-CA"/>
        </w:rPr>
        <w:t xml:space="preserve"> for Account 1588 &amp; 1589 Riders.</w:t>
      </w:r>
      <w:r w:rsidR="00B123FA">
        <w:rPr>
          <w:rFonts w:ascii="Arial" w:hAnsi="Arial" w:cs="Arial"/>
          <w:sz w:val="20"/>
          <w:szCs w:val="22"/>
          <w:lang w:eastAsia="en-CA"/>
        </w:rPr>
        <w:t xml:space="preserve">  Column “F” in Tab 20</w:t>
      </w:r>
      <w:r w:rsidR="005408F5">
        <w:rPr>
          <w:rFonts w:ascii="Arial" w:hAnsi="Arial" w:cs="Arial"/>
          <w:sz w:val="20"/>
          <w:szCs w:val="22"/>
          <w:lang w:eastAsia="en-CA"/>
        </w:rPr>
        <w:t xml:space="preserve"> of the IRM </w:t>
      </w:r>
      <w:r w:rsidR="00B123FA">
        <w:rPr>
          <w:rFonts w:ascii="Arial" w:hAnsi="Arial" w:cs="Arial"/>
          <w:sz w:val="20"/>
          <w:szCs w:val="22"/>
          <w:lang w:eastAsia="en-CA"/>
        </w:rPr>
        <w:t>has been input as the Rates submitted in “Phase 1” of EB-2022-0063 to calculate the impact of the riders in this Bifurcated application.</w:t>
      </w:r>
    </w:p>
    <w:p w14:paraId="6DA5A85D" w14:textId="77777777" w:rsidR="00CB060A" w:rsidRDefault="00CB060A" w:rsidP="00CB060A">
      <w:pPr>
        <w:autoSpaceDE w:val="0"/>
        <w:autoSpaceDN w:val="0"/>
        <w:adjustRightInd w:val="0"/>
        <w:jc w:val="both"/>
        <w:rPr>
          <w:rFonts w:ascii="Arial" w:hAnsi="Arial" w:cs="Arial"/>
          <w:sz w:val="20"/>
          <w:szCs w:val="22"/>
          <w:highlight w:val="magenta"/>
          <w:lang w:eastAsia="en-CA"/>
        </w:rPr>
      </w:pPr>
    </w:p>
    <w:p w14:paraId="0738FC30" w14:textId="4BDA7D1C" w:rsidR="00CB060A" w:rsidRPr="00B629CE" w:rsidRDefault="00CB060A" w:rsidP="00B629CE">
      <w:pPr>
        <w:spacing w:after="200" w:line="276" w:lineRule="auto"/>
        <w:jc w:val="both"/>
        <w:rPr>
          <w:rFonts w:ascii="Arial" w:eastAsiaTheme="minorHAnsi" w:hAnsi="Arial" w:cs="Arial"/>
          <w:b/>
          <w:bCs/>
          <w:color w:val="4F81BD" w:themeColor="accent1"/>
          <w:lang w:val="en-CA"/>
        </w:rPr>
      </w:pPr>
      <w:r w:rsidRPr="00B629CE">
        <w:rPr>
          <w:rFonts w:ascii="Arial" w:eastAsiaTheme="minorHAnsi" w:hAnsi="Arial" w:cs="Arial"/>
          <w:b/>
          <w:bCs/>
          <w:color w:val="4F81BD" w:themeColor="accent1"/>
          <w:lang w:val="en-CA"/>
        </w:rPr>
        <w:t xml:space="preserve">Table </w:t>
      </w:r>
      <w:r w:rsidR="008E643B">
        <w:rPr>
          <w:rFonts w:ascii="Arial" w:eastAsiaTheme="minorHAnsi" w:hAnsi="Arial" w:cs="Arial"/>
          <w:b/>
          <w:bCs/>
          <w:color w:val="4F81BD" w:themeColor="accent1"/>
          <w:lang w:val="en-CA"/>
        </w:rPr>
        <w:t>9</w:t>
      </w:r>
      <w:r w:rsidRPr="00B629CE">
        <w:rPr>
          <w:rFonts w:ascii="Arial" w:eastAsiaTheme="minorHAnsi" w:hAnsi="Arial" w:cs="Arial"/>
          <w:b/>
          <w:bCs/>
          <w:color w:val="4F81BD" w:themeColor="accent1"/>
          <w:lang w:val="en-CA"/>
        </w:rPr>
        <w:t xml:space="preserve">: Kenora Rate Zone 2023 Bill Impact Summary </w:t>
      </w:r>
    </w:p>
    <w:p w14:paraId="4242BFC0" w14:textId="4AF50425" w:rsidR="008A6D64" w:rsidRDefault="00016999" w:rsidP="00402AA1">
      <w:pPr>
        <w:autoSpaceDE w:val="0"/>
        <w:autoSpaceDN w:val="0"/>
        <w:adjustRightInd w:val="0"/>
        <w:jc w:val="center"/>
        <w:rPr>
          <w:rFonts w:ascii="Arial" w:eastAsiaTheme="minorHAnsi" w:hAnsi="Arial" w:cs="Arial"/>
          <w:sz w:val="20"/>
          <w:szCs w:val="22"/>
          <w:lang w:val="en-CA"/>
        </w:rPr>
      </w:pPr>
      <w:r>
        <w:rPr>
          <w:noProof/>
        </w:rPr>
        <w:drawing>
          <wp:inline distT="0" distB="0" distL="0" distR="0" wp14:anchorId="34ACCCEB" wp14:editId="212567BA">
            <wp:extent cx="6301105" cy="875030"/>
            <wp:effectExtent l="133350" t="133350" r="137795" b="13462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9"/>
                    <a:stretch>
                      <a:fillRect/>
                    </a:stretch>
                  </pic:blipFill>
                  <pic:spPr>
                    <a:xfrm>
                      <a:off x="0" y="0"/>
                      <a:ext cx="6301105" cy="875030"/>
                    </a:xfrm>
                    <a:prstGeom prst="rect">
                      <a:avLst/>
                    </a:prstGeom>
                    <a:effectLst>
                      <a:glow rad="127000">
                        <a:schemeClr val="accent1">
                          <a:lumMod val="60000"/>
                          <a:lumOff val="40000"/>
                        </a:schemeClr>
                      </a:glow>
                    </a:effectLst>
                  </pic:spPr>
                </pic:pic>
              </a:graphicData>
            </a:graphic>
          </wp:inline>
        </w:drawing>
      </w:r>
      <w:r w:rsidR="000568E1">
        <w:rPr>
          <w:noProof/>
        </w:rPr>
        <w:t xml:space="preserve"> </w:t>
      </w:r>
    </w:p>
    <w:p w14:paraId="72C6405E" w14:textId="3AA04B1D" w:rsidR="008A6D64" w:rsidRDefault="008A6D64" w:rsidP="00402AA1">
      <w:pPr>
        <w:autoSpaceDE w:val="0"/>
        <w:autoSpaceDN w:val="0"/>
        <w:adjustRightInd w:val="0"/>
        <w:jc w:val="center"/>
        <w:rPr>
          <w:rFonts w:ascii="Arial" w:eastAsiaTheme="minorHAnsi" w:hAnsi="Arial" w:cs="Arial"/>
          <w:sz w:val="20"/>
          <w:szCs w:val="22"/>
          <w:lang w:val="en-CA"/>
        </w:rPr>
      </w:pPr>
    </w:p>
    <w:p w14:paraId="62999459" w14:textId="3D5B0489" w:rsidR="009D42F6" w:rsidRDefault="009D42F6" w:rsidP="008A6D64">
      <w:pPr>
        <w:autoSpaceDE w:val="0"/>
        <w:autoSpaceDN w:val="0"/>
        <w:adjustRightInd w:val="0"/>
        <w:spacing w:line="360" w:lineRule="auto"/>
        <w:jc w:val="both"/>
        <w:rPr>
          <w:rFonts w:ascii="Arial" w:eastAsiaTheme="minorHAnsi" w:hAnsi="Arial" w:cs="Arial"/>
          <w:sz w:val="20"/>
          <w:szCs w:val="22"/>
          <w:lang w:val="en-CA"/>
        </w:rPr>
      </w:pPr>
    </w:p>
    <w:p w14:paraId="5B111B31" w14:textId="77777777" w:rsidR="00BD44C1" w:rsidRPr="004D562F" w:rsidRDefault="00BD44C1" w:rsidP="00BD44C1">
      <w:pPr>
        <w:pStyle w:val="Heading2"/>
        <w:rPr>
          <w:rFonts w:ascii="Arial" w:hAnsi="Arial" w:cs="Arial"/>
          <w:color w:val="auto"/>
          <w:sz w:val="24"/>
          <w:szCs w:val="24"/>
        </w:rPr>
      </w:pPr>
      <w:bookmarkStart w:id="29" w:name="_Toc497556747"/>
      <w:bookmarkStart w:id="30" w:name="_Toc119058581"/>
      <w:r w:rsidRPr="004D562F">
        <w:rPr>
          <w:rFonts w:ascii="Arial" w:hAnsi="Arial" w:cs="Arial"/>
          <w:color w:val="auto"/>
          <w:sz w:val="24"/>
          <w:szCs w:val="24"/>
        </w:rPr>
        <w:t>3.2.5.3 Global Adjustment</w:t>
      </w:r>
      <w:bookmarkEnd w:id="29"/>
      <w:bookmarkEnd w:id="30"/>
    </w:p>
    <w:p w14:paraId="3A4D152C" w14:textId="77777777" w:rsidR="00BD44C1" w:rsidRPr="004D562F" w:rsidRDefault="00BD44C1" w:rsidP="00BD44C1"/>
    <w:p w14:paraId="3A3201D1" w14:textId="77777777" w:rsidR="00BD44C1" w:rsidRPr="004D562F" w:rsidRDefault="00BD44C1" w:rsidP="00BD44C1">
      <w:pPr>
        <w:autoSpaceDE w:val="0"/>
        <w:autoSpaceDN w:val="0"/>
        <w:adjustRightInd w:val="0"/>
        <w:jc w:val="both"/>
        <w:rPr>
          <w:rFonts w:ascii="Arial" w:eastAsiaTheme="minorHAnsi" w:hAnsi="Arial" w:cs="Arial"/>
          <w:sz w:val="20"/>
          <w:szCs w:val="22"/>
          <w:lang w:val="en-CA"/>
        </w:rPr>
      </w:pPr>
    </w:p>
    <w:p w14:paraId="2B7C77AF"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 xml:space="preserve">The majority of SYNERGY NORTH customers are Class B customers for both Thunder Bay and Kenora Rate Zones. There were 10  Class A customers from January to June, and 11 Class A customers from July to December in Thunder Bay Rate Zone during the 2021 year. There were no Class A customers in the Kenora Rate Zone during 2021.  Class B customers pay the global adjustment (“GA”) charge based on the amount of electricity they consume in a month (kWh). Within the Class B group, there are two categories of customers: RPP customers who pay an RPP rate which has a built in GA adjustment component and the remaining </w:t>
      </w:r>
      <w:proofErr w:type="gramStart"/>
      <w:r w:rsidRPr="004D562F">
        <w:rPr>
          <w:rFonts w:ascii="Arial" w:eastAsiaTheme="minorHAnsi" w:hAnsi="Arial" w:cs="Arial"/>
          <w:sz w:val="20"/>
          <w:szCs w:val="22"/>
          <w:lang w:val="en-CA"/>
        </w:rPr>
        <w:t>Non-RPP</w:t>
      </w:r>
      <w:proofErr w:type="gramEnd"/>
      <w:r w:rsidRPr="004D562F">
        <w:rPr>
          <w:rFonts w:ascii="Arial" w:eastAsiaTheme="minorHAnsi" w:hAnsi="Arial" w:cs="Arial"/>
          <w:sz w:val="20"/>
          <w:szCs w:val="22"/>
          <w:lang w:val="en-CA"/>
        </w:rPr>
        <w:t xml:space="preserve"> customers who pay the Hourly Ontario Electricity Price, and a monthly GA price separately on their bills. </w:t>
      </w:r>
    </w:p>
    <w:p w14:paraId="6108365C"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131A53B2"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 xml:space="preserve">For Class B customers, RSVA 1589 GA captures the difference between the amounts billed (or estimated to be billed) to </w:t>
      </w:r>
      <w:proofErr w:type="gramStart"/>
      <w:r w:rsidRPr="004D562F">
        <w:rPr>
          <w:rFonts w:ascii="Arial" w:eastAsiaTheme="minorHAnsi" w:hAnsi="Arial" w:cs="Arial"/>
          <w:sz w:val="20"/>
          <w:szCs w:val="22"/>
          <w:lang w:val="en-CA"/>
        </w:rPr>
        <w:t>Non-RPP</w:t>
      </w:r>
      <w:proofErr w:type="gramEnd"/>
      <w:r w:rsidRPr="004D562F">
        <w:rPr>
          <w:rFonts w:ascii="Arial" w:eastAsiaTheme="minorHAnsi" w:hAnsi="Arial" w:cs="Arial"/>
          <w:sz w:val="20"/>
          <w:szCs w:val="22"/>
          <w:lang w:val="en-CA"/>
        </w:rPr>
        <w:t xml:space="preserve"> customers and the actual amount paid by the distributor to the IESO for those customers. This is the variance between the final rate for the GA and what is billed to the customers using the first estimate price as is loaded into the billing system. For Non-RPP customers, this variance is recorded in the USoA account 1589 RSVA GA.  For RPP customers, this variance is built into the RPP rate for the following RPP term.  </w:t>
      </w:r>
    </w:p>
    <w:p w14:paraId="74099932"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2F470295"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Customers that participate in the Industrial Conservation Initiative (“ICI”) are referred to as Class A customers and pay GA based on their percentage contribution to the top five peak Ontario demand hours (</w:t>
      </w:r>
      <w:proofErr w:type="gramStart"/>
      <w:r w:rsidRPr="004D562F">
        <w:rPr>
          <w:rFonts w:ascii="Arial" w:eastAsiaTheme="minorHAnsi" w:hAnsi="Arial" w:cs="Arial"/>
          <w:sz w:val="20"/>
          <w:szCs w:val="22"/>
          <w:lang w:val="en-CA"/>
        </w:rPr>
        <w:t>i.e.</w:t>
      </w:r>
      <w:proofErr w:type="gramEnd"/>
      <w:r w:rsidRPr="004D562F">
        <w:rPr>
          <w:rFonts w:ascii="Arial" w:eastAsiaTheme="minorHAnsi" w:hAnsi="Arial" w:cs="Arial"/>
          <w:sz w:val="20"/>
          <w:szCs w:val="22"/>
          <w:lang w:val="en-CA"/>
        </w:rPr>
        <w:t xml:space="preserve"> peak demand factor) over a year-long period. SYNERGY NORTH Thunder Bay Rate Zone settles GA costs with Class A customers on the basis of actual cost, so Class A customers have not contributed to the balance in 1589 RSVA GA for the period they were Class A customers. </w:t>
      </w:r>
    </w:p>
    <w:p w14:paraId="523AEBDD"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3977600B"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lastRenderedPageBreak/>
        <w:t xml:space="preserve">Only Non-RPP, Non-Class A customers have contributed to the balance in the RSVA 1589 GA variance account. The balance in this account has been allocated based on Non-RPP, Non-Class A consumption in 2021. </w:t>
      </w:r>
    </w:p>
    <w:p w14:paraId="33AC48E8" w14:textId="77777777" w:rsidR="00BD44C1" w:rsidRPr="004D562F" w:rsidRDefault="00BD44C1" w:rsidP="00BD44C1">
      <w:pPr>
        <w:autoSpaceDE w:val="0"/>
        <w:autoSpaceDN w:val="0"/>
        <w:adjustRightInd w:val="0"/>
        <w:jc w:val="both"/>
        <w:rPr>
          <w:rFonts w:ascii="Arial" w:eastAsiaTheme="minorHAnsi" w:hAnsi="Arial" w:cs="Arial"/>
          <w:sz w:val="20"/>
          <w:szCs w:val="22"/>
          <w:lang w:val="en-CA"/>
        </w:rPr>
      </w:pPr>
    </w:p>
    <w:p w14:paraId="7375CDFC" w14:textId="77777777" w:rsidR="00BD44C1" w:rsidRPr="004D562F" w:rsidRDefault="00BD44C1" w:rsidP="00BD44C1">
      <w:pPr>
        <w:autoSpaceDE w:val="0"/>
        <w:autoSpaceDN w:val="0"/>
        <w:adjustRightInd w:val="0"/>
        <w:jc w:val="both"/>
        <w:rPr>
          <w:rFonts w:ascii="Arial" w:eastAsiaTheme="minorHAnsi" w:hAnsi="Arial" w:cs="Arial"/>
          <w:sz w:val="20"/>
          <w:szCs w:val="22"/>
          <w:lang w:val="en-CA"/>
        </w:rPr>
      </w:pPr>
    </w:p>
    <w:p w14:paraId="096C375C" w14:textId="77777777" w:rsidR="00BD44C1" w:rsidRPr="004D562F" w:rsidRDefault="00BD44C1" w:rsidP="00BD44C1">
      <w:pPr>
        <w:pStyle w:val="Heading2"/>
        <w:rPr>
          <w:color w:val="auto"/>
          <w:sz w:val="24"/>
          <w:szCs w:val="24"/>
        </w:rPr>
      </w:pPr>
      <w:bookmarkStart w:id="31" w:name="_Toc497556748"/>
      <w:bookmarkStart w:id="32" w:name="_Toc119058582"/>
      <w:r w:rsidRPr="004D562F">
        <w:rPr>
          <w:rFonts w:ascii="Arial" w:hAnsi="Arial" w:cs="Arial"/>
          <w:color w:val="auto"/>
          <w:sz w:val="24"/>
          <w:szCs w:val="24"/>
        </w:rPr>
        <w:t>3.2.5.4 Class A Global Adjustment</w:t>
      </w:r>
      <w:bookmarkEnd w:id="31"/>
      <w:bookmarkEnd w:id="32"/>
      <w:r w:rsidRPr="004D562F">
        <w:rPr>
          <w:rFonts w:ascii="Arial" w:hAnsi="Arial" w:cs="Arial"/>
          <w:color w:val="auto"/>
          <w:sz w:val="24"/>
          <w:szCs w:val="24"/>
        </w:rPr>
        <w:t xml:space="preserve"> </w:t>
      </w:r>
    </w:p>
    <w:p w14:paraId="17946CD0"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341F175E"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 xml:space="preserve">The Board has included a requirement for 2022 Applications in its </w:t>
      </w:r>
      <w:r w:rsidRPr="004D562F">
        <w:rPr>
          <w:rFonts w:ascii="Arial" w:eastAsiaTheme="minorHAnsi" w:hAnsi="Arial" w:cs="Arial"/>
          <w:i/>
          <w:sz w:val="20"/>
          <w:szCs w:val="22"/>
          <w:lang w:val="en-CA"/>
        </w:rPr>
        <w:t xml:space="preserve">2023 Filing Requirements </w:t>
      </w:r>
      <w:r w:rsidRPr="004D562F">
        <w:rPr>
          <w:rFonts w:ascii="Arial" w:eastAsiaTheme="minorHAnsi" w:hAnsi="Arial" w:cs="Arial"/>
          <w:sz w:val="20"/>
          <w:szCs w:val="22"/>
          <w:lang w:val="en-CA"/>
        </w:rPr>
        <w:t>for distributors to provide information regarding its Class A customers. This only applies to Thunder Bay Rate Zone.</w:t>
      </w:r>
    </w:p>
    <w:p w14:paraId="27D046A5"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7C32E514"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SYNERGY NORTH Thunder Bay Rate Zone has indicated in the IRM Rate Generator Tab 1. ‘Information Sheet’ that it had Class A customers during the period that the Account 1589 GA balances was accumulated (</w:t>
      </w:r>
      <w:proofErr w:type="gramStart"/>
      <w:r w:rsidRPr="004D562F">
        <w:rPr>
          <w:rFonts w:ascii="Arial" w:eastAsiaTheme="minorHAnsi" w:hAnsi="Arial" w:cs="Arial"/>
          <w:sz w:val="20"/>
          <w:szCs w:val="22"/>
          <w:lang w:val="en-CA"/>
        </w:rPr>
        <w:t>i.e.</w:t>
      </w:r>
      <w:proofErr w:type="gramEnd"/>
      <w:r w:rsidRPr="004D562F">
        <w:rPr>
          <w:rFonts w:ascii="Arial" w:eastAsiaTheme="minorHAnsi" w:hAnsi="Arial" w:cs="Arial"/>
          <w:sz w:val="20"/>
          <w:szCs w:val="22"/>
          <w:lang w:val="en-CA"/>
        </w:rPr>
        <w:t xml:space="preserve"> from the year the balance was last disposed). This is also true for the Account 1580 WMS CBR Balance. </w:t>
      </w:r>
    </w:p>
    <w:p w14:paraId="478B38DC"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43112EDB"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 xml:space="preserve">Section 3.2.5.2 of the </w:t>
      </w:r>
      <w:r w:rsidRPr="004D562F">
        <w:rPr>
          <w:rFonts w:ascii="Arial" w:eastAsiaTheme="minorHAnsi" w:hAnsi="Arial" w:cs="Arial"/>
          <w:i/>
          <w:sz w:val="20"/>
          <w:szCs w:val="22"/>
          <w:lang w:val="en-CA"/>
        </w:rPr>
        <w:t>2023 Filing Guidelines</w:t>
      </w:r>
      <w:r w:rsidRPr="004D562F">
        <w:rPr>
          <w:rFonts w:ascii="Arial" w:eastAsiaTheme="minorHAnsi" w:hAnsi="Arial" w:cs="Arial"/>
          <w:sz w:val="20"/>
          <w:szCs w:val="22"/>
          <w:lang w:val="en-CA"/>
        </w:rPr>
        <w:t xml:space="preserve"> requires that distributors propose an approximate allocation for the recovery of the GA variance. Selecting this </w:t>
      </w:r>
      <w:proofErr w:type="gramStart"/>
      <w:r w:rsidRPr="004D562F">
        <w:rPr>
          <w:rFonts w:ascii="Arial" w:eastAsiaTheme="minorHAnsi" w:hAnsi="Arial" w:cs="Arial"/>
          <w:sz w:val="20"/>
          <w:szCs w:val="22"/>
          <w:lang w:val="en-CA"/>
        </w:rPr>
        <w:t>Class</w:t>
      </w:r>
      <w:proofErr w:type="gramEnd"/>
      <w:r w:rsidRPr="004D562F">
        <w:rPr>
          <w:rFonts w:ascii="Arial" w:eastAsiaTheme="minorHAnsi" w:hAnsi="Arial" w:cs="Arial"/>
          <w:sz w:val="20"/>
          <w:szCs w:val="22"/>
          <w:lang w:val="en-CA"/>
        </w:rPr>
        <w:t xml:space="preserve"> A option to account for Class A customers in Tab 1. ‘Information Sheet’ Schedule results in Tab 6. ‘Class A Consumption Data’ requirement to input the Billing Determinants by Customer Rate Classification for Class A kWh and kW.   These Class A reported kWh and kW volumes are then stripped from the disposition of 1589 Global Adjustment Disposition, and 1580 WMS – CBR Class B Disposition by rate class, to appropriately allocate the balance of 1589 to Class B customers who contributed to the variance account in Tab 6.1 ‘GA’. </w:t>
      </w:r>
    </w:p>
    <w:p w14:paraId="053F66B9"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6C546E8B"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From July 2020 to June 2021, Thunder Bay Rate Zone had 10 Class A customers with a peak demand factor of 0.00069561. On July 1, 2021, Thunder Bay Rate Zone had one customer “opt into” the Class A program. Class A customer counts remained at 11 customers until December 31, 2021, with a peak demand factor of 0.00077963. There was one transition customers to account for partial allocations of the 1589 Global Adjustment Disposition, and 1580 WMS – CBR Class B Disposition.</w:t>
      </w:r>
    </w:p>
    <w:p w14:paraId="7E21B232" w14:textId="77777777" w:rsidR="00BD44C1" w:rsidRPr="004D562F" w:rsidRDefault="00BD44C1" w:rsidP="00BD44C1">
      <w:pPr>
        <w:autoSpaceDE w:val="0"/>
        <w:autoSpaceDN w:val="0"/>
        <w:adjustRightInd w:val="0"/>
        <w:spacing w:line="360" w:lineRule="auto"/>
        <w:jc w:val="both"/>
        <w:rPr>
          <w:rFonts w:ascii="Arial" w:eastAsiaTheme="minorHAnsi" w:hAnsi="Arial" w:cs="Arial"/>
          <w:sz w:val="20"/>
          <w:szCs w:val="22"/>
          <w:lang w:val="en-CA"/>
        </w:rPr>
      </w:pPr>
    </w:p>
    <w:p w14:paraId="6DBE10FC" w14:textId="77777777" w:rsidR="00BD44C1" w:rsidRPr="00312CC5" w:rsidRDefault="00BD44C1" w:rsidP="00BD44C1">
      <w:pPr>
        <w:autoSpaceDE w:val="0"/>
        <w:autoSpaceDN w:val="0"/>
        <w:adjustRightInd w:val="0"/>
        <w:spacing w:line="360" w:lineRule="auto"/>
        <w:jc w:val="both"/>
        <w:rPr>
          <w:rFonts w:ascii="Arial" w:eastAsiaTheme="minorHAnsi" w:hAnsi="Arial" w:cs="Arial"/>
          <w:sz w:val="20"/>
          <w:szCs w:val="22"/>
          <w:lang w:val="en-CA"/>
        </w:rPr>
      </w:pPr>
      <w:r w:rsidRPr="004D562F">
        <w:rPr>
          <w:rFonts w:ascii="Arial" w:eastAsiaTheme="minorHAnsi" w:hAnsi="Arial" w:cs="Arial"/>
          <w:sz w:val="20"/>
          <w:szCs w:val="22"/>
          <w:lang w:val="en-CA"/>
        </w:rPr>
        <w:t>As mentioned previously, Thunder Bay Rate Zone settles GA with Class A customers on a monthly basis and on the basis of actual cost. As a result, the customers in the Class A program did not contribute to the balance in RSVA 1589 GA for the period they were Class A customers. Therefore, the entire Class A consumption (full year Class A) is stripped from the Total Metered Non-RPP 2021 consumption used to develop a GA Rate Rider in Tab 6.1 ‘GA’.</w:t>
      </w:r>
      <w:r w:rsidRPr="00312CC5">
        <w:rPr>
          <w:rFonts w:ascii="Arial" w:eastAsiaTheme="minorHAnsi" w:hAnsi="Arial" w:cs="Arial"/>
          <w:sz w:val="20"/>
          <w:szCs w:val="22"/>
          <w:lang w:val="en-CA"/>
        </w:rPr>
        <w:t xml:space="preserve">  </w:t>
      </w:r>
    </w:p>
    <w:p w14:paraId="67C9D169" w14:textId="44739A96"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21FE467C" w14:textId="21BEA3AB"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29999BD5" w14:textId="791F8739"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4993837A" w14:textId="51298929"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417FCC6D" w14:textId="111F45CC"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77C555FC" w14:textId="23F25AA7"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238C71FD" w14:textId="77777777" w:rsidR="00B52513" w:rsidRDefault="00B52513" w:rsidP="008A6D64">
      <w:pPr>
        <w:autoSpaceDE w:val="0"/>
        <w:autoSpaceDN w:val="0"/>
        <w:adjustRightInd w:val="0"/>
        <w:spacing w:line="360" w:lineRule="auto"/>
        <w:jc w:val="both"/>
        <w:rPr>
          <w:rFonts w:ascii="Arial" w:eastAsiaTheme="minorHAnsi" w:hAnsi="Arial" w:cs="Arial"/>
          <w:sz w:val="20"/>
          <w:szCs w:val="22"/>
          <w:lang w:val="en-CA"/>
        </w:rPr>
      </w:pPr>
    </w:p>
    <w:p w14:paraId="4F59EF06" w14:textId="0B2A399C" w:rsidR="006320E5" w:rsidRPr="00880E6D" w:rsidRDefault="006320E5" w:rsidP="006320E5">
      <w:pPr>
        <w:pStyle w:val="Heading2"/>
        <w:rPr>
          <w:rFonts w:ascii="Arial" w:hAnsi="Arial" w:cs="Arial"/>
          <w:color w:val="auto"/>
          <w:sz w:val="24"/>
          <w:szCs w:val="24"/>
        </w:rPr>
      </w:pPr>
      <w:bookmarkStart w:id="33" w:name="_Toc497556749"/>
      <w:bookmarkStart w:id="34" w:name="_Toc127886115"/>
      <w:r w:rsidRPr="00880E6D">
        <w:rPr>
          <w:rFonts w:ascii="Arial" w:hAnsi="Arial" w:cs="Arial"/>
          <w:color w:val="auto"/>
          <w:sz w:val="24"/>
          <w:szCs w:val="24"/>
        </w:rPr>
        <w:t>3.2.5.</w:t>
      </w:r>
      <w:r w:rsidR="00497463">
        <w:rPr>
          <w:rFonts w:ascii="Arial" w:hAnsi="Arial" w:cs="Arial"/>
          <w:color w:val="auto"/>
          <w:sz w:val="24"/>
          <w:szCs w:val="24"/>
        </w:rPr>
        <w:t>4</w:t>
      </w:r>
      <w:r w:rsidRPr="00880E6D">
        <w:rPr>
          <w:rFonts w:ascii="Arial" w:hAnsi="Arial" w:cs="Arial"/>
          <w:color w:val="auto"/>
          <w:sz w:val="24"/>
          <w:szCs w:val="24"/>
        </w:rPr>
        <w:t xml:space="preserve">.1 Global Adjustment Analysis </w:t>
      </w:r>
      <w:proofErr w:type="spellStart"/>
      <w:r w:rsidR="007C7B47">
        <w:rPr>
          <w:rFonts w:ascii="Arial" w:hAnsi="Arial" w:cs="Arial"/>
          <w:color w:val="auto"/>
          <w:sz w:val="24"/>
          <w:szCs w:val="24"/>
        </w:rPr>
        <w:t>Workform</w:t>
      </w:r>
      <w:bookmarkEnd w:id="33"/>
      <w:bookmarkEnd w:id="34"/>
      <w:r w:rsidR="00520579">
        <w:rPr>
          <w:rFonts w:ascii="Arial" w:hAnsi="Arial" w:cs="Arial"/>
          <w:color w:val="auto"/>
          <w:sz w:val="24"/>
          <w:szCs w:val="24"/>
        </w:rPr>
        <w:t>s</w:t>
      </w:r>
      <w:proofErr w:type="spellEnd"/>
    </w:p>
    <w:p w14:paraId="4833878E" w14:textId="77777777" w:rsidR="004344DB" w:rsidRPr="00880E6D" w:rsidRDefault="004344DB" w:rsidP="004344DB">
      <w:pPr>
        <w:autoSpaceDE w:val="0"/>
        <w:autoSpaceDN w:val="0"/>
        <w:adjustRightInd w:val="0"/>
        <w:jc w:val="both"/>
        <w:rPr>
          <w:rFonts w:ascii="Arial" w:eastAsiaTheme="minorHAnsi" w:hAnsi="Arial" w:cs="Arial"/>
          <w:sz w:val="20"/>
          <w:szCs w:val="22"/>
          <w:lang w:val="en-CA"/>
        </w:rPr>
      </w:pPr>
    </w:p>
    <w:p w14:paraId="7BE42C46" w14:textId="77777777" w:rsidR="006320E5" w:rsidRPr="00880E6D" w:rsidRDefault="006320E5" w:rsidP="004344DB">
      <w:pPr>
        <w:autoSpaceDE w:val="0"/>
        <w:autoSpaceDN w:val="0"/>
        <w:adjustRightInd w:val="0"/>
        <w:jc w:val="both"/>
        <w:rPr>
          <w:rFonts w:ascii="Arial" w:eastAsiaTheme="minorHAnsi" w:hAnsi="Arial" w:cs="Arial"/>
          <w:sz w:val="20"/>
          <w:szCs w:val="22"/>
          <w:lang w:val="en-CA"/>
        </w:rPr>
      </w:pPr>
    </w:p>
    <w:p w14:paraId="7B836386" w14:textId="79B97C75" w:rsidR="006320E5" w:rsidRPr="00880E6D" w:rsidRDefault="006320E5" w:rsidP="001B4A0A">
      <w:pPr>
        <w:autoSpaceDE w:val="0"/>
        <w:autoSpaceDN w:val="0"/>
        <w:adjustRightInd w:val="0"/>
        <w:spacing w:line="360" w:lineRule="auto"/>
        <w:jc w:val="both"/>
        <w:rPr>
          <w:rFonts w:ascii="Arial" w:eastAsiaTheme="minorHAnsi" w:hAnsi="Arial" w:cs="Arial"/>
          <w:sz w:val="20"/>
          <w:szCs w:val="22"/>
          <w:lang w:val="en-CA"/>
        </w:rPr>
      </w:pPr>
      <w:r w:rsidRPr="00880E6D">
        <w:rPr>
          <w:rFonts w:ascii="Arial" w:eastAsiaTheme="minorHAnsi" w:hAnsi="Arial" w:cs="Arial"/>
          <w:sz w:val="20"/>
          <w:szCs w:val="22"/>
          <w:lang w:val="en-CA"/>
        </w:rPr>
        <w:t>As directe</w:t>
      </w:r>
      <w:r w:rsidR="00880E6D" w:rsidRPr="00880E6D">
        <w:rPr>
          <w:rFonts w:ascii="Arial" w:eastAsiaTheme="minorHAnsi" w:hAnsi="Arial" w:cs="Arial"/>
          <w:sz w:val="20"/>
          <w:szCs w:val="22"/>
          <w:lang w:val="en-CA"/>
        </w:rPr>
        <w:t xml:space="preserve">d by the Board for the </w:t>
      </w:r>
      <w:r w:rsidR="00C0612A">
        <w:rPr>
          <w:rFonts w:ascii="Arial" w:eastAsiaTheme="minorHAnsi" w:hAnsi="Arial" w:cs="Arial"/>
          <w:sz w:val="20"/>
          <w:szCs w:val="22"/>
          <w:lang w:val="en-CA"/>
        </w:rPr>
        <w:t>2023</w:t>
      </w:r>
      <w:r w:rsidR="000C348A" w:rsidRPr="00880E6D">
        <w:rPr>
          <w:rFonts w:ascii="Arial" w:eastAsiaTheme="minorHAnsi" w:hAnsi="Arial" w:cs="Arial"/>
          <w:sz w:val="20"/>
          <w:szCs w:val="22"/>
          <w:lang w:val="en-CA"/>
        </w:rPr>
        <w:t xml:space="preserve"> Rate Application</w:t>
      </w:r>
      <w:r w:rsidR="009D1D2F">
        <w:rPr>
          <w:rFonts w:ascii="Arial" w:eastAsiaTheme="minorHAnsi" w:hAnsi="Arial" w:cs="Arial"/>
          <w:sz w:val="20"/>
          <w:szCs w:val="22"/>
          <w:lang w:val="en-CA"/>
        </w:rPr>
        <w:t>s,</w:t>
      </w:r>
      <w:r w:rsidR="000C348A" w:rsidRPr="00880E6D">
        <w:rPr>
          <w:rFonts w:ascii="Arial" w:eastAsiaTheme="minorHAnsi" w:hAnsi="Arial" w:cs="Arial"/>
          <w:sz w:val="20"/>
          <w:szCs w:val="22"/>
          <w:lang w:val="en-CA"/>
        </w:rPr>
        <w:t xml:space="preserve"> d</w:t>
      </w:r>
      <w:r w:rsidR="00880E6D" w:rsidRPr="00880E6D">
        <w:rPr>
          <w:rFonts w:ascii="Arial" w:eastAsiaTheme="minorHAnsi" w:hAnsi="Arial" w:cs="Arial"/>
          <w:sz w:val="20"/>
          <w:szCs w:val="22"/>
          <w:lang w:val="en-CA"/>
        </w:rPr>
        <w:t>istributors are</w:t>
      </w:r>
      <w:r w:rsidRPr="00880E6D">
        <w:rPr>
          <w:rFonts w:ascii="Arial" w:eastAsiaTheme="minorHAnsi" w:hAnsi="Arial" w:cs="Arial"/>
          <w:sz w:val="20"/>
          <w:szCs w:val="22"/>
          <w:lang w:val="en-CA"/>
        </w:rPr>
        <w:t xml:space="preserve"> required to complete the Global Ad</w:t>
      </w:r>
      <w:r w:rsidR="005951CA" w:rsidRPr="00880E6D">
        <w:rPr>
          <w:rFonts w:ascii="Arial" w:eastAsiaTheme="minorHAnsi" w:hAnsi="Arial" w:cs="Arial"/>
          <w:sz w:val="20"/>
          <w:szCs w:val="22"/>
          <w:lang w:val="en-CA"/>
        </w:rPr>
        <w:t xml:space="preserve">justment (GA) Analysis </w:t>
      </w:r>
      <w:r w:rsidR="007C7B47">
        <w:rPr>
          <w:rFonts w:ascii="Arial" w:eastAsiaTheme="minorHAnsi" w:hAnsi="Arial" w:cs="Arial"/>
          <w:sz w:val="20"/>
          <w:szCs w:val="22"/>
          <w:lang w:val="en-CA"/>
        </w:rPr>
        <w:t>Workform</w:t>
      </w:r>
      <w:r w:rsidR="005951CA" w:rsidRPr="00880E6D">
        <w:rPr>
          <w:rFonts w:ascii="Arial" w:eastAsiaTheme="minorHAnsi" w:hAnsi="Arial" w:cs="Arial"/>
          <w:sz w:val="20"/>
          <w:szCs w:val="22"/>
          <w:lang w:val="en-CA"/>
        </w:rPr>
        <w:t xml:space="preserve">. </w:t>
      </w:r>
      <w:r w:rsidR="009D1D2F">
        <w:rPr>
          <w:rFonts w:ascii="Arial" w:eastAsiaTheme="minorHAnsi" w:hAnsi="Arial" w:cs="Arial"/>
          <w:sz w:val="20"/>
          <w:szCs w:val="22"/>
          <w:lang w:val="en-CA"/>
        </w:rPr>
        <w:t>This w</w:t>
      </w:r>
      <w:r w:rsidR="007C7B47">
        <w:rPr>
          <w:rFonts w:ascii="Arial" w:eastAsiaTheme="minorHAnsi" w:hAnsi="Arial" w:cs="Arial"/>
          <w:sz w:val="20"/>
          <w:szCs w:val="22"/>
          <w:lang w:val="en-CA"/>
        </w:rPr>
        <w:t>orkform</w:t>
      </w:r>
      <w:r w:rsidR="005951CA" w:rsidRPr="00880E6D">
        <w:rPr>
          <w:rFonts w:ascii="Arial" w:eastAsiaTheme="minorHAnsi" w:hAnsi="Arial" w:cs="Arial"/>
          <w:sz w:val="20"/>
          <w:szCs w:val="22"/>
          <w:lang w:val="en-CA"/>
        </w:rPr>
        <w:t xml:space="preserve"> compares the </w:t>
      </w:r>
      <w:r w:rsidR="009D1D2F">
        <w:rPr>
          <w:rFonts w:ascii="Arial" w:eastAsiaTheme="minorHAnsi" w:hAnsi="Arial" w:cs="Arial"/>
          <w:sz w:val="20"/>
          <w:szCs w:val="22"/>
          <w:lang w:val="en-CA"/>
        </w:rPr>
        <w:t>general l</w:t>
      </w:r>
      <w:r w:rsidR="005951CA" w:rsidRPr="00880E6D">
        <w:rPr>
          <w:rFonts w:ascii="Arial" w:eastAsiaTheme="minorHAnsi" w:hAnsi="Arial" w:cs="Arial"/>
          <w:sz w:val="20"/>
          <w:szCs w:val="22"/>
          <w:lang w:val="en-CA"/>
        </w:rPr>
        <w:t xml:space="preserve">edger principal balance to an expected </w:t>
      </w:r>
      <w:r w:rsidR="00DF4BA9" w:rsidRPr="00880E6D">
        <w:rPr>
          <w:rFonts w:ascii="Arial" w:eastAsiaTheme="minorHAnsi" w:hAnsi="Arial" w:cs="Arial"/>
          <w:sz w:val="20"/>
          <w:szCs w:val="22"/>
          <w:lang w:val="en-CA"/>
        </w:rPr>
        <w:t xml:space="preserve">principal balance based on monthly GA volumes, revenues and costs. </w:t>
      </w:r>
    </w:p>
    <w:p w14:paraId="7A8E13AC" w14:textId="77777777" w:rsidR="00DF4BA9" w:rsidRPr="00880E6D" w:rsidRDefault="00DF4BA9" w:rsidP="001B4A0A">
      <w:pPr>
        <w:autoSpaceDE w:val="0"/>
        <w:autoSpaceDN w:val="0"/>
        <w:adjustRightInd w:val="0"/>
        <w:spacing w:line="360" w:lineRule="auto"/>
        <w:jc w:val="both"/>
        <w:rPr>
          <w:rFonts w:ascii="Arial" w:eastAsiaTheme="minorHAnsi" w:hAnsi="Arial" w:cs="Arial"/>
          <w:sz w:val="20"/>
          <w:szCs w:val="22"/>
          <w:lang w:val="en-CA"/>
        </w:rPr>
      </w:pPr>
    </w:p>
    <w:p w14:paraId="3795A166" w14:textId="4572EBFF" w:rsidR="00DF4BA9" w:rsidRDefault="006D6541"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SYNERGY NORTH</w:t>
      </w:r>
      <w:r w:rsidR="00700EF5" w:rsidRPr="00880E6D">
        <w:rPr>
          <w:rFonts w:ascii="Arial" w:eastAsiaTheme="minorHAnsi" w:hAnsi="Arial" w:cs="Arial"/>
          <w:sz w:val="20"/>
          <w:szCs w:val="22"/>
          <w:lang w:val="en-CA"/>
        </w:rPr>
        <w:t xml:space="preserve"> has completed the </w:t>
      </w:r>
      <w:r w:rsidR="00477601" w:rsidRPr="00880E6D">
        <w:rPr>
          <w:rFonts w:ascii="Arial" w:eastAsiaTheme="minorHAnsi" w:hAnsi="Arial" w:cs="Arial"/>
          <w:sz w:val="20"/>
          <w:szCs w:val="22"/>
          <w:lang w:val="en-CA"/>
        </w:rPr>
        <w:t xml:space="preserve">GA Analysis </w:t>
      </w:r>
      <w:r w:rsidR="007C7B47">
        <w:rPr>
          <w:rFonts w:ascii="Arial" w:eastAsiaTheme="minorHAnsi" w:hAnsi="Arial" w:cs="Arial"/>
          <w:sz w:val="20"/>
          <w:szCs w:val="22"/>
          <w:lang w:val="en-CA"/>
        </w:rPr>
        <w:t>Workform</w:t>
      </w:r>
      <w:r w:rsidR="00FE52C9">
        <w:rPr>
          <w:rFonts w:ascii="Arial" w:eastAsiaTheme="minorHAnsi" w:hAnsi="Arial" w:cs="Arial"/>
          <w:sz w:val="20"/>
          <w:szCs w:val="22"/>
          <w:lang w:val="en-CA"/>
        </w:rPr>
        <w:t xml:space="preserve"> for both Thunder Bay and Kenora </w:t>
      </w:r>
      <w:r w:rsidR="00FA4098">
        <w:rPr>
          <w:rFonts w:ascii="Arial" w:eastAsiaTheme="minorHAnsi" w:hAnsi="Arial" w:cs="Arial"/>
          <w:sz w:val="20"/>
          <w:szCs w:val="22"/>
          <w:lang w:val="en-CA"/>
        </w:rPr>
        <w:t>Rate Zone</w:t>
      </w:r>
      <w:r w:rsidR="009D1D2F">
        <w:rPr>
          <w:rFonts w:ascii="Arial" w:eastAsiaTheme="minorHAnsi" w:hAnsi="Arial" w:cs="Arial"/>
          <w:sz w:val="20"/>
          <w:szCs w:val="22"/>
          <w:lang w:val="en-CA"/>
        </w:rPr>
        <w:t>.</w:t>
      </w:r>
      <w:r w:rsidR="00C63FC0" w:rsidRPr="00880E6D">
        <w:rPr>
          <w:rFonts w:ascii="Arial" w:eastAsiaTheme="minorHAnsi" w:hAnsi="Arial" w:cs="Arial"/>
          <w:sz w:val="20"/>
          <w:szCs w:val="22"/>
          <w:lang w:val="en-CA"/>
        </w:rPr>
        <w:t xml:space="preserve"> The GA Analysis helps the OEB asses</w:t>
      </w:r>
      <w:r w:rsidR="00E93925" w:rsidRPr="00880E6D">
        <w:rPr>
          <w:rFonts w:ascii="Arial" w:eastAsiaTheme="minorHAnsi" w:hAnsi="Arial" w:cs="Arial"/>
          <w:sz w:val="20"/>
          <w:szCs w:val="22"/>
          <w:lang w:val="en-CA"/>
        </w:rPr>
        <w:t>s</w:t>
      </w:r>
      <w:r w:rsidR="00C63FC0" w:rsidRPr="00880E6D">
        <w:rPr>
          <w:rFonts w:ascii="Arial" w:eastAsiaTheme="minorHAnsi" w:hAnsi="Arial" w:cs="Arial"/>
          <w:sz w:val="20"/>
          <w:szCs w:val="22"/>
          <w:lang w:val="en-CA"/>
        </w:rPr>
        <w:t xml:space="preserve"> if the balance being requested for disposition in Account 1589 is reasonable</w:t>
      </w:r>
      <w:r w:rsidR="009D1D2F">
        <w:rPr>
          <w:rFonts w:ascii="Arial" w:eastAsiaTheme="minorHAnsi" w:hAnsi="Arial" w:cs="Arial"/>
          <w:sz w:val="20"/>
          <w:szCs w:val="22"/>
          <w:lang w:val="en-CA"/>
        </w:rPr>
        <w:t xml:space="preserve"> and</w:t>
      </w:r>
      <w:r w:rsidR="00C63FC0" w:rsidRPr="00880E6D">
        <w:rPr>
          <w:rFonts w:ascii="Arial" w:eastAsiaTheme="minorHAnsi" w:hAnsi="Arial" w:cs="Arial"/>
          <w:sz w:val="20"/>
          <w:szCs w:val="22"/>
          <w:lang w:val="en-CA"/>
        </w:rPr>
        <w:t xml:space="preserve"> helps confirm the accuracy of both accounts 1588 and 1589.</w:t>
      </w:r>
      <w:r w:rsidR="00700EF5" w:rsidRPr="00880E6D">
        <w:rPr>
          <w:rFonts w:ascii="Arial" w:eastAsiaTheme="minorHAnsi" w:hAnsi="Arial" w:cs="Arial"/>
          <w:sz w:val="20"/>
          <w:szCs w:val="22"/>
          <w:lang w:val="en-CA"/>
        </w:rPr>
        <w:t xml:space="preserve"> </w:t>
      </w:r>
      <w:r>
        <w:rPr>
          <w:rFonts w:ascii="Arial" w:eastAsiaTheme="minorHAnsi" w:hAnsi="Arial" w:cs="Arial"/>
          <w:sz w:val="20"/>
          <w:szCs w:val="22"/>
          <w:lang w:val="en-CA"/>
        </w:rPr>
        <w:t>SYNERGY NORTH</w:t>
      </w:r>
      <w:r w:rsidR="00700EF5" w:rsidRPr="00880E6D">
        <w:rPr>
          <w:rFonts w:ascii="Arial" w:eastAsiaTheme="minorHAnsi" w:hAnsi="Arial" w:cs="Arial"/>
          <w:sz w:val="20"/>
          <w:szCs w:val="22"/>
          <w:lang w:val="en-CA"/>
        </w:rPr>
        <w:t xml:space="preserve"> confirms that the Consumption Data from Note 2 reflects the RRR </w:t>
      </w:r>
      <w:proofErr w:type="gramStart"/>
      <w:r w:rsidR="00700EF5" w:rsidRPr="00880E6D">
        <w:rPr>
          <w:rFonts w:ascii="Arial" w:eastAsiaTheme="minorHAnsi" w:hAnsi="Arial" w:cs="Arial"/>
          <w:sz w:val="20"/>
          <w:szCs w:val="22"/>
          <w:lang w:val="en-CA"/>
        </w:rPr>
        <w:t>da</w:t>
      </w:r>
      <w:r w:rsidR="00E34F30" w:rsidRPr="00880E6D">
        <w:rPr>
          <w:rFonts w:ascii="Arial" w:eastAsiaTheme="minorHAnsi" w:hAnsi="Arial" w:cs="Arial"/>
          <w:sz w:val="20"/>
          <w:szCs w:val="22"/>
          <w:lang w:val="en-CA"/>
        </w:rPr>
        <w:t>ta</w:t>
      </w:r>
      <w:proofErr w:type="gramEnd"/>
      <w:r w:rsidR="00E34F30" w:rsidRPr="00880E6D">
        <w:rPr>
          <w:rFonts w:ascii="Arial" w:eastAsiaTheme="minorHAnsi" w:hAnsi="Arial" w:cs="Arial"/>
          <w:sz w:val="20"/>
          <w:szCs w:val="22"/>
          <w:lang w:val="en-CA"/>
        </w:rPr>
        <w:t xml:space="preserve"> which was filed </w:t>
      </w:r>
      <w:r w:rsidR="00E34F30" w:rsidRPr="008A6D64">
        <w:rPr>
          <w:rFonts w:ascii="Arial" w:eastAsiaTheme="minorHAnsi" w:hAnsi="Arial" w:cs="Arial"/>
          <w:sz w:val="20"/>
          <w:szCs w:val="22"/>
          <w:lang w:val="en-CA"/>
        </w:rPr>
        <w:t>April 30</w:t>
      </w:r>
      <w:r w:rsidR="00963136" w:rsidRPr="008A6D64">
        <w:rPr>
          <w:rFonts w:ascii="Arial" w:eastAsiaTheme="minorHAnsi" w:hAnsi="Arial" w:cs="Arial"/>
          <w:sz w:val="20"/>
          <w:szCs w:val="22"/>
          <w:lang w:val="en-CA"/>
        </w:rPr>
        <w:t>,</w:t>
      </w:r>
      <w:r w:rsidR="00E34F30" w:rsidRPr="008A6D64">
        <w:rPr>
          <w:rFonts w:ascii="Arial" w:eastAsiaTheme="minorHAnsi" w:hAnsi="Arial" w:cs="Arial"/>
          <w:sz w:val="20"/>
          <w:szCs w:val="22"/>
          <w:lang w:val="en-CA"/>
        </w:rPr>
        <w:t xml:space="preserve"> 20</w:t>
      </w:r>
      <w:r w:rsidR="002B6090" w:rsidRPr="008A6D64">
        <w:rPr>
          <w:rFonts w:ascii="Arial" w:eastAsiaTheme="minorHAnsi" w:hAnsi="Arial" w:cs="Arial"/>
          <w:sz w:val="20"/>
          <w:szCs w:val="22"/>
          <w:lang w:val="en-CA"/>
        </w:rPr>
        <w:t>2</w:t>
      </w:r>
      <w:r w:rsidR="00D06828" w:rsidRPr="008A6D64">
        <w:rPr>
          <w:rFonts w:ascii="Arial" w:eastAsiaTheme="minorHAnsi" w:hAnsi="Arial" w:cs="Arial"/>
          <w:sz w:val="20"/>
          <w:szCs w:val="22"/>
          <w:lang w:val="en-CA"/>
        </w:rPr>
        <w:t>2</w:t>
      </w:r>
      <w:r w:rsidR="00FE52C9" w:rsidRPr="008A6D64">
        <w:rPr>
          <w:rFonts w:ascii="Arial" w:eastAsiaTheme="minorHAnsi" w:hAnsi="Arial" w:cs="Arial"/>
          <w:sz w:val="20"/>
          <w:szCs w:val="22"/>
          <w:lang w:val="en-CA"/>
        </w:rPr>
        <w:t>, for 20</w:t>
      </w:r>
      <w:r w:rsidR="002B6090" w:rsidRPr="008A6D64">
        <w:rPr>
          <w:rFonts w:ascii="Arial" w:eastAsiaTheme="minorHAnsi" w:hAnsi="Arial" w:cs="Arial"/>
          <w:sz w:val="20"/>
          <w:szCs w:val="22"/>
          <w:lang w:val="en-CA"/>
        </w:rPr>
        <w:t>2</w:t>
      </w:r>
      <w:r w:rsidR="00D06828" w:rsidRPr="008A6D64">
        <w:rPr>
          <w:rFonts w:ascii="Arial" w:eastAsiaTheme="minorHAnsi" w:hAnsi="Arial" w:cs="Arial"/>
          <w:sz w:val="20"/>
          <w:szCs w:val="22"/>
          <w:lang w:val="en-CA"/>
        </w:rPr>
        <w:t>1</w:t>
      </w:r>
      <w:r w:rsidR="00700EF5" w:rsidRPr="00880E6D">
        <w:rPr>
          <w:rFonts w:ascii="Arial" w:eastAsiaTheme="minorHAnsi" w:hAnsi="Arial" w:cs="Arial"/>
          <w:sz w:val="20"/>
          <w:szCs w:val="22"/>
          <w:lang w:val="en-CA"/>
        </w:rPr>
        <w:t xml:space="preserve"> volumes, non-loss adjusted.</w:t>
      </w:r>
    </w:p>
    <w:p w14:paraId="64D46642" w14:textId="77777777" w:rsidR="00EC7A4D" w:rsidRDefault="00EC7A4D" w:rsidP="001B4A0A">
      <w:pPr>
        <w:autoSpaceDE w:val="0"/>
        <w:autoSpaceDN w:val="0"/>
        <w:adjustRightInd w:val="0"/>
        <w:spacing w:line="360" w:lineRule="auto"/>
        <w:jc w:val="both"/>
        <w:rPr>
          <w:rFonts w:ascii="Arial" w:eastAsiaTheme="minorHAnsi" w:hAnsi="Arial" w:cs="Arial"/>
          <w:sz w:val="20"/>
          <w:szCs w:val="22"/>
          <w:lang w:val="en-CA"/>
        </w:rPr>
      </w:pPr>
    </w:p>
    <w:p w14:paraId="35A48E61" w14:textId="4363DCE6" w:rsidR="00EC7A4D" w:rsidRPr="00880E6D" w:rsidRDefault="00EC7A4D"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 xml:space="preserve">No retroactive adjustments are required for Account 1589 balances that were previously approved, for either Zone.  </w:t>
      </w:r>
    </w:p>
    <w:p w14:paraId="025D9FE6" w14:textId="77777777" w:rsidR="00700EF5" w:rsidRPr="00880E6D" w:rsidRDefault="00700EF5" w:rsidP="001B4A0A">
      <w:pPr>
        <w:tabs>
          <w:tab w:val="left" w:pos="1485"/>
        </w:tabs>
        <w:autoSpaceDE w:val="0"/>
        <w:autoSpaceDN w:val="0"/>
        <w:adjustRightInd w:val="0"/>
        <w:spacing w:line="360" w:lineRule="auto"/>
        <w:jc w:val="both"/>
        <w:rPr>
          <w:rFonts w:ascii="Arial" w:eastAsiaTheme="minorHAnsi" w:hAnsi="Arial" w:cs="Arial"/>
          <w:sz w:val="20"/>
          <w:szCs w:val="22"/>
          <w:lang w:val="en-CA"/>
        </w:rPr>
      </w:pPr>
      <w:r w:rsidRPr="00880E6D">
        <w:rPr>
          <w:rFonts w:ascii="Arial" w:eastAsiaTheme="minorHAnsi" w:hAnsi="Arial" w:cs="Arial"/>
          <w:sz w:val="20"/>
          <w:szCs w:val="22"/>
          <w:lang w:val="en-CA"/>
        </w:rPr>
        <w:tab/>
      </w:r>
    </w:p>
    <w:p w14:paraId="5CCBE5DD" w14:textId="12EAE8F1" w:rsidR="00700EF5" w:rsidRDefault="006D6541" w:rsidP="001B4A0A">
      <w:pPr>
        <w:spacing w:line="360" w:lineRule="auto"/>
        <w:rPr>
          <w:rFonts w:ascii="Arial" w:eastAsiaTheme="minorHAnsi" w:hAnsi="Arial" w:cs="Arial"/>
          <w:sz w:val="20"/>
          <w:szCs w:val="22"/>
          <w:lang w:val="en-CA"/>
        </w:rPr>
      </w:pPr>
      <w:r>
        <w:rPr>
          <w:rFonts w:ascii="Arial" w:eastAsiaTheme="minorHAnsi" w:hAnsi="Arial" w:cs="Arial"/>
          <w:sz w:val="20"/>
          <w:szCs w:val="22"/>
          <w:lang w:val="en-CA"/>
        </w:rPr>
        <w:t>SYNERGY NORTH</w:t>
      </w:r>
      <w:r w:rsidR="00700EF5" w:rsidRPr="00880E6D">
        <w:rPr>
          <w:rFonts w:ascii="Arial" w:eastAsiaTheme="minorHAnsi" w:hAnsi="Arial" w:cs="Arial"/>
          <w:sz w:val="20"/>
          <w:szCs w:val="22"/>
          <w:lang w:val="en-CA"/>
        </w:rPr>
        <w:t xml:space="preserve"> confirms that it uses the first estimate of global a</w:t>
      </w:r>
      <w:r w:rsidR="00AF06D7" w:rsidRPr="00880E6D">
        <w:rPr>
          <w:rFonts w:ascii="Arial" w:eastAsiaTheme="minorHAnsi" w:hAnsi="Arial" w:cs="Arial"/>
          <w:sz w:val="20"/>
          <w:szCs w:val="22"/>
          <w:lang w:val="en-CA"/>
        </w:rPr>
        <w:t>djustment</w:t>
      </w:r>
      <w:r w:rsidR="00700EF5" w:rsidRPr="00880E6D">
        <w:rPr>
          <w:rFonts w:ascii="Arial" w:eastAsiaTheme="minorHAnsi" w:hAnsi="Arial" w:cs="Arial"/>
          <w:sz w:val="20"/>
          <w:szCs w:val="22"/>
          <w:lang w:val="en-CA"/>
        </w:rPr>
        <w:t xml:space="preserve"> to bill its customers</w:t>
      </w:r>
      <w:r w:rsidR="00FE52C9">
        <w:rPr>
          <w:rFonts w:ascii="Arial" w:eastAsiaTheme="minorHAnsi" w:hAnsi="Arial" w:cs="Arial"/>
          <w:sz w:val="20"/>
          <w:szCs w:val="22"/>
          <w:lang w:val="en-CA"/>
        </w:rPr>
        <w:t xml:space="preserve"> for both of its </w:t>
      </w:r>
      <w:r w:rsidR="00FA4098">
        <w:rPr>
          <w:rFonts w:ascii="Arial" w:eastAsiaTheme="minorHAnsi" w:hAnsi="Arial" w:cs="Arial"/>
          <w:sz w:val="20"/>
          <w:szCs w:val="22"/>
          <w:lang w:val="en-CA"/>
        </w:rPr>
        <w:t>Rate Zone</w:t>
      </w:r>
      <w:r w:rsidR="00FE52C9">
        <w:rPr>
          <w:rFonts w:ascii="Arial" w:eastAsiaTheme="minorHAnsi" w:hAnsi="Arial" w:cs="Arial"/>
          <w:sz w:val="20"/>
          <w:szCs w:val="22"/>
          <w:lang w:val="en-CA"/>
        </w:rPr>
        <w:t>s</w:t>
      </w:r>
      <w:r w:rsidR="00700EF5" w:rsidRPr="00880E6D">
        <w:rPr>
          <w:rFonts w:ascii="Arial" w:eastAsiaTheme="minorHAnsi" w:hAnsi="Arial" w:cs="Arial"/>
          <w:sz w:val="20"/>
          <w:szCs w:val="22"/>
          <w:lang w:val="en-CA"/>
        </w:rPr>
        <w:t>. This treatment is applicable for all customer classes</w:t>
      </w:r>
      <w:r w:rsidR="009D1D2F">
        <w:rPr>
          <w:rFonts w:ascii="Arial" w:eastAsiaTheme="minorHAnsi" w:hAnsi="Arial" w:cs="Arial"/>
          <w:sz w:val="20"/>
          <w:szCs w:val="22"/>
          <w:lang w:val="en-CA"/>
        </w:rPr>
        <w:t xml:space="preserve"> and is trued-</w:t>
      </w:r>
      <w:r w:rsidR="00477601" w:rsidRPr="00880E6D">
        <w:rPr>
          <w:rFonts w:ascii="Arial" w:eastAsiaTheme="minorHAnsi" w:hAnsi="Arial" w:cs="Arial"/>
          <w:sz w:val="20"/>
          <w:szCs w:val="22"/>
          <w:lang w:val="en-CA"/>
        </w:rPr>
        <w:t>up to the final rate posted by the IESO.</w:t>
      </w:r>
    </w:p>
    <w:p w14:paraId="71A98670" w14:textId="0F977804" w:rsidR="00276F61" w:rsidRDefault="00276F61" w:rsidP="001B4A0A">
      <w:pPr>
        <w:spacing w:line="360" w:lineRule="auto"/>
        <w:rPr>
          <w:rFonts w:ascii="Arial" w:eastAsiaTheme="minorHAnsi" w:hAnsi="Arial" w:cs="Arial"/>
          <w:sz w:val="20"/>
          <w:szCs w:val="22"/>
          <w:lang w:val="en-CA"/>
        </w:rPr>
      </w:pPr>
    </w:p>
    <w:p w14:paraId="40E3F8B6" w14:textId="1B3FEAF1" w:rsidR="00276F61" w:rsidRPr="00880E6D" w:rsidRDefault="006D6541" w:rsidP="001B4A0A">
      <w:pPr>
        <w:spacing w:line="360" w:lineRule="auto"/>
        <w:rPr>
          <w:rFonts w:ascii="Arial" w:eastAsiaTheme="minorHAnsi" w:hAnsi="Arial" w:cs="Arial"/>
          <w:sz w:val="20"/>
          <w:szCs w:val="22"/>
          <w:lang w:val="en-CA"/>
        </w:rPr>
      </w:pPr>
      <w:r>
        <w:rPr>
          <w:rFonts w:ascii="Arial" w:eastAsiaTheme="minorHAnsi" w:hAnsi="Arial" w:cs="Arial"/>
          <w:sz w:val="20"/>
          <w:szCs w:val="22"/>
          <w:lang w:val="en-CA"/>
        </w:rPr>
        <w:t>SYNERGY NORTH</w:t>
      </w:r>
      <w:r w:rsidR="00276F61">
        <w:rPr>
          <w:rFonts w:ascii="Arial" w:eastAsiaTheme="minorHAnsi" w:hAnsi="Arial" w:cs="Arial"/>
          <w:sz w:val="20"/>
          <w:szCs w:val="22"/>
          <w:lang w:val="en-CA"/>
        </w:rPr>
        <w:t xml:space="preserve"> also confirms that the same GA rate is used to bill all customer classes and that GA Rate for Unbilled Revenue is the same as the one used for billed revenue in any particular month. </w:t>
      </w:r>
    </w:p>
    <w:p w14:paraId="153E28AE" w14:textId="77777777" w:rsidR="00700EF5" w:rsidRPr="00880E6D" w:rsidRDefault="00700EF5" w:rsidP="001B4A0A">
      <w:pPr>
        <w:spacing w:line="360" w:lineRule="auto"/>
        <w:rPr>
          <w:rFonts w:ascii="Arial" w:eastAsiaTheme="minorHAnsi" w:hAnsi="Arial" w:cs="Arial"/>
          <w:sz w:val="20"/>
          <w:szCs w:val="22"/>
          <w:lang w:val="en-CA"/>
        </w:rPr>
      </w:pPr>
    </w:p>
    <w:p w14:paraId="0CAB5A14" w14:textId="13D1FE80" w:rsidR="00700EF5" w:rsidRPr="00880E6D" w:rsidRDefault="00AF06D7" w:rsidP="001B4A0A">
      <w:pPr>
        <w:spacing w:line="360" w:lineRule="auto"/>
        <w:rPr>
          <w:rFonts w:ascii="Arial" w:eastAsiaTheme="minorHAnsi" w:hAnsi="Arial" w:cs="Arial"/>
          <w:sz w:val="20"/>
          <w:szCs w:val="22"/>
          <w:lang w:val="en-CA"/>
        </w:rPr>
      </w:pPr>
      <w:r w:rsidRPr="00880E6D">
        <w:rPr>
          <w:rFonts w:ascii="Arial" w:eastAsiaTheme="minorHAnsi" w:hAnsi="Arial" w:cs="Arial"/>
          <w:sz w:val="20"/>
          <w:szCs w:val="22"/>
          <w:lang w:val="en-CA"/>
        </w:rPr>
        <w:t xml:space="preserve">OEB has indicated that distributors who have a more precise monthly </w:t>
      </w:r>
      <w:r w:rsidR="005A5C56" w:rsidRPr="00880E6D">
        <w:rPr>
          <w:rFonts w:ascii="Arial" w:eastAsiaTheme="minorHAnsi" w:hAnsi="Arial" w:cs="Arial"/>
          <w:sz w:val="20"/>
          <w:szCs w:val="22"/>
          <w:lang w:val="en-CA"/>
        </w:rPr>
        <w:t xml:space="preserve">kWh volume data available based on allocation of billing data by calendar/load month may propose to use this data in the GA Analysis to calculate the expected GA balance.   </w:t>
      </w:r>
      <w:r w:rsidR="006D6541">
        <w:rPr>
          <w:rFonts w:ascii="Arial" w:eastAsiaTheme="minorHAnsi" w:hAnsi="Arial" w:cs="Arial"/>
          <w:sz w:val="20"/>
          <w:szCs w:val="22"/>
          <w:lang w:val="en-CA"/>
        </w:rPr>
        <w:t>SYNERGY NORTH</w:t>
      </w:r>
      <w:r w:rsidR="005A5C56" w:rsidRPr="00880E6D">
        <w:rPr>
          <w:rFonts w:ascii="Arial" w:eastAsiaTheme="minorHAnsi" w:hAnsi="Arial" w:cs="Arial"/>
          <w:sz w:val="20"/>
          <w:szCs w:val="22"/>
          <w:lang w:val="en-CA"/>
        </w:rPr>
        <w:t xml:space="preserve"> has chosen to populate t</w:t>
      </w:r>
      <w:r w:rsidR="001D6CAD" w:rsidRPr="00880E6D">
        <w:rPr>
          <w:rFonts w:ascii="Arial" w:eastAsiaTheme="minorHAnsi" w:hAnsi="Arial" w:cs="Arial"/>
          <w:sz w:val="20"/>
          <w:szCs w:val="22"/>
          <w:lang w:val="en-CA"/>
        </w:rPr>
        <w:t xml:space="preserve">he GA Analysis </w:t>
      </w:r>
      <w:r w:rsidR="007C7B47">
        <w:rPr>
          <w:rFonts w:ascii="Arial" w:eastAsiaTheme="minorHAnsi" w:hAnsi="Arial" w:cs="Arial"/>
          <w:sz w:val="20"/>
          <w:szCs w:val="22"/>
          <w:lang w:val="en-CA"/>
        </w:rPr>
        <w:t>Workform</w:t>
      </w:r>
      <w:r w:rsidR="001D6CAD" w:rsidRPr="00880E6D">
        <w:rPr>
          <w:rFonts w:ascii="Arial" w:eastAsiaTheme="minorHAnsi" w:hAnsi="Arial" w:cs="Arial"/>
          <w:sz w:val="20"/>
          <w:szCs w:val="22"/>
          <w:lang w:val="en-CA"/>
        </w:rPr>
        <w:t xml:space="preserve"> with its </w:t>
      </w:r>
      <w:r w:rsidR="005A5C56" w:rsidRPr="00880E6D">
        <w:rPr>
          <w:rFonts w:ascii="Arial" w:eastAsiaTheme="minorHAnsi" w:hAnsi="Arial" w:cs="Arial"/>
          <w:sz w:val="20"/>
          <w:szCs w:val="22"/>
          <w:lang w:val="en-CA"/>
        </w:rPr>
        <w:t xml:space="preserve">Non-RPP Class B </w:t>
      </w:r>
      <w:r w:rsidR="00150D46" w:rsidRPr="00880E6D">
        <w:rPr>
          <w:rFonts w:ascii="Arial" w:eastAsiaTheme="minorHAnsi" w:hAnsi="Arial" w:cs="Arial"/>
          <w:sz w:val="20"/>
          <w:szCs w:val="22"/>
          <w:lang w:val="en-CA"/>
        </w:rPr>
        <w:t>consumption with losses</w:t>
      </w:r>
      <w:r w:rsidR="00FE52C9">
        <w:rPr>
          <w:rFonts w:ascii="Arial" w:eastAsiaTheme="minorHAnsi" w:hAnsi="Arial" w:cs="Arial"/>
          <w:sz w:val="20"/>
          <w:szCs w:val="22"/>
          <w:lang w:val="en-CA"/>
        </w:rPr>
        <w:t xml:space="preserve"> for both </w:t>
      </w:r>
      <w:r w:rsidR="00FA4098">
        <w:rPr>
          <w:rFonts w:ascii="Arial" w:eastAsiaTheme="minorHAnsi" w:hAnsi="Arial" w:cs="Arial"/>
          <w:sz w:val="20"/>
          <w:szCs w:val="22"/>
          <w:lang w:val="en-CA"/>
        </w:rPr>
        <w:t>Rate Zone</w:t>
      </w:r>
      <w:r w:rsidR="00FE52C9">
        <w:rPr>
          <w:rFonts w:ascii="Arial" w:eastAsiaTheme="minorHAnsi" w:hAnsi="Arial" w:cs="Arial"/>
          <w:sz w:val="20"/>
          <w:szCs w:val="22"/>
          <w:lang w:val="en-CA"/>
        </w:rPr>
        <w:t>s</w:t>
      </w:r>
      <w:r w:rsidR="00750801">
        <w:rPr>
          <w:rFonts w:ascii="Arial" w:eastAsiaTheme="minorHAnsi" w:hAnsi="Arial" w:cs="Arial"/>
          <w:sz w:val="20"/>
          <w:szCs w:val="22"/>
          <w:lang w:val="en-CA"/>
        </w:rPr>
        <w:t xml:space="preserve">.  A billing system query </w:t>
      </w:r>
      <w:r w:rsidR="000F0BA2">
        <w:rPr>
          <w:rFonts w:ascii="Arial" w:eastAsiaTheme="minorHAnsi" w:hAnsi="Arial" w:cs="Arial"/>
          <w:sz w:val="20"/>
          <w:szCs w:val="22"/>
          <w:lang w:val="en-CA"/>
        </w:rPr>
        <w:t>pr</w:t>
      </w:r>
      <w:r w:rsidR="009D1D2F">
        <w:rPr>
          <w:rFonts w:ascii="Arial" w:eastAsiaTheme="minorHAnsi" w:hAnsi="Arial" w:cs="Arial"/>
          <w:sz w:val="20"/>
          <w:szCs w:val="22"/>
          <w:lang w:val="en-CA"/>
        </w:rPr>
        <w:t>oduces a report of the mont</w:t>
      </w:r>
      <w:r w:rsidR="000F0BA2">
        <w:rPr>
          <w:rFonts w:ascii="Arial" w:eastAsiaTheme="minorHAnsi" w:hAnsi="Arial" w:cs="Arial"/>
          <w:sz w:val="20"/>
          <w:szCs w:val="22"/>
          <w:lang w:val="en-CA"/>
        </w:rPr>
        <w:t xml:space="preserve">hly “consumed” kWh for each </w:t>
      </w:r>
      <w:proofErr w:type="gramStart"/>
      <w:r w:rsidR="000F0BA2">
        <w:rPr>
          <w:rFonts w:ascii="Arial" w:eastAsiaTheme="minorHAnsi" w:hAnsi="Arial" w:cs="Arial"/>
          <w:sz w:val="20"/>
          <w:szCs w:val="22"/>
          <w:lang w:val="en-CA"/>
        </w:rPr>
        <w:t>Non-RPP</w:t>
      </w:r>
      <w:proofErr w:type="gramEnd"/>
      <w:r w:rsidR="000F0BA2">
        <w:rPr>
          <w:rFonts w:ascii="Arial" w:eastAsiaTheme="minorHAnsi" w:hAnsi="Arial" w:cs="Arial"/>
          <w:sz w:val="20"/>
          <w:szCs w:val="22"/>
          <w:lang w:val="en-CA"/>
        </w:rPr>
        <w:t xml:space="preserve"> customer.  The system </w:t>
      </w:r>
      <w:r w:rsidR="009D1D2F">
        <w:rPr>
          <w:rFonts w:ascii="Arial" w:eastAsiaTheme="minorHAnsi" w:hAnsi="Arial" w:cs="Arial"/>
          <w:sz w:val="20"/>
          <w:szCs w:val="22"/>
          <w:lang w:val="en-CA"/>
        </w:rPr>
        <w:t xml:space="preserve">pulls </w:t>
      </w:r>
      <w:r w:rsidR="000F0BA2">
        <w:rPr>
          <w:rFonts w:ascii="Arial" w:eastAsiaTheme="minorHAnsi" w:hAnsi="Arial" w:cs="Arial"/>
          <w:sz w:val="20"/>
          <w:szCs w:val="22"/>
          <w:lang w:val="en-CA"/>
        </w:rPr>
        <w:t>the consumption billed between me</w:t>
      </w:r>
      <w:r w:rsidR="009D1D2F">
        <w:rPr>
          <w:rFonts w:ascii="Arial" w:eastAsiaTheme="minorHAnsi" w:hAnsi="Arial" w:cs="Arial"/>
          <w:sz w:val="20"/>
          <w:szCs w:val="22"/>
          <w:lang w:val="en-CA"/>
        </w:rPr>
        <w:t>ter read dates, and</w:t>
      </w:r>
      <w:r w:rsidR="000F0BA2">
        <w:rPr>
          <w:rFonts w:ascii="Arial" w:eastAsiaTheme="minorHAnsi" w:hAnsi="Arial" w:cs="Arial"/>
          <w:sz w:val="20"/>
          <w:szCs w:val="22"/>
          <w:lang w:val="en-CA"/>
        </w:rPr>
        <w:t xml:space="preserve"> based on consumption by day, </w:t>
      </w:r>
      <w:r w:rsidR="009D1D2F">
        <w:rPr>
          <w:rFonts w:ascii="Arial" w:eastAsiaTheme="minorHAnsi" w:hAnsi="Arial" w:cs="Arial"/>
          <w:sz w:val="20"/>
          <w:szCs w:val="22"/>
          <w:lang w:val="en-CA"/>
        </w:rPr>
        <w:t>provides</w:t>
      </w:r>
      <w:r w:rsidR="000F0BA2">
        <w:rPr>
          <w:rFonts w:ascii="Arial" w:eastAsiaTheme="minorHAnsi" w:hAnsi="Arial" w:cs="Arial"/>
          <w:sz w:val="20"/>
          <w:szCs w:val="22"/>
          <w:lang w:val="en-CA"/>
        </w:rPr>
        <w:t xml:space="preserve"> a calendar month “consumed” amount.</w:t>
      </w:r>
      <w:r w:rsidR="00150D46" w:rsidRPr="00880E6D">
        <w:rPr>
          <w:rFonts w:ascii="Arial" w:eastAsiaTheme="minorHAnsi" w:hAnsi="Arial" w:cs="Arial"/>
          <w:sz w:val="20"/>
          <w:szCs w:val="22"/>
          <w:lang w:val="en-CA"/>
        </w:rPr>
        <w:t xml:space="preserve">  </w:t>
      </w:r>
      <w:r w:rsidR="006D6541">
        <w:rPr>
          <w:rFonts w:ascii="Arial" w:eastAsiaTheme="minorHAnsi" w:hAnsi="Arial" w:cs="Arial"/>
          <w:sz w:val="20"/>
          <w:szCs w:val="22"/>
          <w:lang w:val="en-CA"/>
        </w:rPr>
        <w:t>SYNERGY NORTH</w:t>
      </w:r>
      <w:r w:rsidR="00150D46" w:rsidRPr="00880E6D">
        <w:rPr>
          <w:rFonts w:ascii="Arial" w:eastAsiaTheme="minorHAnsi" w:hAnsi="Arial" w:cs="Arial"/>
          <w:sz w:val="20"/>
          <w:szCs w:val="22"/>
          <w:lang w:val="en-CA"/>
        </w:rPr>
        <w:t xml:space="preserve"> uses th</w:t>
      </w:r>
      <w:r w:rsidR="009D1D2F">
        <w:rPr>
          <w:rFonts w:ascii="Arial" w:eastAsiaTheme="minorHAnsi" w:hAnsi="Arial" w:cs="Arial"/>
          <w:sz w:val="20"/>
          <w:szCs w:val="22"/>
          <w:lang w:val="en-CA"/>
        </w:rPr>
        <w:t>e results of this report</w:t>
      </w:r>
      <w:r w:rsidR="00150D46" w:rsidRPr="00880E6D">
        <w:rPr>
          <w:rFonts w:ascii="Arial" w:eastAsiaTheme="minorHAnsi" w:hAnsi="Arial" w:cs="Arial"/>
          <w:sz w:val="20"/>
          <w:szCs w:val="22"/>
          <w:lang w:val="en-CA"/>
        </w:rPr>
        <w:t xml:space="preserve"> to true up its estimates once </w:t>
      </w:r>
      <w:r w:rsidR="009D1D2F">
        <w:rPr>
          <w:rFonts w:ascii="Arial" w:eastAsiaTheme="minorHAnsi" w:hAnsi="Arial" w:cs="Arial"/>
          <w:sz w:val="20"/>
          <w:szCs w:val="22"/>
          <w:lang w:val="en-CA"/>
        </w:rPr>
        <w:t xml:space="preserve">all </w:t>
      </w:r>
      <w:r w:rsidR="00150D46" w:rsidRPr="00880E6D">
        <w:rPr>
          <w:rFonts w:ascii="Arial" w:eastAsiaTheme="minorHAnsi" w:hAnsi="Arial" w:cs="Arial"/>
          <w:sz w:val="20"/>
          <w:szCs w:val="22"/>
          <w:lang w:val="en-CA"/>
        </w:rPr>
        <w:t>billing cycles for the quarter have fully billed out volumes</w:t>
      </w:r>
      <w:r w:rsidR="009D1D2F">
        <w:rPr>
          <w:rFonts w:ascii="Arial" w:eastAsiaTheme="minorHAnsi" w:hAnsi="Arial" w:cs="Arial"/>
          <w:sz w:val="20"/>
          <w:szCs w:val="22"/>
          <w:lang w:val="en-CA"/>
        </w:rPr>
        <w:t xml:space="preserve"> for the period</w:t>
      </w:r>
      <w:r w:rsidR="00150D46" w:rsidRPr="00880E6D">
        <w:rPr>
          <w:rFonts w:ascii="Arial" w:eastAsiaTheme="minorHAnsi" w:hAnsi="Arial" w:cs="Arial"/>
          <w:sz w:val="20"/>
          <w:szCs w:val="22"/>
          <w:lang w:val="en-CA"/>
        </w:rPr>
        <w:t xml:space="preserve">. </w:t>
      </w:r>
    </w:p>
    <w:p w14:paraId="608C2471" w14:textId="77777777" w:rsidR="00150D46" w:rsidRPr="00880E6D" w:rsidRDefault="00150D46" w:rsidP="001B4A0A">
      <w:pPr>
        <w:autoSpaceDE w:val="0"/>
        <w:autoSpaceDN w:val="0"/>
        <w:adjustRightInd w:val="0"/>
        <w:spacing w:line="360" w:lineRule="auto"/>
        <w:jc w:val="both"/>
        <w:rPr>
          <w:rFonts w:ascii="Arial" w:eastAsiaTheme="minorHAnsi" w:hAnsi="Arial" w:cs="Arial"/>
          <w:sz w:val="20"/>
          <w:szCs w:val="22"/>
          <w:lang w:val="en-CA"/>
        </w:rPr>
      </w:pPr>
    </w:p>
    <w:p w14:paraId="7B5EE3DB" w14:textId="45F82C91" w:rsidR="00150D46" w:rsidRDefault="002B6090" w:rsidP="001B4A0A">
      <w:pPr>
        <w:autoSpaceDE w:val="0"/>
        <w:autoSpaceDN w:val="0"/>
        <w:adjustRightInd w:val="0"/>
        <w:spacing w:line="360" w:lineRule="auto"/>
        <w:jc w:val="both"/>
        <w:rPr>
          <w:rFonts w:ascii="Arial" w:eastAsiaTheme="minorHAnsi" w:hAnsi="Arial" w:cs="Arial"/>
          <w:sz w:val="20"/>
          <w:szCs w:val="22"/>
          <w:lang w:val="en-CA"/>
        </w:rPr>
      </w:pPr>
      <w:r>
        <w:rPr>
          <w:rFonts w:ascii="Arial" w:eastAsiaTheme="minorHAnsi" w:hAnsi="Arial" w:cs="Arial"/>
          <w:sz w:val="20"/>
          <w:szCs w:val="22"/>
          <w:lang w:val="en-CA"/>
        </w:rPr>
        <w:t>U</w:t>
      </w:r>
      <w:r w:rsidR="00150D46" w:rsidRPr="00880E6D">
        <w:rPr>
          <w:rFonts w:ascii="Arial" w:eastAsiaTheme="minorHAnsi" w:hAnsi="Arial" w:cs="Arial"/>
          <w:sz w:val="20"/>
          <w:szCs w:val="22"/>
          <w:lang w:val="en-CA"/>
        </w:rPr>
        <w:t>n</w:t>
      </w:r>
      <w:r w:rsidR="00935CCE" w:rsidRPr="00880E6D">
        <w:rPr>
          <w:rFonts w:ascii="Arial" w:eastAsiaTheme="minorHAnsi" w:hAnsi="Arial" w:cs="Arial"/>
          <w:sz w:val="20"/>
          <w:szCs w:val="22"/>
          <w:lang w:val="en-CA"/>
        </w:rPr>
        <w:t xml:space="preserve">resolved differences as a </w:t>
      </w:r>
      <w:r w:rsidR="00D743E3">
        <w:rPr>
          <w:rFonts w:ascii="Arial" w:eastAsiaTheme="minorHAnsi" w:hAnsi="Arial" w:cs="Arial"/>
          <w:sz w:val="20"/>
          <w:szCs w:val="22"/>
          <w:lang w:val="en-CA"/>
        </w:rPr>
        <w:t>percent</w:t>
      </w:r>
      <w:r w:rsidR="00935CCE" w:rsidRPr="00880E6D">
        <w:rPr>
          <w:rFonts w:ascii="Arial" w:eastAsiaTheme="minorHAnsi" w:hAnsi="Arial" w:cs="Arial"/>
          <w:sz w:val="20"/>
          <w:szCs w:val="22"/>
          <w:lang w:val="en-CA"/>
        </w:rPr>
        <w:t xml:space="preserve"> of e</w:t>
      </w:r>
      <w:r w:rsidR="00150D46" w:rsidRPr="00880E6D">
        <w:rPr>
          <w:rFonts w:ascii="Arial" w:eastAsiaTheme="minorHAnsi" w:hAnsi="Arial" w:cs="Arial"/>
          <w:sz w:val="20"/>
          <w:szCs w:val="22"/>
          <w:lang w:val="en-CA"/>
        </w:rPr>
        <w:t>xpected GA payments to the IESO fall below the OEB</w:t>
      </w:r>
      <w:r w:rsidR="00935CCE" w:rsidRPr="00880E6D">
        <w:rPr>
          <w:rFonts w:ascii="Arial" w:eastAsiaTheme="minorHAnsi" w:hAnsi="Arial" w:cs="Arial"/>
          <w:sz w:val="20"/>
          <w:szCs w:val="22"/>
          <w:lang w:val="en-CA"/>
        </w:rPr>
        <w:t>’s instructed</w:t>
      </w:r>
      <w:r w:rsidR="004D3781" w:rsidRPr="00880E6D">
        <w:rPr>
          <w:rFonts w:ascii="Arial" w:eastAsiaTheme="minorHAnsi" w:hAnsi="Arial" w:cs="Arial"/>
          <w:sz w:val="20"/>
          <w:szCs w:val="22"/>
          <w:lang w:val="en-CA"/>
        </w:rPr>
        <w:t xml:space="preserve"> 1% threshold</w:t>
      </w:r>
      <w:r w:rsidR="0039325F">
        <w:rPr>
          <w:rFonts w:ascii="Arial" w:eastAsiaTheme="minorHAnsi" w:hAnsi="Arial" w:cs="Arial"/>
          <w:sz w:val="20"/>
          <w:szCs w:val="22"/>
          <w:lang w:val="en-CA"/>
        </w:rPr>
        <w:t xml:space="preserve">:  </w:t>
      </w:r>
      <w:r w:rsidR="00FE78D7">
        <w:rPr>
          <w:rFonts w:ascii="Arial" w:eastAsiaTheme="minorHAnsi" w:hAnsi="Arial" w:cs="Arial"/>
          <w:sz w:val="20"/>
          <w:szCs w:val="22"/>
          <w:lang w:val="en-CA"/>
        </w:rPr>
        <w:t>(</w:t>
      </w:r>
      <w:r w:rsidR="00D64AD1">
        <w:rPr>
          <w:rFonts w:ascii="Arial" w:eastAsiaTheme="minorHAnsi" w:hAnsi="Arial" w:cs="Arial"/>
          <w:sz w:val="20"/>
          <w:szCs w:val="22"/>
          <w:lang w:val="en-CA"/>
        </w:rPr>
        <w:t>0.9</w:t>
      </w:r>
      <w:r w:rsidR="00FE78D7">
        <w:rPr>
          <w:rFonts w:ascii="Arial" w:eastAsiaTheme="minorHAnsi" w:hAnsi="Arial" w:cs="Arial"/>
          <w:sz w:val="20"/>
          <w:szCs w:val="22"/>
          <w:lang w:val="en-CA"/>
        </w:rPr>
        <w:t>)</w:t>
      </w:r>
      <w:r w:rsidR="00F8528F">
        <w:rPr>
          <w:rFonts w:ascii="Arial" w:eastAsiaTheme="minorHAnsi" w:hAnsi="Arial" w:cs="Arial"/>
          <w:sz w:val="20"/>
          <w:szCs w:val="22"/>
          <w:lang w:val="en-CA"/>
        </w:rPr>
        <w:t>% variance for</w:t>
      </w:r>
      <w:r w:rsidR="00150D46" w:rsidRPr="00880E6D">
        <w:rPr>
          <w:rFonts w:ascii="Arial" w:eastAsiaTheme="minorHAnsi" w:hAnsi="Arial" w:cs="Arial"/>
          <w:sz w:val="20"/>
          <w:szCs w:val="22"/>
          <w:lang w:val="en-CA"/>
        </w:rPr>
        <w:t xml:space="preserve"> the </w:t>
      </w:r>
      <w:r w:rsidR="00FE52C9">
        <w:rPr>
          <w:rFonts w:ascii="Arial" w:eastAsiaTheme="minorHAnsi" w:hAnsi="Arial" w:cs="Arial"/>
          <w:sz w:val="20"/>
          <w:szCs w:val="22"/>
          <w:lang w:val="en-CA"/>
        </w:rPr>
        <w:t xml:space="preserve">Thunder Bay </w:t>
      </w:r>
      <w:r w:rsidR="00FA4098">
        <w:rPr>
          <w:rFonts w:ascii="Arial" w:eastAsiaTheme="minorHAnsi" w:hAnsi="Arial" w:cs="Arial"/>
          <w:sz w:val="20"/>
          <w:szCs w:val="22"/>
          <w:lang w:val="en-CA"/>
        </w:rPr>
        <w:t>Rate Zone</w:t>
      </w:r>
      <w:r w:rsidR="00FE52C9">
        <w:rPr>
          <w:rFonts w:ascii="Arial" w:eastAsiaTheme="minorHAnsi" w:hAnsi="Arial" w:cs="Arial"/>
          <w:sz w:val="20"/>
          <w:szCs w:val="22"/>
          <w:lang w:val="en-CA"/>
        </w:rPr>
        <w:t xml:space="preserve"> </w:t>
      </w:r>
      <w:r w:rsidR="00150D46" w:rsidRPr="00880E6D">
        <w:rPr>
          <w:rFonts w:ascii="Arial" w:eastAsiaTheme="minorHAnsi" w:hAnsi="Arial" w:cs="Arial"/>
          <w:sz w:val="20"/>
          <w:szCs w:val="22"/>
          <w:lang w:val="en-CA"/>
        </w:rPr>
        <w:t>principal balance</w:t>
      </w:r>
      <w:r w:rsidR="004C073B" w:rsidRPr="00A94007">
        <w:rPr>
          <w:rFonts w:ascii="Arial" w:eastAsiaTheme="minorHAnsi" w:hAnsi="Arial" w:cs="Arial"/>
          <w:sz w:val="20"/>
          <w:szCs w:val="22"/>
          <w:lang w:val="en-CA"/>
        </w:rPr>
        <w:t xml:space="preserve">, </w:t>
      </w:r>
      <w:r w:rsidR="004C073B" w:rsidRPr="00F534A4">
        <w:rPr>
          <w:rFonts w:ascii="Arial" w:eastAsiaTheme="minorHAnsi" w:hAnsi="Arial" w:cs="Arial"/>
          <w:sz w:val="20"/>
          <w:szCs w:val="22"/>
          <w:lang w:val="en-CA"/>
        </w:rPr>
        <w:t xml:space="preserve">and </w:t>
      </w:r>
      <w:r w:rsidR="00EF004F">
        <w:rPr>
          <w:rFonts w:ascii="Arial" w:eastAsiaTheme="minorHAnsi" w:hAnsi="Arial" w:cs="Arial"/>
          <w:sz w:val="20"/>
          <w:szCs w:val="22"/>
          <w:lang w:val="en-CA"/>
        </w:rPr>
        <w:t>1.0</w:t>
      </w:r>
      <w:r w:rsidR="004C073B" w:rsidRPr="00F534A4">
        <w:rPr>
          <w:rFonts w:ascii="Arial" w:eastAsiaTheme="minorHAnsi" w:hAnsi="Arial" w:cs="Arial"/>
          <w:sz w:val="20"/>
          <w:szCs w:val="22"/>
          <w:lang w:val="en-CA"/>
        </w:rPr>
        <w:t xml:space="preserve">% variance to the Kenora </w:t>
      </w:r>
      <w:r w:rsidR="00FA4098">
        <w:rPr>
          <w:rFonts w:ascii="Arial" w:eastAsiaTheme="minorHAnsi" w:hAnsi="Arial" w:cs="Arial"/>
          <w:sz w:val="20"/>
          <w:szCs w:val="22"/>
          <w:lang w:val="en-CA"/>
        </w:rPr>
        <w:t>Rate Zone</w:t>
      </w:r>
      <w:r w:rsidR="004C073B" w:rsidRPr="00F534A4">
        <w:rPr>
          <w:rFonts w:ascii="Arial" w:eastAsiaTheme="minorHAnsi" w:hAnsi="Arial" w:cs="Arial"/>
          <w:sz w:val="20"/>
          <w:szCs w:val="22"/>
          <w:lang w:val="en-CA"/>
        </w:rPr>
        <w:t xml:space="preserve"> principal balance</w:t>
      </w:r>
      <w:r w:rsidR="00150D46" w:rsidRPr="00A94007">
        <w:rPr>
          <w:rFonts w:ascii="Arial" w:eastAsiaTheme="minorHAnsi" w:hAnsi="Arial" w:cs="Arial"/>
          <w:sz w:val="20"/>
          <w:szCs w:val="22"/>
          <w:lang w:val="en-CA"/>
        </w:rPr>
        <w:t>.</w:t>
      </w:r>
      <w:r w:rsidR="00150D46" w:rsidRPr="00880E6D">
        <w:rPr>
          <w:rFonts w:ascii="Arial" w:eastAsiaTheme="minorHAnsi" w:hAnsi="Arial" w:cs="Arial"/>
          <w:sz w:val="20"/>
          <w:szCs w:val="22"/>
          <w:lang w:val="en-CA"/>
        </w:rPr>
        <w:t xml:space="preserve"> </w:t>
      </w:r>
    </w:p>
    <w:p w14:paraId="6F276317" w14:textId="77777777" w:rsidR="00276F61" w:rsidRDefault="00276F61" w:rsidP="004344DB">
      <w:pPr>
        <w:autoSpaceDE w:val="0"/>
        <w:autoSpaceDN w:val="0"/>
        <w:adjustRightInd w:val="0"/>
        <w:jc w:val="both"/>
        <w:rPr>
          <w:rFonts w:ascii="Arial" w:eastAsiaTheme="minorHAnsi" w:hAnsi="Arial" w:cs="Arial"/>
          <w:sz w:val="20"/>
          <w:szCs w:val="22"/>
          <w:lang w:val="en-CA"/>
        </w:rPr>
      </w:pPr>
    </w:p>
    <w:p w14:paraId="494E300B" w14:textId="77777777" w:rsidR="00EC7A4D" w:rsidRDefault="00EC7A4D">
      <w:pPr>
        <w:spacing w:after="200" w:line="276" w:lineRule="auto"/>
        <w:rPr>
          <w:rFonts w:ascii="Arial" w:eastAsiaTheme="majorEastAsia" w:hAnsi="Arial" w:cs="Arial"/>
          <w:b/>
          <w:bCs/>
          <w:smallCaps/>
        </w:rPr>
      </w:pPr>
      <w:bookmarkStart w:id="35" w:name="_Toc127886118"/>
      <w:r>
        <w:rPr>
          <w:rFonts w:ascii="Arial" w:hAnsi="Arial" w:cs="Arial"/>
          <w:smallCaps/>
        </w:rPr>
        <w:br w:type="page"/>
      </w:r>
    </w:p>
    <w:p w14:paraId="47FD5B82" w14:textId="691E451C" w:rsidR="005F240F" w:rsidRPr="00C66285" w:rsidRDefault="00DD0A8F" w:rsidP="00012A3B">
      <w:pPr>
        <w:pStyle w:val="Heading1"/>
        <w:jc w:val="center"/>
        <w:rPr>
          <w:rFonts w:ascii="Arial" w:hAnsi="Arial" w:cs="Arial"/>
          <w:smallCaps/>
          <w:color w:val="auto"/>
          <w:sz w:val="24"/>
          <w:szCs w:val="24"/>
        </w:rPr>
      </w:pPr>
      <w:r w:rsidRPr="00C66285">
        <w:rPr>
          <w:rFonts w:ascii="Arial" w:hAnsi="Arial" w:cs="Arial"/>
          <w:smallCaps/>
          <w:color w:val="auto"/>
          <w:sz w:val="24"/>
          <w:szCs w:val="24"/>
        </w:rPr>
        <w:lastRenderedPageBreak/>
        <w:t>Supporting Electronic Documents</w:t>
      </w:r>
      <w:r w:rsidR="003A2B56" w:rsidRPr="00C66285">
        <w:rPr>
          <w:rFonts w:ascii="Arial" w:hAnsi="Arial" w:cs="Arial"/>
          <w:smallCaps/>
          <w:color w:val="auto"/>
          <w:sz w:val="24"/>
          <w:szCs w:val="24"/>
        </w:rPr>
        <w:t xml:space="preserve"> / Appendices</w:t>
      </w:r>
      <w:bookmarkEnd w:id="35"/>
    </w:p>
    <w:p w14:paraId="5DAC6FAE" w14:textId="77777777" w:rsidR="00012A3B" w:rsidRDefault="00012A3B" w:rsidP="00012A3B">
      <w:pPr>
        <w:rPr>
          <w:rFonts w:ascii="Arial" w:hAnsi="Arial" w:cs="Arial"/>
          <w:sz w:val="20"/>
        </w:rPr>
      </w:pPr>
    </w:p>
    <w:p w14:paraId="3B453DCD" w14:textId="77777777" w:rsidR="005F240F" w:rsidRDefault="005F240F" w:rsidP="002E17A8">
      <w:pPr>
        <w:rPr>
          <w:rFonts w:ascii="Arial" w:hAnsi="Arial" w:cs="Arial"/>
          <w:sz w:val="20"/>
        </w:rPr>
      </w:pPr>
    </w:p>
    <w:p w14:paraId="6A60C846" w14:textId="77777777" w:rsidR="005F240F" w:rsidRDefault="005F240F" w:rsidP="002E17A8">
      <w:pPr>
        <w:rPr>
          <w:rFonts w:ascii="Arial" w:hAnsi="Arial" w:cs="Arial"/>
          <w:sz w:val="20"/>
        </w:rPr>
      </w:pPr>
    </w:p>
    <w:p w14:paraId="1DF0075D" w14:textId="2B4B7B91" w:rsidR="005F240F" w:rsidRDefault="003A2B56" w:rsidP="002E17A8">
      <w:pPr>
        <w:rPr>
          <w:rFonts w:ascii="Arial" w:hAnsi="Arial" w:cs="Arial"/>
          <w:sz w:val="20"/>
        </w:rPr>
      </w:pPr>
      <w:r>
        <w:rPr>
          <w:rFonts w:ascii="Arial" w:hAnsi="Arial" w:cs="Arial"/>
          <w:sz w:val="20"/>
        </w:rPr>
        <w:t>Please see the listing below for electronic files uploaded to the website which support the application.</w:t>
      </w:r>
    </w:p>
    <w:p w14:paraId="3ED46B1B" w14:textId="1E21BFEB" w:rsidR="00807C72" w:rsidRPr="00807C72" w:rsidRDefault="00807C72" w:rsidP="0099611E">
      <w:pPr>
        <w:pStyle w:val="Heading3"/>
        <w:rPr>
          <w:rFonts w:ascii="Arial" w:hAnsi="Arial" w:cs="Arial"/>
          <w:i/>
          <w:iCs/>
        </w:rPr>
      </w:pPr>
    </w:p>
    <w:p w14:paraId="6BA23E70" w14:textId="42FCDDAC" w:rsidR="004E5934" w:rsidRPr="00E154A7" w:rsidRDefault="004E5934" w:rsidP="004E5934">
      <w:pPr>
        <w:pStyle w:val="Heading3"/>
        <w:rPr>
          <w:i/>
          <w:iCs/>
        </w:rPr>
      </w:pPr>
      <w:bookmarkStart w:id="36" w:name="_Hlk119058267"/>
      <w:r w:rsidRPr="00E154A7">
        <w:rPr>
          <w:rFonts w:ascii="Arial" w:hAnsi="Arial" w:cs="Arial"/>
        </w:rPr>
        <w:t>KN_</w:t>
      </w:r>
      <w:r w:rsidR="00725A9E">
        <w:rPr>
          <w:rFonts w:ascii="Arial" w:hAnsi="Arial" w:cs="Arial"/>
        </w:rPr>
        <w:t>Bifurcated</w:t>
      </w:r>
      <w:r w:rsidRPr="00E154A7">
        <w:rPr>
          <w:rFonts w:ascii="Arial" w:hAnsi="Arial" w:cs="Arial"/>
        </w:rPr>
        <w:t>_</w:t>
      </w:r>
      <w:r w:rsidR="00400EAD" w:rsidRPr="00E154A7">
        <w:rPr>
          <w:rFonts w:ascii="Arial" w:hAnsi="Arial" w:cs="Arial"/>
        </w:rPr>
        <w:t>IRM-R</w:t>
      </w:r>
      <w:r w:rsidRPr="00E154A7">
        <w:rPr>
          <w:rFonts w:ascii="Arial" w:hAnsi="Arial" w:cs="Arial"/>
        </w:rPr>
        <w:t>ate-Generator-Model_202</w:t>
      </w:r>
      <w:r w:rsidR="00725A9E">
        <w:rPr>
          <w:rFonts w:ascii="Arial" w:hAnsi="Arial" w:cs="Arial"/>
        </w:rPr>
        <w:t>303</w:t>
      </w:r>
      <w:r w:rsidR="004D562F">
        <w:rPr>
          <w:rFonts w:ascii="Arial" w:hAnsi="Arial" w:cs="Arial"/>
        </w:rPr>
        <w:t>13</w:t>
      </w:r>
      <w:r w:rsidRPr="00E154A7">
        <w:rPr>
          <w:rFonts w:ascii="Arial" w:hAnsi="Arial" w:cs="Arial"/>
        </w:rPr>
        <w:t>:</w:t>
      </w:r>
      <w:r w:rsidRPr="00E154A7">
        <w:t xml:space="preserve"> </w:t>
      </w:r>
      <w:r w:rsidRPr="00E154A7">
        <w:rPr>
          <w:rFonts w:ascii="Arial" w:hAnsi="Arial" w:cs="Arial"/>
        </w:rPr>
        <w:t xml:space="preserve">  </w:t>
      </w:r>
      <w:r w:rsidRPr="00E154A7">
        <w:rPr>
          <w:rFonts w:ascii="Arial" w:hAnsi="Arial" w:cs="Arial"/>
          <w:i/>
          <w:iCs/>
        </w:rPr>
        <w:t>2023 Kenora Rate Zone Rate Generator Model</w:t>
      </w:r>
    </w:p>
    <w:bookmarkEnd w:id="36"/>
    <w:p w14:paraId="769BACD6" w14:textId="1945CAAA" w:rsidR="003A2B56" w:rsidRPr="00E154A7" w:rsidRDefault="0099611E" w:rsidP="00981AB2">
      <w:pPr>
        <w:pStyle w:val="Heading3"/>
        <w:rPr>
          <w:rFonts w:ascii="Arial" w:hAnsi="Arial" w:cs="Arial"/>
          <w:i/>
          <w:iCs/>
        </w:rPr>
      </w:pPr>
      <w:r w:rsidRPr="00E154A7">
        <w:rPr>
          <w:rFonts w:ascii="Arial" w:hAnsi="Arial" w:cs="Arial"/>
        </w:rPr>
        <w:t>KN</w:t>
      </w:r>
      <w:r w:rsidR="000624AC" w:rsidRPr="00E154A7">
        <w:rPr>
          <w:rFonts w:ascii="Arial" w:hAnsi="Arial" w:cs="Arial"/>
        </w:rPr>
        <w:t>_</w:t>
      </w:r>
      <w:r w:rsidR="00725A9E">
        <w:rPr>
          <w:rFonts w:ascii="Arial" w:hAnsi="Arial" w:cs="Arial"/>
        </w:rPr>
        <w:t>Bifurcated</w:t>
      </w:r>
      <w:r w:rsidRPr="00E154A7">
        <w:rPr>
          <w:rFonts w:ascii="Arial" w:hAnsi="Arial" w:cs="Arial"/>
        </w:rPr>
        <w:t>_GA_Analysis_Workform</w:t>
      </w:r>
      <w:r w:rsidR="004E5934" w:rsidRPr="00E154A7">
        <w:rPr>
          <w:rFonts w:ascii="Arial" w:hAnsi="Arial" w:cs="Arial"/>
        </w:rPr>
        <w:t>_202</w:t>
      </w:r>
      <w:r w:rsidR="00725A9E">
        <w:rPr>
          <w:rFonts w:ascii="Arial" w:hAnsi="Arial" w:cs="Arial"/>
        </w:rPr>
        <w:t>303</w:t>
      </w:r>
      <w:r w:rsidR="004D562F">
        <w:rPr>
          <w:rFonts w:ascii="Arial" w:hAnsi="Arial" w:cs="Arial"/>
        </w:rPr>
        <w:t>13</w:t>
      </w:r>
      <w:r w:rsidR="003A2B56" w:rsidRPr="00E154A7">
        <w:rPr>
          <w:rFonts w:ascii="Arial" w:hAnsi="Arial" w:cs="Arial"/>
        </w:rPr>
        <w:t>:</w:t>
      </w:r>
      <w:r w:rsidRPr="00E154A7">
        <w:rPr>
          <w:rFonts w:ascii="Arial" w:hAnsi="Arial" w:cs="Arial"/>
        </w:rPr>
        <w:t xml:space="preserve"> </w:t>
      </w:r>
      <w:r w:rsidRPr="00E154A7">
        <w:rPr>
          <w:rFonts w:ascii="Arial" w:hAnsi="Arial" w:cs="Arial"/>
          <w:i/>
          <w:iCs/>
        </w:rPr>
        <w:t xml:space="preserve">Kenora Rate Zone </w:t>
      </w:r>
      <w:r w:rsidR="003A2B56" w:rsidRPr="00E154A7">
        <w:rPr>
          <w:rFonts w:ascii="Arial" w:hAnsi="Arial" w:cs="Arial"/>
          <w:i/>
          <w:iCs/>
        </w:rPr>
        <w:t>Global Adjustment Analysis Workform</w:t>
      </w:r>
      <w:r w:rsidRPr="00E154A7">
        <w:rPr>
          <w:rFonts w:ascii="Arial" w:hAnsi="Arial" w:cs="Arial"/>
          <w:i/>
          <w:iCs/>
        </w:rPr>
        <w:t xml:space="preserve"> </w:t>
      </w:r>
    </w:p>
    <w:p w14:paraId="6783A51B" w14:textId="68EEF383" w:rsidR="00471631" w:rsidRDefault="00471631" w:rsidP="00471631">
      <w:pPr>
        <w:pStyle w:val="Heading3"/>
        <w:rPr>
          <w:rFonts w:ascii="Arial" w:hAnsi="Arial" w:cs="Arial"/>
          <w:i/>
          <w:iCs/>
          <w:highlight w:val="yellow"/>
        </w:rPr>
      </w:pPr>
    </w:p>
    <w:p w14:paraId="08D00659" w14:textId="6DCCD948" w:rsidR="004E5934" w:rsidRPr="00807C72" w:rsidRDefault="00510417" w:rsidP="00981AB2">
      <w:pPr>
        <w:pStyle w:val="Heading3"/>
        <w:rPr>
          <w:i/>
          <w:iCs/>
        </w:rPr>
      </w:pPr>
      <w:r>
        <w:rPr>
          <w:rFonts w:ascii="Arial" w:hAnsi="Arial" w:cs="Arial"/>
        </w:rPr>
        <w:t>T</w:t>
      </w:r>
      <w:r w:rsidR="003A2B56" w:rsidRPr="00807C72">
        <w:rPr>
          <w:rFonts w:ascii="Arial" w:hAnsi="Arial" w:cs="Arial"/>
        </w:rPr>
        <w:t>B_</w:t>
      </w:r>
      <w:r w:rsidR="00725A9E">
        <w:rPr>
          <w:rFonts w:ascii="Arial" w:hAnsi="Arial" w:cs="Arial"/>
        </w:rPr>
        <w:t>Bifurcated</w:t>
      </w:r>
      <w:r w:rsidR="003A2B56" w:rsidRPr="00807C72">
        <w:rPr>
          <w:rFonts w:ascii="Arial" w:hAnsi="Arial" w:cs="Arial"/>
        </w:rPr>
        <w:t>_Rate-Generator-Model_202</w:t>
      </w:r>
      <w:r w:rsidR="00725A9E">
        <w:rPr>
          <w:rFonts w:ascii="Arial" w:hAnsi="Arial" w:cs="Arial"/>
        </w:rPr>
        <w:t>303</w:t>
      </w:r>
      <w:r w:rsidR="004D562F">
        <w:rPr>
          <w:rFonts w:ascii="Arial" w:hAnsi="Arial" w:cs="Arial"/>
        </w:rPr>
        <w:t>13</w:t>
      </w:r>
      <w:r w:rsidR="003A2B56" w:rsidRPr="00807C72">
        <w:rPr>
          <w:rFonts w:ascii="Arial" w:hAnsi="Arial" w:cs="Arial"/>
        </w:rPr>
        <w:t>:</w:t>
      </w:r>
      <w:r w:rsidR="003A2B56" w:rsidRPr="00807C72">
        <w:t xml:space="preserve"> </w:t>
      </w:r>
      <w:r w:rsidR="003A2B56" w:rsidRPr="00807C72">
        <w:rPr>
          <w:rFonts w:ascii="Arial" w:hAnsi="Arial" w:cs="Arial"/>
        </w:rPr>
        <w:t xml:space="preserve">  </w:t>
      </w:r>
      <w:r w:rsidR="003A2B56" w:rsidRPr="00807C72">
        <w:rPr>
          <w:rFonts w:ascii="Arial" w:hAnsi="Arial" w:cs="Arial"/>
          <w:i/>
          <w:iCs/>
        </w:rPr>
        <w:t>202</w:t>
      </w:r>
      <w:r w:rsidR="00725A9E">
        <w:rPr>
          <w:rFonts w:ascii="Arial" w:hAnsi="Arial" w:cs="Arial"/>
          <w:i/>
          <w:iCs/>
        </w:rPr>
        <w:t>3</w:t>
      </w:r>
      <w:r w:rsidR="003A2B56" w:rsidRPr="00807C72">
        <w:rPr>
          <w:rFonts w:ascii="Arial" w:hAnsi="Arial" w:cs="Arial"/>
          <w:i/>
          <w:iCs/>
        </w:rPr>
        <w:t xml:space="preserve"> Thunder Bay Zone Rate Generator Model</w:t>
      </w:r>
    </w:p>
    <w:p w14:paraId="0936DB77" w14:textId="6AD806B6" w:rsidR="003A2B56" w:rsidRPr="00807C72" w:rsidRDefault="003A2B56" w:rsidP="00981AB2">
      <w:pPr>
        <w:pStyle w:val="Heading3"/>
        <w:rPr>
          <w:i/>
          <w:iCs/>
        </w:rPr>
      </w:pPr>
      <w:r w:rsidRPr="00807C72">
        <w:rPr>
          <w:rFonts w:ascii="Arial" w:hAnsi="Arial" w:cs="Arial"/>
        </w:rPr>
        <w:t>TB</w:t>
      </w:r>
      <w:r w:rsidR="000624AC" w:rsidRPr="00807C72">
        <w:rPr>
          <w:rFonts w:ascii="Arial" w:hAnsi="Arial" w:cs="Arial"/>
        </w:rPr>
        <w:t>_</w:t>
      </w:r>
      <w:r w:rsidR="00725A9E">
        <w:rPr>
          <w:rFonts w:ascii="Arial" w:hAnsi="Arial" w:cs="Arial"/>
        </w:rPr>
        <w:t>Bifurcated</w:t>
      </w:r>
      <w:r w:rsidRPr="00807C72">
        <w:rPr>
          <w:rFonts w:ascii="Arial" w:hAnsi="Arial" w:cs="Arial"/>
        </w:rPr>
        <w:t>_GA_Analysis_Workform_202</w:t>
      </w:r>
      <w:r w:rsidR="00725A9E">
        <w:rPr>
          <w:rFonts w:ascii="Arial" w:hAnsi="Arial" w:cs="Arial"/>
        </w:rPr>
        <w:t>303</w:t>
      </w:r>
      <w:r w:rsidR="004D562F">
        <w:rPr>
          <w:rFonts w:ascii="Arial" w:hAnsi="Arial" w:cs="Arial"/>
        </w:rPr>
        <w:t>13</w:t>
      </w:r>
      <w:r w:rsidRPr="00807C72">
        <w:rPr>
          <w:rFonts w:ascii="Arial" w:hAnsi="Arial" w:cs="Arial"/>
        </w:rPr>
        <w:t>:</w:t>
      </w:r>
      <w:r w:rsidRPr="00807C72">
        <w:t xml:space="preserve"> </w:t>
      </w:r>
      <w:r w:rsidRPr="00807C72">
        <w:rPr>
          <w:rFonts w:ascii="Arial" w:hAnsi="Arial" w:cs="Arial"/>
        </w:rPr>
        <w:t xml:space="preserve">  </w:t>
      </w:r>
      <w:r w:rsidRPr="00807C72">
        <w:rPr>
          <w:rFonts w:ascii="Arial" w:hAnsi="Arial" w:cs="Arial"/>
          <w:i/>
          <w:iCs/>
        </w:rPr>
        <w:t xml:space="preserve">Thunder Bay Rate Zone Global Adjustment Analysis Workform </w:t>
      </w:r>
    </w:p>
    <w:p w14:paraId="407FD08A" w14:textId="40EE22D6" w:rsidR="00164372" w:rsidRPr="007822DC" w:rsidRDefault="00164372" w:rsidP="00164372">
      <w:pPr>
        <w:pStyle w:val="Heading3"/>
      </w:pPr>
    </w:p>
    <w:sectPr w:rsidR="00164372" w:rsidRPr="007822DC" w:rsidSect="001269A8">
      <w:headerReference w:type="default" r:id="rId20"/>
      <w:footerReference w:type="default" r:id="rId21"/>
      <w:pgSz w:w="12240" w:h="15840" w:code="1"/>
      <w:pgMar w:top="1480" w:right="1183" w:bottom="2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5F91" w14:textId="77777777" w:rsidR="00446A4E" w:rsidRDefault="00446A4E" w:rsidP="0012484F">
      <w:r>
        <w:separator/>
      </w:r>
    </w:p>
  </w:endnote>
  <w:endnote w:type="continuationSeparator" w:id="0">
    <w:p w14:paraId="34500002" w14:textId="77777777" w:rsidR="00446A4E" w:rsidRDefault="00446A4E" w:rsidP="0012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966830"/>
      <w:docPartObj>
        <w:docPartGallery w:val="Page Numbers (Bottom of Page)"/>
        <w:docPartUnique/>
      </w:docPartObj>
    </w:sdtPr>
    <w:sdtEndPr>
      <w:rPr>
        <w:noProof/>
      </w:rPr>
    </w:sdtEndPr>
    <w:sdtContent>
      <w:p w14:paraId="748C89B3" w14:textId="5CA69DD1" w:rsidR="00446A4E" w:rsidRDefault="00446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B119D" w14:textId="77777777" w:rsidR="00446A4E" w:rsidRDefault="00446A4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0BEA" w14:textId="77777777" w:rsidR="00446A4E" w:rsidRDefault="00446A4E" w:rsidP="0012484F">
      <w:r>
        <w:separator/>
      </w:r>
    </w:p>
  </w:footnote>
  <w:footnote w:type="continuationSeparator" w:id="0">
    <w:p w14:paraId="0A80C79C" w14:textId="77777777" w:rsidR="00446A4E" w:rsidRDefault="00446A4E" w:rsidP="0012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7D41" w14:textId="77777777" w:rsidR="00446A4E" w:rsidRPr="001F5873" w:rsidRDefault="00446A4E" w:rsidP="001F5873">
    <w:pPr>
      <w:pStyle w:val="Header"/>
      <w:jc w:val="right"/>
      <w:rPr>
        <w:rFonts w:ascii="Arial" w:hAnsi="Arial" w:cs="Arial"/>
        <w:sz w:val="16"/>
        <w:szCs w:val="16"/>
      </w:rPr>
    </w:pPr>
    <w:r w:rsidRPr="001F5873">
      <w:rPr>
        <w:rFonts w:ascii="Arial" w:hAnsi="Arial" w:cs="Arial"/>
        <w:sz w:val="16"/>
        <w:szCs w:val="16"/>
      </w:rPr>
      <w:t>EB-201</w:t>
    </w:r>
    <w:r>
      <w:rPr>
        <w:rFonts w:ascii="Arial" w:hAnsi="Arial" w:cs="Arial"/>
        <w:sz w:val="16"/>
        <w:szCs w:val="16"/>
      </w:rPr>
      <w:t>9</w:t>
    </w:r>
    <w:r w:rsidRPr="001F5873">
      <w:rPr>
        <w:rFonts w:ascii="Arial" w:hAnsi="Arial" w:cs="Arial"/>
        <w:sz w:val="16"/>
        <w:szCs w:val="16"/>
      </w:rPr>
      <w:t>-0</w:t>
    </w:r>
    <w:r>
      <w:rPr>
        <w:rFonts w:ascii="Arial" w:hAnsi="Arial" w:cs="Arial"/>
        <w:sz w:val="16"/>
        <w:szCs w:val="16"/>
      </w:rPr>
      <w:t>068</w:t>
    </w:r>
  </w:p>
  <w:p w14:paraId="611C15BB" w14:textId="0EF422D9" w:rsidR="00446A4E" w:rsidRPr="001F5873" w:rsidRDefault="00446A4E" w:rsidP="0094121B">
    <w:pPr>
      <w:pStyle w:val="Header"/>
      <w:jc w:val="center"/>
      <w:rPr>
        <w:rFonts w:ascii="Arial" w:hAnsi="Arial" w:cs="Arial"/>
        <w:sz w:val="16"/>
        <w:szCs w:val="16"/>
      </w:rPr>
    </w:pPr>
    <w:r>
      <w:rPr>
        <w:rFonts w:ascii="Arial" w:hAnsi="Arial" w:cs="Arial"/>
        <w:sz w:val="16"/>
        <w:szCs w:val="16"/>
      </w:rPr>
      <w:tab/>
    </w:r>
    <w:r>
      <w:rPr>
        <w:rFonts w:ascii="Arial" w:hAnsi="Arial" w:cs="Arial"/>
        <w:sz w:val="16"/>
        <w:szCs w:val="16"/>
      </w:rPr>
      <w:tab/>
    </w:r>
    <w:r w:rsidR="006D6541">
      <w:rPr>
        <w:rFonts w:ascii="Arial" w:hAnsi="Arial" w:cs="Arial"/>
        <w:sz w:val="16"/>
        <w:szCs w:val="16"/>
      </w:rPr>
      <w:t>SYNERGY NORTH</w:t>
    </w:r>
    <w:r>
      <w:rPr>
        <w:rFonts w:ascii="Arial" w:hAnsi="Arial" w:cs="Arial"/>
        <w:sz w:val="16"/>
        <w:szCs w:val="16"/>
      </w:rPr>
      <w:t xml:space="preserve"> Corporation</w:t>
    </w:r>
  </w:p>
  <w:p w14:paraId="0D7A8F2A" w14:textId="77777777" w:rsidR="00446A4E" w:rsidRPr="001F5873" w:rsidRDefault="00446A4E" w:rsidP="001F5873">
    <w:pPr>
      <w:pStyle w:val="Header"/>
      <w:tabs>
        <w:tab w:val="clear" w:pos="4680"/>
        <w:tab w:val="clear" w:pos="9360"/>
      </w:tabs>
      <w:jc w:val="right"/>
      <w:rPr>
        <w:rFonts w:ascii="Arial" w:hAnsi="Arial" w:cs="Arial"/>
        <w:sz w:val="16"/>
        <w:szCs w:val="16"/>
      </w:rPr>
    </w:pPr>
    <w:r>
      <w:rPr>
        <w:rFonts w:ascii="Arial" w:hAnsi="Arial" w:cs="Arial"/>
        <w:sz w:val="16"/>
        <w:szCs w:val="16"/>
      </w:rPr>
      <w:t>2020</w:t>
    </w:r>
    <w:r w:rsidRPr="001F5873">
      <w:rPr>
        <w:rFonts w:ascii="Arial" w:hAnsi="Arial" w:cs="Arial"/>
        <w:sz w:val="16"/>
        <w:szCs w:val="16"/>
      </w:rPr>
      <w:t xml:space="preserve"> Electricity Distribution Rate Application</w:t>
    </w:r>
  </w:p>
  <w:p w14:paraId="31D2E4C6" w14:textId="77777777" w:rsidR="00446A4E" w:rsidRPr="001F5873" w:rsidRDefault="00446A4E" w:rsidP="001F5873">
    <w:pPr>
      <w:pStyle w:val="Header"/>
      <w:jc w:val="right"/>
      <w:rPr>
        <w:rFonts w:ascii="Arial" w:hAnsi="Arial" w:cs="Arial"/>
        <w:sz w:val="16"/>
        <w:szCs w:val="16"/>
      </w:rPr>
    </w:pPr>
    <w:r w:rsidRPr="001F5873">
      <w:rPr>
        <w:rFonts w:ascii="Arial" w:hAnsi="Arial" w:cs="Arial"/>
        <w:sz w:val="16"/>
        <w:szCs w:val="16"/>
      </w:rPr>
      <w:t xml:space="preserve">Filed: </w:t>
    </w:r>
    <w:r>
      <w:rPr>
        <w:rFonts w:ascii="Arial" w:hAnsi="Arial" w:cs="Arial"/>
        <w:sz w:val="16"/>
        <w:szCs w:val="16"/>
      </w:rPr>
      <w:t>October 15, 2019</w:t>
    </w:r>
  </w:p>
  <w:p w14:paraId="029F4159" w14:textId="77777777" w:rsidR="00446A4E" w:rsidRPr="001F5873" w:rsidRDefault="00446A4E" w:rsidP="001F5873">
    <w:pPr>
      <w:pStyle w:val="Header"/>
      <w:jc w:val="right"/>
      <w:rPr>
        <w:rFonts w:ascii="Arial" w:hAnsi="Arial" w:cs="Arial"/>
        <w:sz w:val="16"/>
        <w:szCs w:val="16"/>
      </w:rPr>
    </w:pPr>
    <w:r w:rsidRPr="001F5873">
      <w:rPr>
        <w:rFonts w:ascii="Arial" w:hAnsi="Arial" w:cs="Arial"/>
        <w:sz w:val="16"/>
        <w:szCs w:val="16"/>
      </w:rPr>
      <w:t xml:space="preserve">Page </w:t>
    </w:r>
    <w:r w:rsidRPr="001F5873">
      <w:rPr>
        <w:rStyle w:val="PageNumber"/>
      </w:rPr>
      <w:fldChar w:fldCharType="begin"/>
    </w:r>
    <w:r w:rsidRPr="001F5873">
      <w:rPr>
        <w:rStyle w:val="PageNumber"/>
        <w:rFonts w:ascii="Arial" w:hAnsi="Arial" w:cs="Arial"/>
        <w:sz w:val="16"/>
        <w:szCs w:val="16"/>
      </w:rPr>
      <w:instrText xml:space="preserve"> PAGE </w:instrText>
    </w:r>
    <w:r w:rsidRPr="001F5873">
      <w:rPr>
        <w:rStyle w:val="PageNumber"/>
      </w:rPr>
      <w:fldChar w:fldCharType="separate"/>
    </w:r>
    <w:r>
      <w:rPr>
        <w:rStyle w:val="PageNumber"/>
        <w:rFonts w:ascii="Arial" w:hAnsi="Arial" w:cs="Arial"/>
        <w:noProof/>
        <w:sz w:val="16"/>
        <w:szCs w:val="16"/>
      </w:rPr>
      <w:t>33</w:t>
    </w:r>
    <w:r w:rsidRPr="001F5873">
      <w:rPr>
        <w:rFonts w:ascii="Arial" w:hAnsi="Arial" w:cs="Arial"/>
        <w:sz w:val="16"/>
        <w:szCs w:val="16"/>
      </w:rPr>
      <w:fldChar w:fldCharType="end"/>
    </w:r>
    <w:r w:rsidRPr="001F5873">
      <w:rPr>
        <w:rFonts w:ascii="Arial" w:hAnsi="Arial" w:cs="Arial"/>
        <w:sz w:val="16"/>
        <w:szCs w:val="16"/>
      </w:rPr>
      <w:t xml:space="preserve"> of </w:t>
    </w:r>
    <w:r>
      <w:rPr>
        <w:rFonts w:ascii="Arial" w:hAnsi="Arial" w:cs="Arial"/>
        <w:sz w:val="16"/>
        <w:szCs w:val="16"/>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105A" w14:textId="0AEF033E" w:rsidR="00446A4E" w:rsidRPr="00151787" w:rsidRDefault="00151787" w:rsidP="00151787">
    <w:pPr>
      <w:pStyle w:val="Header"/>
      <w:tabs>
        <w:tab w:val="clear" w:pos="9360"/>
        <w:tab w:val="right" w:pos="10611"/>
      </w:tabs>
      <w:jc w:val="both"/>
      <w:rPr>
        <w:sz w:val="16"/>
        <w:szCs w:val="16"/>
      </w:rPr>
    </w:pPr>
    <w:r>
      <w:rPr>
        <w:sz w:val="16"/>
        <w:szCs w:val="16"/>
      </w:rPr>
      <w:tab/>
    </w:r>
    <w:r>
      <w:rPr>
        <w:sz w:val="16"/>
        <w:szCs w:val="16"/>
      </w:rPr>
      <w:tab/>
    </w:r>
    <w:r w:rsidR="006D6541">
      <w:rPr>
        <w:sz w:val="16"/>
        <w:szCs w:val="16"/>
      </w:rPr>
      <w:t>SYNERGY NORTH</w:t>
    </w:r>
    <w:r w:rsidRPr="00151787">
      <w:rPr>
        <w:sz w:val="16"/>
        <w:szCs w:val="16"/>
      </w:rPr>
      <w:t xml:space="preserve"> CORPORATION</w:t>
    </w:r>
  </w:p>
  <w:p w14:paraId="56A7449B" w14:textId="77777777" w:rsidR="002B5BEA" w:rsidRDefault="00151787" w:rsidP="002B5BEA">
    <w:pPr>
      <w:pStyle w:val="Header"/>
      <w:tabs>
        <w:tab w:val="clear" w:pos="9360"/>
        <w:tab w:val="left" w:pos="8222"/>
        <w:tab w:val="right" w:pos="10611"/>
      </w:tabs>
      <w:jc w:val="right"/>
      <w:rPr>
        <w:sz w:val="16"/>
        <w:szCs w:val="16"/>
      </w:rPr>
    </w:pPr>
    <w:r>
      <w:rPr>
        <w:sz w:val="16"/>
        <w:szCs w:val="16"/>
      </w:rPr>
      <w:tab/>
    </w:r>
    <w:r>
      <w:rPr>
        <w:sz w:val="16"/>
        <w:szCs w:val="16"/>
      </w:rPr>
      <w:tab/>
    </w:r>
    <w:r w:rsidR="00426112">
      <w:rPr>
        <w:sz w:val="16"/>
        <w:szCs w:val="16"/>
      </w:rPr>
      <w:t xml:space="preserve">Accounts 1588 &amp; 1589 </w:t>
    </w:r>
  </w:p>
  <w:p w14:paraId="24695DC2" w14:textId="760FC937" w:rsidR="00151787" w:rsidRPr="00151787" w:rsidRDefault="00426112" w:rsidP="002B5BEA">
    <w:pPr>
      <w:pStyle w:val="Header"/>
      <w:tabs>
        <w:tab w:val="clear" w:pos="9360"/>
        <w:tab w:val="left" w:pos="8952"/>
        <w:tab w:val="right" w:pos="10611"/>
      </w:tabs>
      <w:jc w:val="right"/>
      <w:rPr>
        <w:sz w:val="16"/>
        <w:szCs w:val="16"/>
      </w:rPr>
    </w:pPr>
    <w:r>
      <w:rPr>
        <w:sz w:val="16"/>
        <w:szCs w:val="16"/>
      </w:rPr>
      <w:t xml:space="preserve">Bifurcated From </w:t>
    </w:r>
    <w:r w:rsidR="00151787" w:rsidRPr="00151787">
      <w:rPr>
        <w:sz w:val="16"/>
        <w:szCs w:val="16"/>
      </w:rPr>
      <w:t>EB-2022-0063</w:t>
    </w:r>
  </w:p>
  <w:p w14:paraId="2772AFD0" w14:textId="7F7D4408" w:rsidR="00151787" w:rsidRPr="00151787" w:rsidRDefault="00151787" w:rsidP="00151787">
    <w:pPr>
      <w:pStyle w:val="Header"/>
      <w:tabs>
        <w:tab w:val="clear" w:pos="9360"/>
        <w:tab w:val="right" w:pos="10611"/>
      </w:tabs>
      <w:jc w:val="both"/>
      <w:rPr>
        <w:sz w:val="16"/>
        <w:szCs w:val="16"/>
      </w:rPr>
    </w:pPr>
    <w:r>
      <w:rPr>
        <w:sz w:val="16"/>
        <w:szCs w:val="16"/>
      </w:rPr>
      <w:tab/>
    </w:r>
    <w:r>
      <w:rPr>
        <w:sz w:val="16"/>
        <w:szCs w:val="16"/>
      </w:rPr>
      <w:tab/>
    </w:r>
    <w:r w:rsidR="008D4E5C">
      <w:rPr>
        <w:sz w:val="16"/>
        <w:szCs w:val="16"/>
      </w:rPr>
      <w:t xml:space="preserve">March </w:t>
    </w:r>
    <w:r w:rsidR="004D562F">
      <w:rPr>
        <w:sz w:val="16"/>
        <w:szCs w:val="16"/>
      </w:rPr>
      <w:t>13</w:t>
    </w:r>
    <w:r w:rsidR="002B5BEA">
      <w:rPr>
        <w:sz w:val="16"/>
        <w:szCs w:val="16"/>
      </w:rPr>
      <w:t>, 2023</w:t>
    </w:r>
  </w:p>
  <w:p w14:paraId="6F88A131" w14:textId="77777777" w:rsidR="00446A4E" w:rsidRDefault="00446A4E">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C18"/>
    <w:multiLevelType w:val="hybridMultilevel"/>
    <w:tmpl w:val="77CC4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C0971"/>
    <w:multiLevelType w:val="hybridMultilevel"/>
    <w:tmpl w:val="CB147428"/>
    <w:lvl w:ilvl="0" w:tplc="10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6AE5"/>
    <w:multiLevelType w:val="hybridMultilevel"/>
    <w:tmpl w:val="2F402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24595"/>
    <w:multiLevelType w:val="hybridMultilevel"/>
    <w:tmpl w:val="0BB8D146"/>
    <w:lvl w:ilvl="0" w:tplc="4E04788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A2238F"/>
    <w:multiLevelType w:val="hybridMultilevel"/>
    <w:tmpl w:val="A176C3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080FD7"/>
    <w:multiLevelType w:val="hybridMultilevel"/>
    <w:tmpl w:val="9C366A3E"/>
    <w:lvl w:ilvl="0" w:tplc="4306B09A">
      <w:start w:val="1"/>
      <w:numFmt w:val="decimal"/>
      <w:lvlText w:val="%1."/>
      <w:lvlJc w:val="left"/>
      <w:pPr>
        <w:ind w:left="36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C53EA9"/>
    <w:multiLevelType w:val="hybridMultilevel"/>
    <w:tmpl w:val="322AE6EC"/>
    <w:lvl w:ilvl="0" w:tplc="D8EEBCD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53A1C"/>
    <w:multiLevelType w:val="hybridMultilevel"/>
    <w:tmpl w:val="322AE6EC"/>
    <w:lvl w:ilvl="0" w:tplc="D8EEBCD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4700A0"/>
    <w:multiLevelType w:val="hybridMultilevel"/>
    <w:tmpl w:val="60C00E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343411"/>
    <w:multiLevelType w:val="hybridMultilevel"/>
    <w:tmpl w:val="3264A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685268"/>
    <w:multiLevelType w:val="hybridMultilevel"/>
    <w:tmpl w:val="347008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BD2BB6"/>
    <w:multiLevelType w:val="hybridMultilevel"/>
    <w:tmpl w:val="3A5E89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FB226E"/>
    <w:multiLevelType w:val="hybridMultilevel"/>
    <w:tmpl w:val="277C0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E77B45"/>
    <w:multiLevelType w:val="hybridMultilevel"/>
    <w:tmpl w:val="EEC49424"/>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7242BD"/>
    <w:multiLevelType w:val="hybridMultilevel"/>
    <w:tmpl w:val="26CEF7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327127"/>
    <w:multiLevelType w:val="hybridMultilevel"/>
    <w:tmpl w:val="6846CFE6"/>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39A3719D"/>
    <w:multiLevelType w:val="hybridMultilevel"/>
    <w:tmpl w:val="C4207FFE"/>
    <w:lvl w:ilvl="0" w:tplc="49CCA8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0775099"/>
    <w:multiLevelType w:val="hybridMultilevel"/>
    <w:tmpl w:val="65409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5290B2C"/>
    <w:multiLevelType w:val="hybridMultilevel"/>
    <w:tmpl w:val="CE2285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E328E"/>
    <w:multiLevelType w:val="hybridMultilevel"/>
    <w:tmpl w:val="88F832F6"/>
    <w:lvl w:ilvl="0" w:tplc="1009000F">
      <w:start w:val="1"/>
      <w:numFmt w:val="decimal"/>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84544B6"/>
    <w:multiLevelType w:val="hybridMultilevel"/>
    <w:tmpl w:val="B0FE8DAA"/>
    <w:lvl w:ilvl="0" w:tplc="10090001">
      <w:start w:val="1"/>
      <w:numFmt w:val="bullet"/>
      <w:lvlText w:val=""/>
      <w:lvlJc w:val="left"/>
      <w:pPr>
        <w:ind w:left="720" w:hanging="360"/>
      </w:pPr>
      <w:rPr>
        <w:rFonts w:ascii="Symbol" w:hAnsi="Symbol" w:hint="default"/>
      </w:rPr>
    </w:lvl>
    <w:lvl w:ilvl="1" w:tplc="1009001B">
      <w:start w:val="1"/>
      <w:numFmt w:val="lowerRoman"/>
      <w:lvlText w:val="%2."/>
      <w:lvlJc w:val="righ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EC1D9F"/>
    <w:multiLevelType w:val="hybridMultilevel"/>
    <w:tmpl w:val="1E3C62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A363C27"/>
    <w:multiLevelType w:val="hybridMultilevel"/>
    <w:tmpl w:val="593CC2B8"/>
    <w:lvl w:ilvl="0" w:tplc="4C20D8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8D1591"/>
    <w:multiLevelType w:val="hybridMultilevel"/>
    <w:tmpl w:val="3A2E5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D350ACE"/>
    <w:multiLevelType w:val="hybridMultilevel"/>
    <w:tmpl w:val="73F60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73766"/>
    <w:multiLevelType w:val="hybridMultilevel"/>
    <w:tmpl w:val="0FE651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C25760"/>
    <w:multiLevelType w:val="hybridMultilevel"/>
    <w:tmpl w:val="A044F862"/>
    <w:lvl w:ilvl="0" w:tplc="15327C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43939"/>
    <w:multiLevelType w:val="hybridMultilevel"/>
    <w:tmpl w:val="E3C49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2A4A2F"/>
    <w:multiLevelType w:val="hybridMultilevel"/>
    <w:tmpl w:val="88F832F6"/>
    <w:lvl w:ilvl="0" w:tplc="1009000F">
      <w:start w:val="1"/>
      <w:numFmt w:val="decimal"/>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95953E1"/>
    <w:multiLevelType w:val="hybridMultilevel"/>
    <w:tmpl w:val="417CBE5C"/>
    <w:lvl w:ilvl="0" w:tplc="8E280C9A">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9A5437"/>
    <w:multiLevelType w:val="hybridMultilevel"/>
    <w:tmpl w:val="1A5A5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541206"/>
    <w:multiLevelType w:val="hybridMultilevel"/>
    <w:tmpl w:val="322AE6EC"/>
    <w:lvl w:ilvl="0" w:tplc="D8EEBCD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2A2E82"/>
    <w:multiLevelType w:val="hybridMultilevel"/>
    <w:tmpl w:val="FFE803EE"/>
    <w:lvl w:ilvl="0" w:tplc="15327C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D97B81"/>
    <w:multiLevelType w:val="multilevel"/>
    <w:tmpl w:val="C5C49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F51953"/>
    <w:multiLevelType w:val="hybridMultilevel"/>
    <w:tmpl w:val="B9CC5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185A00"/>
    <w:multiLevelType w:val="hybridMultilevel"/>
    <w:tmpl w:val="0ABA0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9377E9"/>
    <w:multiLevelType w:val="hybridMultilevel"/>
    <w:tmpl w:val="FE8496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F466E31"/>
    <w:multiLevelType w:val="hybridMultilevel"/>
    <w:tmpl w:val="17B277C8"/>
    <w:lvl w:ilvl="0" w:tplc="ABA0B042">
      <w:start w:val="1"/>
      <w:numFmt w:val="decimal"/>
      <w:lvlText w:val="%1."/>
      <w:lvlJc w:val="left"/>
      <w:pPr>
        <w:ind w:left="360" w:hanging="360"/>
      </w:pPr>
      <w:rPr>
        <w:rFonts w:hint="default"/>
        <w:i w:val="0"/>
        <w:sz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1994340">
    <w:abstractNumId w:val="27"/>
  </w:num>
  <w:num w:numId="2" w16cid:durableId="644698757">
    <w:abstractNumId w:val="34"/>
  </w:num>
  <w:num w:numId="3" w16cid:durableId="321667070">
    <w:abstractNumId w:val="29"/>
  </w:num>
  <w:num w:numId="4" w16cid:durableId="379673850">
    <w:abstractNumId w:val="31"/>
  </w:num>
  <w:num w:numId="5" w16cid:durableId="1284581340">
    <w:abstractNumId w:val="0"/>
  </w:num>
  <w:num w:numId="6" w16cid:durableId="641234248">
    <w:abstractNumId w:val="39"/>
  </w:num>
  <w:num w:numId="7" w16cid:durableId="985204226">
    <w:abstractNumId w:val="21"/>
  </w:num>
  <w:num w:numId="8" w16cid:durableId="1490900300">
    <w:abstractNumId w:val="5"/>
  </w:num>
  <w:num w:numId="9" w16cid:durableId="1645155720">
    <w:abstractNumId w:val="35"/>
  </w:num>
  <w:num w:numId="10" w16cid:durableId="831411788">
    <w:abstractNumId w:val="26"/>
  </w:num>
  <w:num w:numId="11" w16cid:durableId="730159260">
    <w:abstractNumId w:val="11"/>
  </w:num>
  <w:num w:numId="12" w16cid:durableId="198973088">
    <w:abstractNumId w:val="15"/>
  </w:num>
  <w:num w:numId="13" w16cid:durableId="648051734">
    <w:abstractNumId w:val="20"/>
  </w:num>
  <w:num w:numId="14" w16cid:durableId="342049962">
    <w:abstractNumId w:val="1"/>
  </w:num>
  <w:num w:numId="15" w16cid:durableId="1507330991">
    <w:abstractNumId w:val="33"/>
  </w:num>
  <w:num w:numId="16" w16cid:durableId="816528648">
    <w:abstractNumId w:val="14"/>
  </w:num>
  <w:num w:numId="17" w16cid:durableId="978922889">
    <w:abstractNumId w:val="4"/>
  </w:num>
  <w:num w:numId="18" w16cid:durableId="1506943168">
    <w:abstractNumId w:val="22"/>
  </w:num>
  <w:num w:numId="19" w16cid:durableId="1060328061">
    <w:abstractNumId w:val="6"/>
  </w:num>
  <w:num w:numId="20" w16cid:durableId="452673694">
    <w:abstractNumId w:val="7"/>
  </w:num>
  <w:num w:numId="21" w16cid:durableId="26830423">
    <w:abstractNumId w:val="12"/>
  </w:num>
  <w:num w:numId="22" w16cid:durableId="275912999">
    <w:abstractNumId w:val="9"/>
  </w:num>
  <w:num w:numId="23" w16cid:durableId="414086205">
    <w:abstractNumId w:val="2"/>
  </w:num>
  <w:num w:numId="24" w16cid:durableId="582687408">
    <w:abstractNumId w:val="38"/>
  </w:num>
  <w:num w:numId="25" w16cid:durableId="1050424728">
    <w:abstractNumId w:val="25"/>
  </w:num>
  <w:num w:numId="26" w16cid:durableId="1521699747">
    <w:abstractNumId w:val="16"/>
  </w:num>
  <w:num w:numId="27" w16cid:durableId="818762832">
    <w:abstractNumId w:val="36"/>
  </w:num>
  <w:num w:numId="28" w16cid:durableId="1919709320">
    <w:abstractNumId w:val="37"/>
  </w:num>
  <w:num w:numId="29" w16cid:durableId="510068174">
    <w:abstractNumId w:val="32"/>
  </w:num>
  <w:num w:numId="30" w16cid:durableId="836726071">
    <w:abstractNumId w:val="23"/>
  </w:num>
  <w:num w:numId="31" w16cid:durableId="1153175720">
    <w:abstractNumId w:val="28"/>
  </w:num>
  <w:num w:numId="32" w16cid:durableId="1292635676">
    <w:abstractNumId w:val="18"/>
  </w:num>
  <w:num w:numId="33" w16cid:durableId="438523939">
    <w:abstractNumId w:val="24"/>
  </w:num>
  <w:num w:numId="34" w16cid:durableId="1283733465">
    <w:abstractNumId w:val="13"/>
  </w:num>
  <w:num w:numId="35" w16cid:durableId="1317101975">
    <w:abstractNumId w:val="10"/>
  </w:num>
  <w:num w:numId="36" w16cid:durableId="1555265794">
    <w:abstractNumId w:val="8"/>
  </w:num>
  <w:num w:numId="37" w16cid:durableId="248277980">
    <w:abstractNumId w:val="3"/>
  </w:num>
  <w:num w:numId="38" w16cid:durableId="17478778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62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963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05"/>
    <w:rsid w:val="00000B39"/>
    <w:rsid w:val="00000E63"/>
    <w:rsid w:val="00001F2C"/>
    <w:rsid w:val="00004A51"/>
    <w:rsid w:val="000066BB"/>
    <w:rsid w:val="000101F6"/>
    <w:rsid w:val="00012A3B"/>
    <w:rsid w:val="00013BDC"/>
    <w:rsid w:val="000142AA"/>
    <w:rsid w:val="00016999"/>
    <w:rsid w:val="00017818"/>
    <w:rsid w:val="000211AD"/>
    <w:rsid w:val="0002141B"/>
    <w:rsid w:val="00021961"/>
    <w:rsid w:val="00021D15"/>
    <w:rsid w:val="00021E3B"/>
    <w:rsid w:val="00022460"/>
    <w:rsid w:val="00023222"/>
    <w:rsid w:val="00024A7C"/>
    <w:rsid w:val="00025AEB"/>
    <w:rsid w:val="00026973"/>
    <w:rsid w:val="0003001A"/>
    <w:rsid w:val="00031537"/>
    <w:rsid w:val="00032597"/>
    <w:rsid w:val="000357E5"/>
    <w:rsid w:val="00036066"/>
    <w:rsid w:val="00036EA7"/>
    <w:rsid w:val="00040809"/>
    <w:rsid w:val="0004188B"/>
    <w:rsid w:val="00042960"/>
    <w:rsid w:val="000452B6"/>
    <w:rsid w:val="0004616F"/>
    <w:rsid w:val="000467B3"/>
    <w:rsid w:val="0005034D"/>
    <w:rsid w:val="00052669"/>
    <w:rsid w:val="0005561F"/>
    <w:rsid w:val="00055DFC"/>
    <w:rsid w:val="000568E1"/>
    <w:rsid w:val="000569B8"/>
    <w:rsid w:val="00057518"/>
    <w:rsid w:val="00057B4A"/>
    <w:rsid w:val="00057C0E"/>
    <w:rsid w:val="00061948"/>
    <w:rsid w:val="000624AC"/>
    <w:rsid w:val="000637EE"/>
    <w:rsid w:val="00063C49"/>
    <w:rsid w:val="000642B7"/>
    <w:rsid w:val="00064BB9"/>
    <w:rsid w:val="00064D21"/>
    <w:rsid w:val="000653E8"/>
    <w:rsid w:val="00066D0D"/>
    <w:rsid w:val="00066FE7"/>
    <w:rsid w:val="0007258E"/>
    <w:rsid w:val="0007452E"/>
    <w:rsid w:val="0007661C"/>
    <w:rsid w:val="00076A12"/>
    <w:rsid w:val="00076D7D"/>
    <w:rsid w:val="000805EB"/>
    <w:rsid w:val="00081C24"/>
    <w:rsid w:val="000826AD"/>
    <w:rsid w:val="00082DE6"/>
    <w:rsid w:val="0008423C"/>
    <w:rsid w:val="000845F7"/>
    <w:rsid w:val="00084FCF"/>
    <w:rsid w:val="0008581A"/>
    <w:rsid w:val="000866D6"/>
    <w:rsid w:val="000877DE"/>
    <w:rsid w:val="00090021"/>
    <w:rsid w:val="00092481"/>
    <w:rsid w:val="00092DDA"/>
    <w:rsid w:val="000934E1"/>
    <w:rsid w:val="000960ED"/>
    <w:rsid w:val="0009713E"/>
    <w:rsid w:val="000A2239"/>
    <w:rsid w:val="000A3078"/>
    <w:rsid w:val="000A378D"/>
    <w:rsid w:val="000B01C2"/>
    <w:rsid w:val="000B05D5"/>
    <w:rsid w:val="000B0B47"/>
    <w:rsid w:val="000B17E8"/>
    <w:rsid w:val="000B25AD"/>
    <w:rsid w:val="000B6C79"/>
    <w:rsid w:val="000C0050"/>
    <w:rsid w:val="000C1229"/>
    <w:rsid w:val="000C2793"/>
    <w:rsid w:val="000C348A"/>
    <w:rsid w:val="000C51AF"/>
    <w:rsid w:val="000C6D57"/>
    <w:rsid w:val="000C7979"/>
    <w:rsid w:val="000D17F7"/>
    <w:rsid w:val="000D1E2A"/>
    <w:rsid w:val="000D28C1"/>
    <w:rsid w:val="000D3664"/>
    <w:rsid w:val="000D4D13"/>
    <w:rsid w:val="000D5FB9"/>
    <w:rsid w:val="000D6C15"/>
    <w:rsid w:val="000E0296"/>
    <w:rsid w:val="000E055B"/>
    <w:rsid w:val="000E1EE3"/>
    <w:rsid w:val="000E27EE"/>
    <w:rsid w:val="000E34E5"/>
    <w:rsid w:val="000F0BA2"/>
    <w:rsid w:val="000F0C07"/>
    <w:rsid w:val="000F3021"/>
    <w:rsid w:val="000F354A"/>
    <w:rsid w:val="000F362C"/>
    <w:rsid w:val="000F472C"/>
    <w:rsid w:val="000F66EE"/>
    <w:rsid w:val="0010008E"/>
    <w:rsid w:val="001053B8"/>
    <w:rsid w:val="0010662F"/>
    <w:rsid w:val="00106C47"/>
    <w:rsid w:val="0011143F"/>
    <w:rsid w:val="001126E4"/>
    <w:rsid w:val="00114627"/>
    <w:rsid w:val="00115D4A"/>
    <w:rsid w:val="00117597"/>
    <w:rsid w:val="001219C8"/>
    <w:rsid w:val="00122126"/>
    <w:rsid w:val="00122574"/>
    <w:rsid w:val="00122982"/>
    <w:rsid w:val="00123781"/>
    <w:rsid w:val="0012484F"/>
    <w:rsid w:val="00124F15"/>
    <w:rsid w:val="00125FF1"/>
    <w:rsid w:val="001269A8"/>
    <w:rsid w:val="00130329"/>
    <w:rsid w:val="00130460"/>
    <w:rsid w:val="001338BC"/>
    <w:rsid w:val="001342C8"/>
    <w:rsid w:val="001345FE"/>
    <w:rsid w:val="001348D5"/>
    <w:rsid w:val="0013528B"/>
    <w:rsid w:val="001354A0"/>
    <w:rsid w:val="0013579B"/>
    <w:rsid w:val="00136074"/>
    <w:rsid w:val="0013636B"/>
    <w:rsid w:val="00137396"/>
    <w:rsid w:val="00137EB4"/>
    <w:rsid w:val="001411CA"/>
    <w:rsid w:val="00142ED0"/>
    <w:rsid w:val="001458C2"/>
    <w:rsid w:val="001464A2"/>
    <w:rsid w:val="00150A7B"/>
    <w:rsid w:val="00150CBC"/>
    <w:rsid w:val="00150D46"/>
    <w:rsid w:val="001513C2"/>
    <w:rsid w:val="00151787"/>
    <w:rsid w:val="00154B2D"/>
    <w:rsid w:val="00155C61"/>
    <w:rsid w:val="00155DBF"/>
    <w:rsid w:val="00164372"/>
    <w:rsid w:val="00164F1E"/>
    <w:rsid w:val="00165BEE"/>
    <w:rsid w:val="001663B3"/>
    <w:rsid w:val="00167CCA"/>
    <w:rsid w:val="00170BEB"/>
    <w:rsid w:val="00170E90"/>
    <w:rsid w:val="00173C9D"/>
    <w:rsid w:val="0017518F"/>
    <w:rsid w:val="0017541D"/>
    <w:rsid w:val="00176D93"/>
    <w:rsid w:val="00180F36"/>
    <w:rsid w:val="001828F4"/>
    <w:rsid w:val="00183842"/>
    <w:rsid w:val="00184D89"/>
    <w:rsid w:val="00184EEF"/>
    <w:rsid w:val="00185C61"/>
    <w:rsid w:val="00186CB6"/>
    <w:rsid w:val="001874B2"/>
    <w:rsid w:val="0019171B"/>
    <w:rsid w:val="00191C65"/>
    <w:rsid w:val="00192A8D"/>
    <w:rsid w:val="00193287"/>
    <w:rsid w:val="00195B52"/>
    <w:rsid w:val="0019619C"/>
    <w:rsid w:val="00196A20"/>
    <w:rsid w:val="00197D7F"/>
    <w:rsid w:val="001A10B5"/>
    <w:rsid w:val="001A25CD"/>
    <w:rsid w:val="001A3581"/>
    <w:rsid w:val="001A4DD7"/>
    <w:rsid w:val="001A65B0"/>
    <w:rsid w:val="001A6E0E"/>
    <w:rsid w:val="001B2A99"/>
    <w:rsid w:val="001B3B88"/>
    <w:rsid w:val="001B4A0A"/>
    <w:rsid w:val="001B7248"/>
    <w:rsid w:val="001C05E2"/>
    <w:rsid w:val="001C179C"/>
    <w:rsid w:val="001C30FA"/>
    <w:rsid w:val="001C3243"/>
    <w:rsid w:val="001C5EB2"/>
    <w:rsid w:val="001C6509"/>
    <w:rsid w:val="001D023A"/>
    <w:rsid w:val="001D0E35"/>
    <w:rsid w:val="001D1084"/>
    <w:rsid w:val="001D3116"/>
    <w:rsid w:val="001D41EA"/>
    <w:rsid w:val="001D50C8"/>
    <w:rsid w:val="001D6CAD"/>
    <w:rsid w:val="001E15D6"/>
    <w:rsid w:val="001E1A10"/>
    <w:rsid w:val="001E202C"/>
    <w:rsid w:val="001E3E57"/>
    <w:rsid w:val="001E75EF"/>
    <w:rsid w:val="001E7A2F"/>
    <w:rsid w:val="001F117B"/>
    <w:rsid w:val="001F4105"/>
    <w:rsid w:val="001F5873"/>
    <w:rsid w:val="001F605E"/>
    <w:rsid w:val="001F6632"/>
    <w:rsid w:val="001F740D"/>
    <w:rsid w:val="001F7FB0"/>
    <w:rsid w:val="00204137"/>
    <w:rsid w:val="0020484D"/>
    <w:rsid w:val="002052BB"/>
    <w:rsid w:val="00205A19"/>
    <w:rsid w:val="00206F0B"/>
    <w:rsid w:val="002129F4"/>
    <w:rsid w:val="00216452"/>
    <w:rsid w:val="00217D17"/>
    <w:rsid w:val="002206A7"/>
    <w:rsid w:val="002208E0"/>
    <w:rsid w:val="00220A1E"/>
    <w:rsid w:val="00220FF6"/>
    <w:rsid w:val="002211C8"/>
    <w:rsid w:val="0022164F"/>
    <w:rsid w:val="00221F51"/>
    <w:rsid w:val="002228F9"/>
    <w:rsid w:val="00223C27"/>
    <w:rsid w:val="0022400C"/>
    <w:rsid w:val="00226D4E"/>
    <w:rsid w:val="00226F2D"/>
    <w:rsid w:val="00226F91"/>
    <w:rsid w:val="00230878"/>
    <w:rsid w:val="0023199F"/>
    <w:rsid w:val="0023498F"/>
    <w:rsid w:val="00234CE6"/>
    <w:rsid w:val="00235794"/>
    <w:rsid w:val="002359E5"/>
    <w:rsid w:val="0023621F"/>
    <w:rsid w:val="002363EF"/>
    <w:rsid w:val="0023645A"/>
    <w:rsid w:val="00242995"/>
    <w:rsid w:val="00243C13"/>
    <w:rsid w:val="002474F8"/>
    <w:rsid w:val="002475EC"/>
    <w:rsid w:val="00254DBC"/>
    <w:rsid w:val="00255CF4"/>
    <w:rsid w:val="00255EDA"/>
    <w:rsid w:val="0025636D"/>
    <w:rsid w:val="002572F8"/>
    <w:rsid w:val="00262994"/>
    <w:rsid w:val="00262E56"/>
    <w:rsid w:val="0026320F"/>
    <w:rsid w:val="00265108"/>
    <w:rsid w:val="00266A92"/>
    <w:rsid w:val="002670A2"/>
    <w:rsid w:val="00270139"/>
    <w:rsid w:val="002722B5"/>
    <w:rsid w:val="0027430F"/>
    <w:rsid w:val="00275590"/>
    <w:rsid w:val="00276F61"/>
    <w:rsid w:val="00277725"/>
    <w:rsid w:val="00281249"/>
    <w:rsid w:val="00282829"/>
    <w:rsid w:val="00282D5A"/>
    <w:rsid w:val="002837CC"/>
    <w:rsid w:val="00285D72"/>
    <w:rsid w:val="00287F4C"/>
    <w:rsid w:val="002901AE"/>
    <w:rsid w:val="00292F4D"/>
    <w:rsid w:val="002940E8"/>
    <w:rsid w:val="00294B42"/>
    <w:rsid w:val="00295EA8"/>
    <w:rsid w:val="00297212"/>
    <w:rsid w:val="00297D51"/>
    <w:rsid w:val="002A0862"/>
    <w:rsid w:val="002A17A2"/>
    <w:rsid w:val="002A1975"/>
    <w:rsid w:val="002A55D5"/>
    <w:rsid w:val="002A731C"/>
    <w:rsid w:val="002B007C"/>
    <w:rsid w:val="002B09CC"/>
    <w:rsid w:val="002B4DBE"/>
    <w:rsid w:val="002B5BEA"/>
    <w:rsid w:val="002B6090"/>
    <w:rsid w:val="002B6CDF"/>
    <w:rsid w:val="002B76D0"/>
    <w:rsid w:val="002C63C5"/>
    <w:rsid w:val="002C75D7"/>
    <w:rsid w:val="002C7AB1"/>
    <w:rsid w:val="002D2E25"/>
    <w:rsid w:val="002D2F6C"/>
    <w:rsid w:val="002D3C0D"/>
    <w:rsid w:val="002D6092"/>
    <w:rsid w:val="002D61D6"/>
    <w:rsid w:val="002D75CD"/>
    <w:rsid w:val="002D7DBE"/>
    <w:rsid w:val="002E0615"/>
    <w:rsid w:val="002E17A8"/>
    <w:rsid w:val="002E3747"/>
    <w:rsid w:val="002E6148"/>
    <w:rsid w:val="002E681C"/>
    <w:rsid w:val="002E7A5A"/>
    <w:rsid w:val="002F13C3"/>
    <w:rsid w:val="002F1EA8"/>
    <w:rsid w:val="002F4F7A"/>
    <w:rsid w:val="002F74C4"/>
    <w:rsid w:val="002F7A7A"/>
    <w:rsid w:val="002F7EA1"/>
    <w:rsid w:val="00301394"/>
    <w:rsid w:val="00302590"/>
    <w:rsid w:val="00302DBA"/>
    <w:rsid w:val="003031D7"/>
    <w:rsid w:val="003034F0"/>
    <w:rsid w:val="00303A24"/>
    <w:rsid w:val="003054AB"/>
    <w:rsid w:val="00305D38"/>
    <w:rsid w:val="00306F6D"/>
    <w:rsid w:val="003076E1"/>
    <w:rsid w:val="003109E5"/>
    <w:rsid w:val="00312AAE"/>
    <w:rsid w:val="00312CC5"/>
    <w:rsid w:val="003137D0"/>
    <w:rsid w:val="00313BB4"/>
    <w:rsid w:val="0031469D"/>
    <w:rsid w:val="00324615"/>
    <w:rsid w:val="00326E7B"/>
    <w:rsid w:val="0033030D"/>
    <w:rsid w:val="00332778"/>
    <w:rsid w:val="00332AD4"/>
    <w:rsid w:val="0033323C"/>
    <w:rsid w:val="0033447C"/>
    <w:rsid w:val="0033484E"/>
    <w:rsid w:val="00336AA1"/>
    <w:rsid w:val="00336F6F"/>
    <w:rsid w:val="0033741A"/>
    <w:rsid w:val="00337D9E"/>
    <w:rsid w:val="0034039A"/>
    <w:rsid w:val="00340842"/>
    <w:rsid w:val="00343203"/>
    <w:rsid w:val="00351818"/>
    <w:rsid w:val="00352711"/>
    <w:rsid w:val="00354252"/>
    <w:rsid w:val="003548EA"/>
    <w:rsid w:val="0035680B"/>
    <w:rsid w:val="003579B1"/>
    <w:rsid w:val="003609F6"/>
    <w:rsid w:val="00362C75"/>
    <w:rsid w:val="0036412A"/>
    <w:rsid w:val="003700C8"/>
    <w:rsid w:val="00370BA6"/>
    <w:rsid w:val="0037206F"/>
    <w:rsid w:val="00373770"/>
    <w:rsid w:val="00376F90"/>
    <w:rsid w:val="00377C0D"/>
    <w:rsid w:val="003800D3"/>
    <w:rsid w:val="00381ABE"/>
    <w:rsid w:val="00387C07"/>
    <w:rsid w:val="00391328"/>
    <w:rsid w:val="0039325F"/>
    <w:rsid w:val="003939E2"/>
    <w:rsid w:val="00393C79"/>
    <w:rsid w:val="00393DD1"/>
    <w:rsid w:val="00395E04"/>
    <w:rsid w:val="00396FF2"/>
    <w:rsid w:val="00397FD4"/>
    <w:rsid w:val="003A1EE0"/>
    <w:rsid w:val="003A2B56"/>
    <w:rsid w:val="003A3893"/>
    <w:rsid w:val="003A3F56"/>
    <w:rsid w:val="003A6ED8"/>
    <w:rsid w:val="003B40EA"/>
    <w:rsid w:val="003B4BAA"/>
    <w:rsid w:val="003B5378"/>
    <w:rsid w:val="003B774B"/>
    <w:rsid w:val="003B7BFE"/>
    <w:rsid w:val="003C104C"/>
    <w:rsid w:val="003C21D5"/>
    <w:rsid w:val="003C2301"/>
    <w:rsid w:val="003C6BE3"/>
    <w:rsid w:val="003D0653"/>
    <w:rsid w:val="003D26B9"/>
    <w:rsid w:val="003D308B"/>
    <w:rsid w:val="003D326E"/>
    <w:rsid w:val="003D598A"/>
    <w:rsid w:val="003D6690"/>
    <w:rsid w:val="003D6EFA"/>
    <w:rsid w:val="003D6FF9"/>
    <w:rsid w:val="003D7ABE"/>
    <w:rsid w:val="003E1193"/>
    <w:rsid w:val="003E1BA6"/>
    <w:rsid w:val="003E295A"/>
    <w:rsid w:val="003E31A5"/>
    <w:rsid w:val="003E35D5"/>
    <w:rsid w:val="003E3E8E"/>
    <w:rsid w:val="003E3F58"/>
    <w:rsid w:val="003E47B2"/>
    <w:rsid w:val="003F07E2"/>
    <w:rsid w:val="003F222C"/>
    <w:rsid w:val="003F27C7"/>
    <w:rsid w:val="003F2864"/>
    <w:rsid w:val="003F2A02"/>
    <w:rsid w:val="003F2F2D"/>
    <w:rsid w:val="003F50D7"/>
    <w:rsid w:val="0040047E"/>
    <w:rsid w:val="004009EB"/>
    <w:rsid w:val="00400EAD"/>
    <w:rsid w:val="00402310"/>
    <w:rsid w:val="00402AA1"/>
    <w:rsid w:val="00403515"/>
    <w:rsid w:val="0040404E"/>
    <w:rsid w:val="0040417B"/>
    <w:rsid w:val="004051AE"/>
    <w:rsid w:val="00406432"/>
    <w:rsid w:val="00410CCE"/>
    <w:rsid w:val="004129CF"/>
    <w:rsid w:val="00413E4A"/>
    <w:rsid w:val="00413FB1"/>
    <w:rsid w:val="00415618"/>
    <w:rsid w:val="004157FE"/>
    <w:rsid w:val="004170C2"/>
    <w:rsid w:val="004214BE"/>
    <w:rsid w:val="004250E2"/>
    <w:rsid w:val="00425405"/>
    <w:rsid w:val="00426112"/>
    <w:rsid w:val="00426823"/>
    <w:rsid w:val="00426BD8"/>
    <w:rsid w:val="004277F0"/>
    <w:rsid w:val="00427C0A"/>
    <w:rsid w:val="00427FDB"/>
    <w:rsid w:val="00433048"/>
    <w:rsid w:val="004344DB"/>
    <w:rsid w:val="00434690"/>
    <w:rsid w:val="0043599E"/>
    <w:rsid w:val="00440325"/>
    <w:rsid w:val="00440405"/>
    <w:rsid w:val="004438DC"/>
    <w:rsid w:val="004442FB"/>
    <w:rsid w:val="004443D7"/>
    <w:rsid w:val="0044689F"/>
    <w:rsid w:val="004468A2"/>
    <w:rsid w:val="004469EC"/>
    <w:rsid w:val="00446A4E"/>
    <w:rsid w:val="00447B6A"/>
    <w:rsid w:val="0045087A"/>
    <w:rsid w:val="00453CE9"/>
    <w:rsid w:val="0045551C"/>
    <w:rsid w:val="00456262"/>
    <w:rsid w:val="00456AA8"/>
    <w:rsid w:val="0045712A"/>
    <w:rsid w:val="0046047F"/>
    <w:rsid w:val="004614E3"/>
    <w:rsid w:val="00463B71"/>
    <w:rsid w:val="0046462B"/>
    <w:rsid w:val="00465E66"/>
    <w:rsid w:val="00470118"/>
    <w:rsid w:val="00471631"/>
    <w:rsid w:val="004723AB"/>
    <w:rsid w:val="004731B3"/>
    <w:rsid w:val="00477601"/>
    <w:rsid w:val="0048296D"/>
    <w:rsid w:val="00490F44"/>
    <w:rsid w:val="004915AC"/>
    <w:rsid w:val="004919C3"/>
    <w:rsid w:val="00491D42"/>
    <w:rsid w:val="004928A3"/>
    <w:rsid w:val="00492EE6"/>
    <w:rsid w:val="004955B8"/>
    <w:rsid w:val="00496DEF"/>
    <w:rsid w:val="00497463"/>
    <w:rsid w:val="004A0A04"/>
    <w:rsid w:val="004A0AD0"/>
    <w:rsid w:val="004A0AFC"/>
    <w:rsid w:val="004A0F8B"/>
    <w:rsid w:val="004A0F9E"/>
    <w:rsid w:val="004A286F"/>
    <w:rsid w:val="004A3E82"/>
    <w:rsid w:val="004A4104"/>
    <w:rsid w:val="004A4284"/>
    <w:rsid w:val="004A56A2"/>
    <w:rsid w:val="004A6685"/>
    <w:rsid w:val="004A7C27"/>
    <w:rsid w:val="004B1191"/>
    <w:rsid w:val="004B161C"/>
    <w:rsid w:val="004B1926"/>
    <w:rsid w:val="004B1FB9"/>
    <w:rsid w:val="004B39F2"/>
    <w:rsid w:val="004B4C77"/>
    <w:rsid w:val="004B656F"/>
    <w:rsid w:val="004B67E9"/>
    <w:rsid w:val="004B6984"/>
    <w:rsid w:val="004B7A41"/>
    <w:rsid w:val="004C073B"/>
    <w:rsid w:val="004C0F2B"/>
    <w:rsid w:val="004C246A"/>
    <w:rsid w:val="004C3B49"/>
    <w:rsid w:val="004C416F"/>
    <w:rsid w:val="004C61EA"/>
    <w:rsid w:val="004D2142"/>
    <w:rsid w:val="004D2889"/>
    <w:rsid w:val="004D2AB8"/>
    <w:rsid w:val="004D3781"/>
    <w:rsid w:val="004D3C20"/>
    <w:rsid w:val="004D562F"/>
    <w:rsid w:val="004D599A"/>
    <w:rsid w:val="004D6129"/>
    <w:rsid w:val="004E18FE"/>
    <w:rsid w:val="004E29D7"/>
    <w:rsid w:val="004E5934"/>
    <w:rsid w:val="004F0E4A"/>
    <w:rsid w:val="004F1545"/>
    <w:rsid w:val="004F23A3"/>
    <w:rsid w:val="004F281F"/>
    <w:rsid w:val="004F4127"/>
    <w:rsid w:val="004F6B5F"/>
    <w:rsid w:val="004F6E3C"/>
    <w:rsid w:val="0050245E"/>
    <w:rsid w:val="0050296B"/>
    <w:rsid w:val="0050466B"/>
    <w:rsid w:val="005051BE"/>
    <w:rsid w:val="00507957"/>
    <w:rsid w:val="00510417"/>
    <w:rsid w:val="00512024"/>
    <w:rsid w:val="00512F62"/>
    <w:rsid w:val="005160D7"/>
    <w:rsid w:val="005173F0"/>
    <w:rsid w:val="00517719"/>
    <w:rsid w:val="00520406"/>
    <w:rsid w:val="00520579"/>
    <w:rsid w:val="005213C4"/>
    <w:rsid w:val="005213FD"/>
    <w:rsid w:val="0052365B"/>
    <w:rsid w:val="005270FF"/>
    <w:rsid w:val="00531499"/>
    <w:rsid w:val="00532541"/>
    <w:rsid w:val="005379C4"/>
    <w:rsid w:val="00537C7B"/>
    <w:rsid w:val="005408F5"/>
    <w:rsid w:val="00540E55"/>
    <w:rsid w:val="00541606"/>
    <w:rsid w:val="00542D0F"/>
    <w:rsid w:val="00542DEB"/>
    <w:rsid w:val="0054310F"/>
    <w:rsid w:val="005436BF"/>
    <w:rsid w:val="0054519F"/>
    <w:rsid w:val="00545C82"/>
    <w:rsid w:val="00547B0A"/>
    <w:rsid w:val="00550208"/>
    <w:rsid w:val="00551D91"/>
    <w:rsid w:val="00553C4A"/>
    <w:rsid w:val="00554F24"/>
    <w:rsid w:val="0055508D"/>
    <w:rsid w:val="005552F3"/>
    <w:rsid w:val="00555B74"/>
    <w:rsid w:val="0055628A"/>
    <w:rsid w:val="005606C3"/>
    <w:rsid w:val="00562107"/>
    <w:rsid w:val="00562A5B"/>
    <w:rsid w:val="00562D72"/>
    <w:rsid w:val="005634E0"/>
    <w:rsid w:val="0056370F"/>
    <w:rsid w:val="00572418"/>
    <w:rsid w:val="0057392C"/>
    <w:rsid w:val="0057540C"/>
    <w:rsid w:val="005758C4"/>
    <w:rsid w:val="005762FD"/>
    <w:rsid w:val="00583F32"/>
    <w:rsid w:val="0058529D"/>
    <w:rsid w:val="00587511"/>
    <w:rsid w:val="005879D5"/>
    <w:rsid w:val="005946DF"/>
    <w:rsid w:val="00594F46"/>
    <w:rsid w:val="005951CA"/>
    <w:rsid w:val="005953E6"/>
    <w:rsid w:val="00595DDF"/>
    <w:rsid w:val="00595FE3"/>
    <w:rsid w:val="005A05CE"/>
    <w:rsid w:val="005A094A"/>
    <w:rsid w:val="005A204E"/>
    <w:rsid w:val="005A5C56"/>
    <w:rsid w:val="005A6262"/>
    <w:rsid w:val="005A6E86"/>
    <w:rsid w:val="005A7388"/>
    <w:rsid w:val="005B0BDA"/>
    <w:rsid w:val="005B3231"/>
    <w:rsid w:val="005B3D6E"/>
    <w:rsid w:val="005C0F6D"/>
    <w:rsid w:val="005C173B"/>
    <w:rsid w:val="005C3025"/>
    <w:rsid w:val="005C37B1"/>
    <w:rsid w:val="005C4005"/>
    <w:rsid w:val="005C55B8"/>
    <w:rsid w:val="005C655A"/>
    <w:rsid w:val="005D14EB"/>
    <w:rsid w:val="005D4F51"/>
    <w:rsid w:val="005D77C3"/>
    <w:rsid w:val="005E0B08"/>
    <w:rsid w:val="005E148A"/>
    <w:rsid w:val="005E2098"/>
    <w:rsid w:val="005E27F4"/>
    <w:rsid w:val="005E28A6"/>
    <w:rsid w:val="005E3AA5"/>
    <w:rsid w:val="005E47DE"/>
    <w:rsid w:val="005E4931"/>
    <w:rsid w:val="005E5580"/>
    <w:rsid w:val="005E6B01"/>
    <w:rsid w:val="005F1439"/>
    <w:rsid w:val="005F14DD"/>
    <w:rsid w:val="005F240F"/>
    <w:rsid w:val="005F2C50"/>
    <w:rsid w:val="005F2EE5"/>
    <w:rsid w:val="005F302E"/>
    <w:rsid w:val="005F4095"/>
    <w:rsid w:val="005F55BA"/>
    <w:rsid w:val="005F7C79"/>
    <w:rsid w:val="00600BE3"/>
    <w:rsid w:val="006049CE"/>
    <w:rsid w:val="006066A0"/>
    <w:rsid w:val="006066D4"/>
    <w:rsid w:val="00606EAA"/>
    <w:rsid w:val="00607D79"/>
    <w:rsid w:val="00607E4B"/>
    <w:rsid w:val="0061016D"/>
    <w:rsid w:val="0061079D"/>
    <w:rsid w:val="006120BB"/>
    <w:rsid w:val="00612E28"/>
    <w:rsid w:val="00616169"/>
    <w:rsid w:val="00621827"/>
    <w:rsid w:val="006223EF"/>
    <w:rsid w:val="006250BC"/>
    <w:rsid w:val="00625893"/>
    <w:rsid w:val="00625EAF"/>
    <w:rsid w:val="0062775B"/>
    <w:rsid w:val="00627D31"/>
    <w:rsid w:val="00630738"/>
    <w:rsid w:val="00630EE0"/>
    <w:rsid w:val="00631502"/>
    <w:rsid w:val="006320E5"/>
    <w:rsid w:val="00632CF8"/>
    <w:rsid w:val="00634736"/>
    <w:rsid w:val="00636060"/>
    <w:rsid w:val="0063700C"/>
    <w:rsid w:val="00647532"/>
    <w:rsid w:val="00647D76"/>
    <w:rsid w:val="00647D7F"/>
    <w:rsid w:val="006549D7"/>
    <w:rsid w:val="00655226"/>
    <w:rsid w:val="006570F8"/>
    <w:rsid w:val="00661172"/>
    <w:rsid w:val="00670EBF"/>
    <w:rsid w:val="00671DB1"/>
    <w:rsid w:val="00671E57"/>
    <w:rsid w:val="00672C54"/>
    <w:rsid w:val="006733DE"/>
    <w:rsid w:val="006733F4"/>
    <w:rsid w:val="00674001"/>
    <w:rsid w:val="00676908"/>
    <w:rsid w:val="00676911"/>
    <w:rsid w:val="006800F6"/>
    <w:rsid w:val="00680D50"/>
    <w:rsid w:val="00681337"/>
    <w:rsid w:val="00681AA9"/>
    <w:rsid w:val="00684DED"/>
    <w:rsid w:val="006862A6"/>
    <w:rsid w:val="00686EF1"/>
    <w:rsid w:val="00687B30"/>
    <w:rsid w:val="00691D64"/>
    <w:rsid w:val="006940ED"/>
    <w:rsid w:val="00697421"/>
    <w:rsid w:val="00697FC6"/>
    <w:rsid w:val="006A110E"/>
    <w:rsid w:val="006A2F82"/>
    <w:rsid w:val="006A3A27"/>
    <w:rsid w:val="006A553F"/>
    <w:rsid w:val="006A6359"/>
    <w:rsid w:val="006A697E"/>
    <w:rsid w:val="006A6C7E"/>
    <w:rsid w:val="006B0B0B"/>
    <w:rsid w:val="006B232F"/>
    <w:rsid w:val="006B53E6"/>
    <w:rsid w:val="006B6127"/>
    <w:rsid w:val="006B7A1D"/>
    <w:rsid w:val="006C0759"/>
    <w:rsid w:val="006C5435"/>
    <w:rsid w:val="006C5633"/>
    <w:rsid w:val="006C587F"/>
    <w:rsid w:val="006C5FE0"/>
    <w:rsid w:val="006C7EE6"/>
    <w:rsid w:val="006D1102"/>
    <w:rsid w:val="006D129F"/>
    <w:rsid w:val="006D1529"/>
    <w:rsid w:val="006D2A16"/>
    <w:rsid w:val="006D2F35"/>
    <w:rsid w:val="006D3089"/>
    <w:rsid w:val="006D6541"/>
    <w:rsid w:val="006D6CCF"/>
    <w:rsid w:val="006E1CB3"/>
    <w:rsid w:val="006E2F84"/>
    <w:rsid w:val="006E3D2A"/>
    <w:rsid w:val="006E4EDD"/>
    <w:rsid w:val="006E5A7E"/>
    <w:rsid w:val="006E605A"/>
    <w:rsid w:val="006E6BA6"/>
    <w:rsid w:val="006E7969"/>
    <w:rsid w:val="006F0CA5"/>
    <w:rsid w:val="006F33AE"/>
    <w:rsid w:val="006F341F"/>
    <w:rsid w:val="006F342B"/>
    <w:rsid w:val="006F4F29"/>
    <w:rsid w:val="006F785C"/>
    <w:rsid w:val="007004CC"/>
    <w:rsid w:val="00700EEB"/>
    <w:rsid w:val="00700EF5"/>
    <w:rsid w:val="007016D5"/>
    <w:rsid w:val="00701E90"/>
    <w:rsid w:val="007029DE"/>
    <w:rsid w:val="007030A0"/>
    <w:rsid w:val="00705590"/>
    <w:rsid w:val="00705B05"/>
    <w:rsid w:val="00707393"/>
    <w:rsid w:val="00710734"/>
    <w:rsid w:val="0071244E"/>
    <w:rsid w:val="007125C6"/>
    <w:rsid w:val="007130C7"/>
    <w:rsid w:val="007139FB"/>
    <w:rsid w:val="00714413"/>
    <w:rsid w:val="0071477D"/>
    <w:rsid w:val="00716489"/>
    <w:rsid w:val="00716AF4"/>
    <w:rsid w:val="007204AB"/>
    <w:rsid w:val="007211A1"/>
    <w:rsid w:val="00722971"/>
    <w:rsid w:val="00722C5D"/>
    <w:rsid w:val="00723255"/>
    <w:rsid w:val="00724208"/>
    <w:rsid w:val="00725A9E"/>
    <w:rsid w:val="007278B4"/>
    <w:rsid w:val="00730978"/>
    <w:rsid w:val="00730CFC"/>
    <w:rsid w:val="0073118A"/>
    <w:rsid w:val="0073239B"/>
    <w:rsid w:val="0073359F"/>
    <w:rsid w:val="007337F0"/>
    <w:rsid w:val="00734B03"/>
    <w:rsid w:val="00735368"/>
    <w:rsid w:val="00737154"/>
    <w:rsid w:val="00737519"/>
    <w:rsid w:val="00744AD0"/>
    <w:rsid w:val="00744E63"/>
    <w:rsid w:val="00750801"/>
    <w:rsid w:val="00751133"/>
    <w:rsid w:val="007519CB"/>
    <w:rsid w:val="0075596C"/>
    <w:rsid w:val="007574B1"/>
    <w:rsid w:val="00760BFE"/>
    <w:rsid w:val="0076544E"/>
    <w:rsid w:val="007654D5"/>
    <w:rsid w:val="00767963"/>
    <w:rsid w:val="00767C94"/>
    <w:rsid w:val="00771910"/>
    <w:rsid w:val="007722D0"/>
    <w:rsid w:val="007728AB"/>
    <w:rsid w:val="00772EE1"/>
    <w:rsid w:val="00775BC9"/>
    <w:rsid w:val="00775C4D"/>
    <w:rsid w:val="00775C92"/>
    <w:rsid w:val="00776BF1"/>
    <w:rsid w:val="007804EF"/>
    <w:rsid w:val="007822DC"/>
    <w:rsid w:val="00782308"/>
    <w:rsid w:val="00782571"/>
    <w:rsid w:val="00784031"/>
    <w:rsid w:val="0078679F"/>
    <w:rsid w:val="00791836"/>
    <w:rsid w:val="007919F7"/>
    <w:rsid w:val="00792133"/>
    <w:rsid w:val="007A0734"/>
    <w:rsid w:val="007A0AE1"/>
    <w:rsid w:val="007A10B8"/>
    <w:rsid w:val="007A3709"/>
    <w:rsid w:val="007A37E1"/>
    <w:rsid w:val="007A4C92"/>
    <w:rsid w:val="007A57E6"/>
    <w:rsid w:val="007A5DC2"/>
    <w:rsid w:val="007A708D"/>
    <w:rsid w:val="007A79B4"/>
    <w:rsid w:val="007B2A93"/>
    <w:rsid w:val="007B3395"/>
    <w:rsid w:val="007B3D9B"/>
    <w:rsid w:val="007B4148"/>
    <w:rsid w:val="007B71D7"/>
    <w:rsid w:val="007B74BD"/>
    <w:rsid w:val="007C1050"/>
    <w:rsid w:val="007C33B7"/>
    <w:rsid w:val="007C38CD"/>
    <w:rsid w:val="007C3E19"/>
    <w:rsid w:val="007C5B2D"/>
    <w:rsid w:val="007C71A8"/>
    <w:rsid w:val="007C7B47"/>
    <w:rsid w:val="007D0C2E"/>
    <w:rsid w:val="007D0D7F"/>
    <w:rsid w:val="007D0F83"/>
    <w:rsid w:val="007D1096"/>
    <w:rsid w:val="007D1583"/>
    <w:rsid w:val="007D270F"/>
    <w:rsid w:val="007D4B28"/>
    <w:rsid w:val="007D4DD6"/>
    <w:rsid w:val="007D5E56"/>
    <w:rsid w:val="007D679A"/>
    <w:rsid w:val="007D78A7"/>
    <w:rsid w:val="007E03DA"/>
    <w:rsid w:val="007E15B7"/>
    <w:rsid w:val="007E188A"/>
    <w:rsid w:val="007E2D09"/>
    <w:rsid w:val="007E30B0"/>
    <w:rsid w:val="007E6C74"/>
    <w:rsid w:val="007E6EB5"/>
    <w:rsid w:val="007F1A32"/>
    <w:rsid w:val="007F23EF"/>
    <w:rsid w:val="007F35B9"/>
    <w:rsid w:val="007F383F"/>
    <w:rsid w:val="007F560B"/>
    <w:rsid w:val="007F63F2"/>
    <w:rsid w:val="007F7AA2"/>
    <w:rsid w:val="00802E09"/>
    <w:rsid w:val="00803A8A"/>
    <w:rsid w:val="008051BC"/>
    <w:rsid w:val="00805E8B"/>
    <w:rsid w:val="00807471"/>
    <w:rsid w:val="00807C72"/>
    <w:rsid w:val="00807ECE"/>
    <w:rsid w:val="008106AE"/>
    <w:rsid w:val="00811541"/>
    <w:rsid w:val="00811CC6"/>
    <w:rsid w:val="00812272"/>
    <w:rsid w:val="00814B25"/>
    <w:rsid w:val="0081656A"/>
    <w:rsid w:val="00816B05"/>
    <w:rsid w:val="00817219"/>
    <w:rsid w:val="00822C2A"/>
    <w:rsid w:val="008232CD"/>
    <w:rsid w:val="00823783"/>
    <w:rsid w:val="00824E0D"/>
    <w:rsid w:val="008269FA"/>
    <w:rsid w:val="00834408"/>
    <w:rsid w:val="00834E74"/>
    <w:rsid w:val="00837625"/>
    <w:rsid w:val="008378B4"/>
    <w:rsid w:val="0084098A"/>
    <w:rsid w:val="008423F6"/>
    <w:rsid w:val="00842D44"/>
    <w:rsid w:val="00843CB4"/>
    <w:rsid w:val="008444A0"/>
    <w:rsid w:val="00844FA9"/>
    <w:rsid w:val="00846CF1"/>
    <w:rsid w:val="008500C9"/>
    <w:rsid w:val="008518E9"/>
    <w:rsid w:val="0085214F"/>
    <w:rsid w:val="008525F2"/>
    <w:rsid w:val="0085288A"/>
    <w:rsid w:val="00852A69"/>
    <w:rsid w:val="00853F4E"/>
    <w:rsid w:val="0085566F"/>
    <w:rsid w:val="00856FFE"/>
    <w:rsid w:val="00860674"/>
    <w:rsid w:val="00862866"/>
    <w:rsid w:val="00866310"/>
    <w:rsid w:val="00870855"/>
    <w:rsid w:val="0087476B"/>
    <w:rsid w:val="00874DE1"/>
    <w:rsid w:val="00880E6D"/>
    <w:rsid w:val="00882FFB"/>
    <w:rsid w:val="0088500E"/>
    <w:rsid w:val="0088626A"/>
    <w:rsid w:val="008867FF"/>
    <w:rsid w:val="0089098D"/>
    <w:rsid w:val="008919A6"/>
    <w:rsid w:val="00893356"/>
    <w:rsid w:val="00894DC0"/>
    <w:rsid w:val="008973EC"/>
    <w:rsid w:val="00897C5C"/>
    <w:rsid w:val="008A1C1F"/>
    <w:rsid w:val="008A4880"/>
    <w:rsid w:val="008A6D64"/>
    <w:rsid w:val="008A77F9"/>
    <w:rsid w:val="008B1ACA"/>
    <w:rsid w:val="008B2FF5"/>
    <w:rsid w:val="008B36AD"/>
    <w:rsid w:val="008B5555"/>
    <w:rsid w:val="008B7605"/>
    <w:rsid w:val="008B775E"/>
    <w:rsid w:val="008D1E6C"/>
    <w:rsid w:val="008D3270"/>
    <w:rsid w:val="008D4E5C"/>
    <w:rsid w:val="008D56C7"/>
    <w:rsid w:val="008D7F22"/>
    <w:rsid w:val="008E19B9"/>
    <w:rsid w:val="008E2012"/>
    <w:rsid w:val="008E2A1E"/>
    <w:rsid w:val="008E2CAE"/>
    <w:rsid w:val="008E44D4"/>
    <w:rsid w:val="008E482E"/>
    <w:rsid w:val="008E48BA"/>
    <w:rsid w:val="008E578D"/>
    <w:rsid w:val="008E643B"/>
    <w:rsid w:val="008E723D"/>
    <w:rsid w:val="008F1A19"/>
    <w:rsid w:val="008F23D6"/>
    <w:rsid w:val="008F2D4C"/>
    <w:rsid w:val="008F3BBC"/>
    <w:rsid w:val="008F5C2B"/>
    <w:rsid w:val="008F6A98"/>
    <w:rsid w:val="008F785C"/>
    <w:rsid w:val="009004FD"/>
    <w:rsid w:val="009007C4"/>
    <w:rsid w:val="0090119F"/>
    <w:rsid w:val="0090149D"/>
    <w:rsid w:val="009026DE"/>
    <w:rsid w:val="009036D2"/>
    <w:rsid w:val="00903E46"/>
    <w:rsid w:val="0090480A"/>
    <w:rsid w:val="00905D66"/>
    <w:rsid w:val="00906384"/>
    <w:rsid w:val="0090748A"/>
    <w:rsid w:val="0090756E"/>
    <w:rsid w:val="009110A7"/>
    <w:rsid w:val="00912D31"/>
    <w:rsid w:val="00913958"/>
    <w:rsid w:val="00915627"/>
    <w:rsid w:val="0091753C"/>
    <w:rsid w:val="009246EC"/>
    <w:rsid w:val="0092603D"/>
    <w:rsid w:val="00926ABE"/>
    <w:rsid w:val="00927696"/>
    <w:rsid w:val="00931215"/>
    <w:rsid w:val="009340DD"/>
    <w:rsid w:val="00935A63"/>
    <w:rsid w:val="00935CCE"/>
    <w:rsid w:val="00936CA7"/>
    <w:rsid w:val="009374B9"/>
    <w:rsid w:val="009403B9"/>
    <w:rsid w:val="0094121B"/>
    <w:rsid w:val="00947F08"/>
    <w:rsid w:val="00950487"/>
    <w:rsid w:val="00950980"/>
    <w:rsid w:val="00951A4F"/>
    <w:rsid w:val="00957072"/>
    <w:rsid w:val="00957AED"/>
    <w:rsid w:val="00963136"/>
    <w:rsid w:val="00966DFC"/>
    <w:rsid w:val="009714C1"/>
    <w:rsid w:val="00972AD7"/>
    <w:rsid w:val="00977373"/>
    <w:rsid w:val="009773E2"/>
    <w:rsid w:val="009808B0"/>
    <w:rsid w:val="00980DE8"/>
    <w:rsid w:val="00981AB2"/>
    <w:rsid w:val="00981BFB"/>
    <w:rsid w:val="00982BD3"/>
    <w:rsid w:val="0098489D"/>
    <w:rsid w:val="0098538A"/>
    <w:rsid w:val="00987F9D"/>
    <w:rsid w:val="00992181"/>
    <w:rsid w:val="00994350"/>
    <w:rsid w:val="00995EDB"/>
    <w:rsid w:val="0099611E"/>
    <w:rsid w:val="009967D7"/>
    <w:rsid w:val="009978B8"/>
    <w:rsid w:val="009A0ABB"/>
    <w:rsid w:val="009A1218"/>
    <w:rsid w:val="009A1274"/>
    <w:rsid w:val="009A45EB"/>
    <w:rsid w:val="009A631D"/>
    <w:rsid w:val="009A63AB"/>
    <w:rsid w:val="009A6DBE"/>
    <w:rsid w:val="009A747B"/>
    <w:rsid w:val="009B1840"/>
    <w:rsid w:val="009B191B"/>
    <w:rsid w:val="009B27A9"/>
    <w:rsid w:val="009B3132"/>
    <w:rsid w:val="009C2400"/>
    <w:rsid w:val="009C2626"/>
    <w:rsid w:val="009C2FC9"/>
    <w:rsid w:val="009C3664"/>
    <w:rsid w:val="009C3A62"/>
    <w:rsid w:val="009C69C4"/>
    <w:rsid w:val="009C77C4"/>
    <w:rsid w:val="009D1D2F"/>
    <w:rsid w:val="009D1DFF"/>
    <w:rsid w:val="009D3816"/>
    <w:rsid w:val="009D42F6"/>
    <w:rsid w:val="009D47AF"/>
    <w:rsid w:val="009D5E4C"/>
    <w:rsid w:val="009E117D"/>
    <w:rsid w:val="009E15A8"/>
    <w:rsid w:val="009E320B"/>
    <w:rsid w:val="009E3E30"/>
    <w:rsid w:val="009E589D"/>
    <w:rsid w:val="009E7367"/>
    <w:rsid w:val="009F1121"/>
    <w:rsid w:val="009F1FA5"/>
    <w:rsid w:val="009F20EC"/>
    <w:rsid w:val="009F23DB"/>
    <w:rsid w:val="009F332A"/>
    <w:rsid w:val="009F36E2"/>
    <w:rsid w:val="00A00188"/>
    <w:rsid w:val="00A002CB"/>
    <w:rsid w:val="00A007A7"/>
    <w:rsid w:val="00A00931"/>
    <w:rsid w:val="00A01E44"/>
    <w:rsid w:val="00A02F1C"/>
    <w:rsid w:val="00A14466"/>
    <w:rsid w:val="00A15BB1"/>
    <w:rsid w:val="00A17ED3"/>
    <w:rsid w:val="00A20A9D"/>
    <w:rsid w:val="00A21EEF"/>
    <w:rsid w:val="00A22AED"/>
    <w:rsid w:val="00A25514"/>
    <w:rsid w:val="00A33891"/>
    <w:rsid w:val="00A353F6"/>
    <w:rsid w:val="00A357ED"/>
    <w:rsid w:val="00A36218"/>
    <w:rsid w:val="00A36DAD"/>
    <w:rsid w:val="00A36EBA"/>
    <w:rsid w:val="00A43031"/>
    <w:rsid w:val="00A43B3A"/>
    <w:rsid w:val="00A44FBA"/>
    <w:rsid w:val="00A45BD3"/>
    <w:rsid w:val="00A45F00"/>
    <w:rsid w:val="00A50F67"/>
    <w:rsid w:val="00A51968"/>
    <w:rsid w:val="00A51BDB"/>
    <w:rsid w:val="00A51CE4"/>
    <w:rsid w:val="00A5515D"/>
    <w:rsid w:val="00A56035"/>
    <w:rsid w:val="00A60156"/>
    <w:rsid w:val="00A639CC"/>
    <w:rsid w:val="00A63CEE"/>
    <w:rsid w:val="00A63FFC"/>
    <w:rsid w:val="00A65B51"/>
    <w:rsid w:val="00A6717A"/>
    <w:rsid w:val="00A70767"/>
    <w:rsid w:val="00A70B09"/>
    <w:rsid w:val="00A710A1"/>
    <w:rsid w:val="00A71CE2"/>
    <w:rsid w:val="00A74426"/>
    <w:rsid w:val="00A75EF1"/>
    <w:rsid w:val="00A769AD"/>
    <w:rsid w:val="00A77345"/>
    <w:rsid w:val="00A779DB"/>
    <w:rsid w:val="00A81D09"/>
    <w:rsid w:val="00A83281"/>
    <w:rsid w:val="00A85176"/>
    <w:rsid w:val="00A8518E"/>
    <w:rsid w:val="00A87205"/>
    <w:rsid w:val="00A94007"/>
    <w:rsid w:val="00A942DC"/>
    <w:rsid w:val="00A94C44"/>
    <w:rsid w:val="00A9647F"/>
    <w:rsid w:val="00A9658A"/>
    <w:rsid w:val="00A97C8A"/>
    <w:rsid w:val="00AA1B03"/>
    <w:rsid w:val="00AA1C2D"/>
    <w:rsid w:val="00AA2917"/>
    <w:rsid w:val="00AA3876"/>
    <w:rsid w:val="00AA4103"/>
    <w:rsid w:val="00AA4CF0"/>
    <w:rsid w:val="00AA509B"/>
    <w:rsid w:val="00AA79C8"/>
    <w:rsid w:val="00AB0D89"/>
    <w:rsid w:val="00AB5191"/>
    <w:rsid w:val="00AB52C8"/>
    <w:rsid w:val="00AB7C07"/>
    <w:rsid w:val="00AC1908"/>
    <w:rsid w:val="00AC19B3"/>
    <w:rsid w:val="00AC6593"/>
    <w:rsid w:val="00AC7BEB"/>
    <w:rsid w:val="00AC7C72"/>
    <w:rsid w:val="00AD1D0C"/>
    <w:rsid w:val="00AD2E56"/>
    <w:rsid w:val="00AE06C8"/>
    <w:rsid w:val="00AE2C75"/>
    <w:rsid w:val="00AE368B"/>
    <w:rsid w:val="00AE3B28"/>
    <w:rsid w:val="00AE3C7E"/>
    <w:rsid w:val="00AE41E2"/>
    <w:rsid w:val="00AE4A02"/>
    <w:rsid w:val="00AF06D7"/>
    <w:rsid w:val="00AF0CC7"/>
    <w:rsid w:val="00AF0E93"/>
    <w:rsid w:val="00AF0F2F"/>
    <w:rsid w:val="00AF1127"/>
    <w:rsid w:val="00AF2868"/>
    <w:rsid w:val="00AF2B16"/>
    <w:rsid w:val="00AF3336"/>
    <w:rsid w:val="00AF34D1"/>
    <w:rsid w:val="00AF4F8E"/>
    <w:rsid w:val="00AF5408"/>
    <w:rsid w:val="00AF7BC7"/>
    <w:rsid w:val="00B00410"/>
    <w:rsid w:val="00B00475"/>
    <w:rsid w:val="00B00F18"/>
    <w:rsid w:val="00B01599"/>
    <w:rsid w:val="00B01929"/>
    <w:rsid w:val="00B02515"/>
    <w:rsid w:val="00B0299C"/>
    <w:rsid w:val="00B04982"/>
    <w:rsid w:val="00B04A3A"/>
    <w:rsid w:val="00B06DF9"/>
    <w:rsid w:val="00B07594"/>
    <w:rsid w:val="00B079AA"/>
    <w:rsid w:val="00B108A7"/>
    <w:rsid w:val="00B123FA"/>
    <w:rsid w:val="00B126F0"/>
    <w:rsid w:val="00B12EF8"/>
    <w:rsid w:val="00B1344C"/>
    <w:rsid w:val="00B13F6C"/>
    <w:rsid w:val="00B172B1"/>
    <w:rsid w:val="00B1766A"/>
    <w:rsid w:val="00B17C10"/>
    <w:rsid w:val="00B2155C"/>
    <w:rsid w:val="00B21E3C"/>
    <w:rsid w:val="00B225D4"/>
    <w:rsid w:val="00B25642"/>
    <w:rsid w:val="00B2750D"/>
    <w:rsid w:val="00B27ED9"/>
    <w:rsid w:val="00B30B2F"/>
    <w:rsid w:val="00B32004"/>
    <w:rsid w:val="00B357AF"/>
    <w:rsid w:val="00B37379"/>
    <w:rsid w:val="00B408BE"/>
    <w:rsid w:val="00B45DD4"/>
    <w:rsid w:val="00B4669B"/>
    <w:rsid w:val="00B52513"/>
    <w:rsid w:val="00B532CD"/>
    <w:rsid w:val="00B53BD1"/>
    <w:rsid w:val="00B54C77"/>
    <w:rsid w:val="00B55BD8"/>
    <w:rsid w:val="00B5649B"/>
    <w:rsid w:val="00B60556"/>
    <w:rsid w:val="00B629CE"/>
    <w:rsid w:val="00B63209"/>
    <w:rsid w:val="00B64059"/>
    <w:rsid w:val="00B66425"/>
    <w:rsid w:val="00B705E9"/>
    <w:rsid w:val="00B70990"/>
    <w:rsid w:val="00B72150"/>
    <w:rsid w:val="00B75143"/>
    <w:rsid w:val="00B753DE"/>
    <w:rsid w:val="00B75B05"/>
    <w:rsid w:val="00B80D27"/>
    <w:rsid w:val="00B81517"/>
    <w:rsid w:val="00B86274"/>
    <w:rsid w:val="00B863F6"/>
    <w:rsid w:val="00B86B64"/>
    <w:rsid w:val="00B87943"/>
    <w:rsid w:val="00B879A2"/>
    <w:rsid w:val="00B91D8D"/>
    <w:rsid w:val="00B937DE"/>
    <w:rsid w:val="00B95C19"/>
    <w:rsid w:val="00BA0952"/>
    <w:rsid w:val="00BA0D48"/>
    <w:rsid w:val="00BA33D7"/>
    <w:rsid w:val="00BA3D00"/>
    <w:rsid w:val="00BA7066"/>
    <w:rsid w:val="00BB0ED9"/>
    <w:rsid w:val="00BB1BA4"/>
    <w:rsid w:val="00BB2FC3"/>
    <w:rsid w:val="00BB360D"/>
    <w:rsid w:val="00BB42DD"/>
    <w:rsid w:val="00BB5194"/>
    <w:rsid w:val="00BB5C85"/>
    <w:rsid w:val="00BC083D"/>
    <w:rsid w:val="00BC0D7F"/>
    <w:rsid w:val="00BC29CC"/>
    <w:rsid w:val="00BC392C"/>
    <w:rsid w:val="00BC4574"/>
    <w:rsid w:val="00BC4A81"/>
    <w:rsid w:val="00BC502F"/>
    <w:rsid w:val="00BC5DE2"/>
    <w:rsid w:val="00BD006D"/>
    <w:rsid w:val="00BD1CB7"/>
    <w:rsid w:val="00BD2204"/>
    <w:rsid w:val="00BD34E6"/>
    <w:rsid w:val="00BD4281"/>
    <w:rsid w:val="00BD44C1"/>
    <w:rsid w:val="00BD5102"/>
    <w:rsid w:val="00BD6116"/>
    <w:rsid w:val="00BD677F"/>
    <w:rsid w:val="00BE181F"/>
    <w:rsid w:val="00BE1BA8"/>
    <w:rsid w:val="00BE1F1D"/>
    <w:rsid w:val="00BE3576"/>
    <w:rsid w:val="00BE3C56"/>
    <w:rsid w:val="00BE3DAE"/>
    <w:rsid w:val="00BE3EF5"/>
    <w:rsid w:val="00BE48D0"/>
    <w:rsid w:val="00BE4DF5"/>
    <w:rsid w:val="00BE59F2"/>
    <w:rsid w:val="00BE7B70"/>
    <w:rsid w:val="00BF008A"/>
    <w:rsid w:val="00BF5E3E"/>
    <w:rsid w:val="00BF60E8"/>
    <w:rsid w:val="00BF6DAA"/>
    <w:rsid w:val="00BF75A1"/>
    <w:rsid w:val="00BF7F78"/>
    <w:rsid w:val="00C009B2"/>
    <w:rsid w:val="00C02B17"/>
    <w:rsid w:val="00C0612A"/>
    <w:rsid w:val="00C06F98"/>
    <w:rsid w:val="00C10E96"/>
    <w:rsid w:val="00C13D67"/>
    <w:rsid w:val="00C15D2A"/>
    <w:rsid w:val="00C202DF"/>
    <w:rsid w:val="00C21AA7"/>
    <w:rsid w:val="00C220C5"/>
    <w:rsid w:val="00C23E9A"/>
    <w:rsid w:val="00C25D38"/>
    <w:rsid w:val="00C262EF"/>
    <w:rsid w:val="00C26A9C"/>
    <w:rsid w:val="00C27D3D"/>
    <w:rsid w:val="00C3089C"/>
    <w:rsid w:val="00C30BDE"/>
    <w:rsid w:val="00C323AA"/>
    <w:rsid w:val="00C33775"/>
    <w:rsid w:val="00C3407E"/>
    <w:rsid w:val="00C34B9B"/>
    <w:rsid w:val="00C350CB"/>
    <w:rsid w:val="00C3541A"/>
    <w:rsid w:val="00C357C2"/>
    <w:rsid w:val="00C3693F"/>
    <w:rsid w:val="00C37388"/>
    <w:rsid w:val="00C414DD"/>
    <w:rsid w:val="00C41C8D"/>
    <w:rsid w:val="00C41EE0"/>
    <w:rsid w:val="00C42536"/>
    <w:rsid w:val="00C42B3D"/>
    <w:rsid w:val="00C44197"/>
    <w:rsid w:val="00C47D5C"/>
    <w:rsid w:val="00C518A1"/>
    <w:rsid w:val="00C54934"/>
    <w:rsid w:val="00C55CB1"/>
    <w:rsid w:val="00C55FF4"/>
    <w:rsid w:val="00C60155"/>
    <w:rsid w:val="00C60F71"/>
    <w:rsid w:val="00C63FC0"/>
    <w:rsid w:val="00C64110"/>
    <w:rsid w:val="00C64B2A"/>
    <w:rsid w:val="00C6525B"/>
    <w:rsid w:val="00C66285"/>
    <w:rsid w:val="00C66490"/>
    <w:rsid w:val="00C71F15"/>
    <w:rsid w:val="00C72699"/>
    <w:rsid w:val="00C77B72"/>
    <w:rsid w:val="00C824C8"/>
    <w:rsid w:val="00C83A11"/>
    <w:rsid w:val="00C83E51"/>
    <w:rsid w:val="00C84DF7"/>
    <w:rsid w:val="00C84F23"/>
    <w:rsid w:val="00C853E5"/>
    <w:rsid w:val="00C859A7"/>
    <w:rsid w:val="00C8631E"/>
    <w:rsid w:val="00C878B2"/>
    <w:rsid w:val="00C9267F"/>
    <w:rsid w:val="00C947B6"/>
    <w:rsid w:val="00C94B6F"/>
    <w:rsid w:val="00C972B9"/>
    <w:rsid w:val="00CA095B"/>
    <w:rsid w:val="00CA0C80"/>
    <w:rsid w:val="00CA1190"/>
    <w:rsid w:val="00CA37A9"/>
    <w:rsid w:val="00CA57E5"/>
    <w:rsid w:val="00CA7321"/>
    <w:rsid w:val="00CA794D"/>
    <w:rsid w:val="00CB0099"/>
    <w:rsid w:val="00CB060A"/>
    <w:rsid w:val="00CB15D7"/>
    <w:rsid w:val="00CB26F4"/>
    <w:rsid w:val="00CB3312"/>
    <w:rsid w:val="00CB4A0D"/>
    <w:rsid w:val="00CB6654"/>
    <w:rsid w:val="00CC35EE"/>
    <w:rsid w:val="00CC5E65"/>
    <w:rsid w:val="00CC63DF"/>
    <w:rsid w:val="00CC6AB4"/>
    <w:rsid w:val="00CD38B3"/>
    <w:rsid w:val="00CD684A"/>
    <w:rsid w:val="00CD7B4E"/>
    <w:rsid w:val="00CE0BDB"/>
    <w:rsid w:val="00CE1231"/>
    <w:rsid w:val="00CE1336"/>
    <w:rsid w:val="00CE141A"/>
    <w:rsid w:val="00CE25D9"/>
    <w:rsid w:val="00CE2B9D"/>
    <w:rsid w:val="00CE2BA4"/>
    <w:rsid w:val="00CE48A1"/>
    <w:rsid w:val="00CE4D81"/>
    <w:rsid w:val="00CE708D"/>
    <w:rsid w:val="00CE7563"/>
    <w:rsid w:val="00CF0B8A"/>
    <w:rsid w:val="00CF20B6"/>
    <w:rsid w:val="00CF4E16"/>
    <w:rsid w:val="00CF4E1B"/>
    <w:rsid w:val="00D03AB7"/>
    <w:rsid w:val="00D05879"/>
    <w:rsid w:val="00D06828"/>
    <w:rsid w:val="00D06A4A"/>
    <w:rsid w:val="00D07DFD"/>
    <w:rsid w:val="00D10CBA"/>
    <w:rsid w:val="00D10CEE"/>
    <w:rsid w:val="00D10DD0"/>
    <w:rsid w:val="00D115AA"/>
    <w:rsid w:val="00D13529"/>
    <w:rsid w:val="00D13887"/>
    <w:rsid w:val="00D13954"/>
    <w:rsid w:val="00D13E7B"/>
    <w:rsid w:val="00D14118"/>
    <w:rsid w:val="00D15AF5"/>
    <w:rsid w:val="00D16D1A"/>
    <w:rsid w:val="00D1714C"/>
    <w:rsid w:val="00D204B8"/>
    <w:rsid w:val="00D2171E"/>
    <w:rsid w:val="00D2190C"/>
    <w:rsid w:val="00D230E7"/>
    <w:rsid w:val="00D25874"/>
    <w:rsid w:val="00D26576"/>
    <w:rsid w:val="00D31478"/>
    <w:rsid w:val="00D3211E"/>
    <w:rsid w:val="00D325EE"/>
    <w:rsid w:val="00D342C5"/>
    <w:rsid w:val="00D34561"/>
    <w:rsid w:val="00D34F5C"/>
    <w:rsid w:val="00D37DBC"/>
    <w:rsid w:val="00D412AF"/>
    <w:rsid w:val="00D42C1B"/>
    <w:rsid w:val="00D42CE3"/>
    <w:rsid w:val="00D438AE"/>
    <w:rsid w:val="00D440B7"/>
    <w:rsid w:val="00D445A3"/>
    <w:rsid w:val="00D517D8"/>
    <w:rsid w:val="00D5249A"/>
    <w:rsid w:val="00D56A39"/>
    <w:rsid w:val="00D56E23"/>
    <w:rsid w:val="00D576DC"/>
    <w:rsid w:val="00D606F5"/>
    <w:rsid w:val="00D62A1B"/>
    <w:rsid w:val="00D6334A"/>
    <w:rsid w:val="00D64AD1"/>
    <w:rsid w:val="00D6587C"/>
    <w:rsid w:val="00D664BA"/>
    <w:rsid w:val="00D673C6"/>
    <w:rsid w:val="00D7057A"/>
    <w:rsid w:val="00D70781"/>
    <w:rsid w:val="00D70D46"/>
    <w:rsid w:val="00D743E3"/>
    <w:rsid w:val="00D754C5"/>
    <w:rsid w:val="00D766BD"/>
    <w:rsid w:val="00D77E3D"/>
    <w:rsid w:val="00D82BFE"/>
    <w:rsid w:val="00D82EF0"/>
    <w:rsid w:val="00D83DD3"/>
    <w:rsid w:val="00D866A4"/>
    <w:rsid w:val="00D91392"/>
    <w:rsid w:val="00D91BBD"/>
    <w:rsid w:val="00D92BC0"/>
    <w:rsid w:val="00D96381"/>
    <w:rsid w:val="00DA031E"/>
    <w:rsid w:val="00DA1C69"/>
    <w:rsid w:val="00DA4A05"/>
    <w:rsid w:val="00DA7F0E"/>
    <w:rsid w:val="00DB1B19"/>
    <w:rsid w:val="00DB320F"/>
    <w:rsid w:val="00DB4787"/>
    <w:rsid w:val="00DB5048"/>
    <w:rsid w:val="00DB6673"/>
    <w:rsid w:val="00DC1A29"/>
    <w:rsid w:val="00DC280A"/>
    <w:rsid w:val="00DC2E1B"/>
    <w:rsid w:val="00DC4E58"/>
    <w:rsid w:val="00DC4EEA"/>
    <w:rsid w:val="00DC685A"/>
    <w:rsid w:val="00DC6E0E"/>
    <w:rsid w:val="00DC7CB2"/>
    <w:rsid w:val="00DD0A8F"/>
    <w:rsid w:val="00DD302A"/>
    <w:rsid w:val="00DD4EBC"/>
    <w:rsid w:val="00DD50A9"/>
    <w:rsid w:val="00DD518B"/>
    <w:rsid w:val="00DD761D"/>
    <w:rsid w:val="00DE1C69"/>
    <w:rsid w:val="00DE5CB8"/>
    <w:rsid w:val="00DE6EAE"/>
    <w:rsid w:val="00DE707B"/>
    <w:rsid w:val="00DF2067"/>
    <w:rsid w:val="00DF21A4"/>
    <w:rsid w:val="00DF2306"/>
    <w:rsid w:val="00DF2EB2"/>
    <w:rsid w:val="00DF3979"/>
    <w:rsid w:val="00DF3B3A"/>
    <w:rsid w:val="00DF4AB6"/>
    <w:rsid w:val="00DF4BA9"/>
    <w:rsid w:val="00DF4F78"/>
    <w:rsid w:val="00DF7E6E"/>
    <w:rsid w:val="00E000D5"/>
    <w:rsid w:val="00E004F2"/>
    <w:rsid w:val="00E0062A"/>
    <w:rsid w:val="00E03227"/>
    <w:rsid w:val="00E03DFC"/>
    <w:rsid w:val="00E04FF6"/>
    <w:rsid w:val="00E05179"/>
    <w:rsid w:val="00E061F7"/>
    <w:rsid w:val="00E108FE"/>
    <w:rsid w:val="00E10C3A"/>
    <w:rsid w:val="00E11977"/>
    <w:rsid w:val="00E128DC"/>
    <w:rsid w:val="00E12A7C"/>
    <w:rsid w:val="00E13C0E"/>
    <w:rsid w:val="00E14684"/>
    <w:rsid w:val="00E1521E"/>
    <w:rsid w:val="00E15402"/>
    <w:rsid w:val="00E154A7"/>
    <w:rsid w:val="00E15F90"/>
    <w:rsid w:val="00E16BC5"/>
    <w:rsid w:val="00E17537"/>
    <w:rsid w:val="00E200B2"/>
    <w:rsid w:val="00E20ABC"/>
    <w:rsid w:val="00E20B36"/>
    <w:rsid w:val="00E21F77"/>
    <w:rsid w:val="00E2230C"/>
    <w:rsid w:val="00E2277A"/>
    <w:rsid w:val="00E24269"/>
    <w:rsid w:val="00E25A89"/>
    <w:rsid w:val="00E26582"/>
    <w:rsid w:val="00E27C83"/>
    <w:rsid w:val="00E3043B"/>
    <w:rsid w:val="00E3058C"/>
    <w:rsid w:val="00E305C2"/>
    <w:rsid w:val="00E3195D"/>
    <w:rsid w:val="00E32F9E"/>
    <w:rsid w:val="00E32FBF"/>
    <w:rsid w:val="00E34F30"/>
    <w:rsid w:val="00E35BF0"/>
    <w:rsid w:val="00E41A67"/>
    <w:rsid w:val="00E42C37"/>
    <w:rsid w:val="00E45341"/>
    <w:rsid w:val="00E45A4B"/>
    <w:rsid w:val="00E45B6D"/>
    <w:rsid w:val="00E45B73"/>
    <w:rsid w:val="00E464C2"/>
    <w:rsid w:val="00E468A3"/>
    <w:rsid w:val="00E4781D"/>
    <w:rsid w:val="00E50354"/>
    <w:rsid w:val="00E50CF3"/>
    <w:rsid w:val="00E5295D"/>
    <w:rsid w:val="00E53482"/>
    <w:rsid w:val="00E540D4"/>
    <w:rsid w:val="00E542C7"/>
    <w:rsid w:val="00E5568D"/>
    <w:rsid w:val="00E55F8B"/>
    <w:rsid w:val="00E62F4E"/>
    <w:rsid w:val="00E634BD"/>
    <w:rsid w:val="00E63769"/>
    <w:rsid w:val="00E651E3"/>
    <w:rsid w:val="00E66017"/>
    <w:rsid w:val="00E66152"/>
    <w:rsid w:val="00E66FC2"/>
    <w:rsid w:val="00E67872"/>
    <w:rsid w:val="00E7177E"/>
    <w:rsid w:val="00E71A1F"/>
    <w:rsid w:val="00E7211F"/>
    <w:rsid w:val="00E7280D"/>
    <w:rsid w:val="00E731B9"/>
    <w:rsid w:val="00E73276"/>
    <w:rsid w:val="00E745CC"/>
    <w:rsid w:val="00E824CA"/>
    <w:rsid w:val="00E82B5C"/>
    <w:rsid w:val="00E83FAE"/>
    <w:rsid w:val="00E85E27"/>
    <w:rsid w:val="00E863C8"/>
    <w:rsid w:val="00E86447"/>
    <w:rsid w:val="00E9338B"/>
    <w:rsid w:val="00E93925"/>
    <w:rsid w:val="00E974F6"/>
    <w:rsid w:val="00E979B4"/>
    <w:rsid w:val="00EA07C5"/>
    <w:rsid w:val="00EA0B41"/>
    <w:rsid w:val="00EA0EFF"/>
    <w:rsid w:val="00EA1396"/>
    <w:rsid w:val="00EA1BA4"/>
    <w:rsid w:val="00EA3920"/>
    <w:rsid w:val="00EA569E"/>
    <w:rsid w:val="00EA56DF"/>
    <w:rsid w:val="00EA7AE0"/>
    <w:rsid w:val="00EB0901"/>
    <w:rsid w:val="00EB14A7"/>
    <w:rsid w:val="00EB1CE7"/>
    <w:rsid w:val="00EB4788"/>
    <w:rsid w:val="00EB4D4D"/>
    <w:rsid w:val="00EB79A4"/>
    <w:rsid w:val="00EC2131"/>
    <w:rsid w:val="00EC541C"/>
    <w:rsid w:val="00EC5E45"/>
    <w:rsid w:val="00EC7089"/>
    <w:rsid w:val="00EC7A4D"/>
    <w:rsid w:val="00ED13FE"/>
    <w:rsid w:val="00ED17A5"/>
    <w:rsid w:val="00ED1818"/>
    <w:rsid w:val="00ED2093"/>
    <w:rsid w:val="00ED3738"/>
    <w:rsid w:val="00ED37A4"/>
    <w:rsid w:val="00ED42FE"/>
    <w:rsid w:val="00EE0078"/>
    <w:rsid w:val="00EE22D1"/>
    <w:rsid w:val="00EE330F"/>
    <w:rsid w:val="00EE4E2E"/>
    <w:rsid w:val="00EE593D"/>
    <w:rsid w:val="00EE6B50"/>
    <w:rsid w:val="00EE7844"/>
    <w:rsid w:val="00EE7EAB"/>
    <w:rsid w:val="00EF004F"/>
    <w:rsid w:val="00EF0CAE"/>
    <w:rsid w:val="00EF0CD0"/>
    <w:rsid w:val="00EF0DE6"/>
    <w:rsid w:val="00EF0E41"/>
    <w:rsid w:val="00EF118E"/>
    <w:rsid w:val="00EF1CE4"/>
    <w:rsid w:val="00EF1F7A"/>
    <w:rsid w:val="00EF2D44"/>
    <w:rsid w:val="00EF5FD4"/>
    <w:rsid w:val="00EF7976"/>
    <w:rsid w:val="00F04A1B"/>
    <w:rsid w:val="00F05E18"/>
    <w:rsid w:val="00F0619E"/>
    <w:rsid w:val="00F07AC5"/>
    <w:rsid w:val="00F07FE1"/>
    <w:rsid w:val="00F10E18"/>
    <w:rsid w:val="00F111AA"/>
    <w:rsid w:val="00F1160E"/>
    <w:rsid w:val="00F13E59"/>
    <w:rsid w:val="00F14A51"/>
    <w:rsid w:val="00F175D8"/>
    <w:rsid w:val="00F20F0A"/>
    <w:rsid w:val="00F23242"/>
    <w:rsid w:val="00F26D56"/>
    <w:rsid w:val="00F33CD0"/>
    <w:rsid w:val="00F3718F"/>
    <w:rsid w:val="00F416C6"/>
    <w:rsid w:val="00F41AD2"/>
    <w:rsid w:val="00F42A04"/>
    <w:rsid w:val="00F4385E"/>
    <w:rsid w:val="00F43CBA"/>
    <w:rsid w:val="00F43CE3"/>
    <w:rsid w:val="00F44F8B"/>
    <w:rsid w:val="00F50334"/>
    <w:rsid w:val="00F529B0"/>
    <w:rsid w:val="00F534A4"/>
    <w:rsid w:val="00F54534"/>
    <w:rsid w:val="00F562D0"/>
    <w:rsid w:val="00F57B81"/>
    <w:rsid w:val="00F57EF9"/>
    <w:rsid w:val="00F6255A"/>
    <w:rsid w:val="00F62798"/>
    <w:rsid w:val="00F646B0"/>
    <w:rsid w:val="00F6617E"/>
    <w:rsid w:val="00F665CC"/>
    <w:rsid w:val="00F711F0"/>
    <w:rsid w:val="00F72344"/>
    <w:rsid w:val="00F723CD"/>
    <w:rsid w:val="00F72B89"/>
    <w:rsid w:val="00F7471E"/>
    <w:rsid w:val="00F77A04"/>
    <w:rsid w:val="00F77AAD"/>
    <w:rsid w:val="00F809D5"/>
    <w:rsid w:val="00F8528F"/>
    <w:rsid w:val="00F86061"/>
    <w:rsid w:val="00F86510"/>
    <w:rsid w:val="00F87B19"/>
    <w:rsid w:val="00F90A7B"/>
    <w:rsid w:val="00F910BB"/>
    <w:rsid w:val="00F9182F"/>
    <w:rsid w:val="00F92D70"/>
    <w:rsid w:val="00F93353"/>
    <w:rsid w:val="00F94065"/>
    <w:rsid w:val="00F955B1"/>
    <w:rsid w:val="00F95FB0"/>
    <w:rsid w:val="00F97E2D"/>
    <w:rsid w:val="00FA04DB"/>
    <w:rsid w:val="00FA1178"/>
    <w:rsid w:val="00FA4098"/>
    <w:rsid w:val="00FB261F"/>
    <w:rsid w:val="00FB4889"/>
    <w:rsid w:val="00FB5FA1"/>
    <w:rsid w:val="00FB72E7"/>
    <w:rsid w:val="00FB7DB7"/>
    <w:rsid w:val="00FC099B"/>
    <w:rsid w:val="00FC18A4"/>
    <w:rsid w:val="00FC20B6"/>
    <w:rsid w:val="00FC2186"/>
    <w:rsid w:val="00FC2437"/>
    <w:rsid w:val="00FC7C37"/>
    <w:rsid w:val="00FD19A4"/>
    <w:rsid w:val="00FD3991"/>
    <w:rsid w:val="00FD43CA"/>
    <w:rsid w:val="00FD4CA1"/>
    <w:rsid w:val="00FD4DE0"/>
    <w:rsid w:val="00FD5888"/>
    <w:rsid w:val="00FD5AF1"/>
    <w:rsid w:val="00FD77E0"/>
    <w:rsid w:val="00FE0345"/>
    <w:rsid w:val="00FE0AF1"/>
    <w:rsid w:val="00FE0F27"/>
    <w:rsid w:val="00FE13C8"/>
    <w:rsid w:val="00FE1959"/>
    <w:rsid w:val="00FE52C9"/>
    <w:rsid w:val="00FE78D7"/>
    <w:rsid w:val="00FE7A08"/>
    <w:rsid w:val="00FF01EC"/>
    <w:rsid w:val="00FF0500"/>
    <w:rsid w:val="00FF16A9"/>
    <w:rsid w:val="00FF1F0A"/>
    <w:rsid w:val="00FF2298"/>
    <w:rsid w:val="00FF5C1F"/>
    <w:rsid w:val="00FF637F"/>
    <w:rsid w:val="00FF6A65"/>
    <w:rsid w:val="00FF6FB4"/>
    <w:rsid w:val="00FF703F"/>
    <w:rsid w:val="00FF7552"/>
    <w:rsid w:val="00FF78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5AAE32E"/>
  <w15:docId w15:val="{AA9C2D7D-3510-4EE2-A99C-9EDCD5DE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2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F58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74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374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D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E3E8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7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3741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33741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D07DFD"/>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3E3E8E"/>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751133"/>
    <w:pPr>
      <w:ind w:left="720"/>
      <w:contextualSpacing/>
    </w:pPr>
  </w:style>
  <w:style w:type="paragraph" w:styleId="BalloonText">
    <w:name w:val="Balloon Text"/>
    <w:basedOn w:val="Normal"/>
    <w:link w:val="BalloonTextChar"/>
    <w:uiPriority w:val="99"/>
    <w:semiHidden/>
    <w:unhideWhenUsed/>
    <w:rsid w:val="004D3C20"/>
    <w:rPr>
      <w:rFonts w:ascii="Tahoma" w:hAnsi="Tahoma" w:cs="Tahoma"/>
      <w:sz w:val="16"/>
      <w:szCs w:val="16"/>
    </w:rPr>
  </w:style>
  <w:style w:type="character" w:customStyle="1" w:styleId="BalloonTextChar">
    <w:name w:val="Balloon Text Char"/>
    <w:basedOn w:val="DefaultParagraphFont"/>
    <w:link w:val="BalloonText"/>
    <w:uiPriority w:val="99"/>
    <w:semiHidden/>
    <w:rsid w:val="004D3C20"/>
    <w:rPr>
      <w:rFonts w:ascii="Tahoma" w:eastAsia="Times New Roman" w:hAnsi="Tahoma" w:cs="Tahoma"/>
      <w:sz w:val="16"/>
      <w:szCs w:val="16"/>
      <w:lang w:val="en-US"/>
    </w:rPr>
  </w:style>
  <w:style w:type="paragraph" w:styleId="Header">
    <w:name w:val="header"/>
    <w:basedOn w:val="Normal"/>
    <w:link w:val="HeaderChar"/>
    <w:uiPriority w:val="99"/>
    <w:unhideWhenUsed/>
    <w:rsid w:val="0012484F"/>
    <w:pPr>
      <w:tabs>
        <w:tab w:val="center" w:pos="4680"/>
        <w:tab w:val="right" w:pos="9360"/>
      </w:tabs>
    </w:pPr>
  </w:style>
  <w:style w:type="character" w:customStyle="1" w:styleId="HeaderChar">
    <w:name w:val="Header Char"/>
    <w:basedOn w:val="DefaultParagraphFont"/>
    <w:link w:val="Header"/>
    <w:uiPriority w:val="99"/>
    <w:rsid w:val="001248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484F"/>
    <w:pPr>
      <w:tabs>
        <w:tab w:val="center" w:pos="4680"/>
        <w:tab w:val="right" w:pos="9360"/>
      </w:tabs>
    </w:pPr>
  </w:style>
  <w:style w:type="character" w:customStyle="1" w:styleId="FooterChar">
    <w:name w:val="Footer Char"/>
    <w:basedOn w:val="DefaultParagraphFont"/>
    <w:link w:val="Footer"/>
    <w:uiPriority w:val="99"/>
    <w:rsid w:val="0012484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87511"/>
    <w:rPr>
      <w:color w:val="0000FF" w:themeColor="hyperlink"/>
      <w:u w:val="single"/>
    </w:rPr>
  </w:style>
  <w:style w:type="character" w:styleId="PageNumber">
    <w:name w:val="page number"/>
    <w:basedOn w:val="DefaultParagraphFont"/>
    <w:rsid w:val="001F5873"/>
  </w:style>
  <w:style w:type="paragraph" w:styleId="TOCHeading">
    <w:name w:val="TOC Heading"/>
    <w:basedOn w:val="Heading1"/>
    <w:next w:val="Normal"/>
    <w:uiPriority w:val="39"/>
    <w:unhideWhenUsed/>
    <w:qFormat/>
    <w:rsid w:val="007B4148"/>
    <w:pPr>
      <w:spacing w:line="276" w:lineRule="auto"/>
      <w:outlineLvl w:val="9"/>
    </w:pPr>
    <w:rPr>
      <w:lang w:eastAsia="ja-JP"/>
    </w:rPr>
  </w:style>
  <w:style w:type="paragraph" w:styleId="TOC1">
    <w:name w:val="toc 1"/>
    <w:basedOn w:val="Normal"/>
    <w:next w:val="Normal"/>
    <w:autoRedefine/>
    <w:uiPriority w:val="39"/>
    <w:unhideWhenUsed/>
    <w:qFormat/>
    <w:rsid w:val="00562A5B"/>
    <w:pPr>
      <w:tabs>
        <w:tab w:val="right" w:leader="dot" w:pos="8636"/>
      </w:tabs>
      <w:spacing w:after="100"/>
    </w:pPr>
    <w:rPr>
      <w:rFonts w:ascii="Arial" w:hAnsi="Arial" w:cs="Arial"/>
      <w:smallCaps/>
      <w:noProof/>
      <w:sz w:val="28"/>
      <w:szCs w:val="28"/>
    </w:rPr>
  </w:style>
  <w:style w:type="paragraph" w:styleId="TOC2">
    <w:name w:val="toc 2"/>
    <w:basedOn w:val="Normal"/>
    <w:next w:val="Normal"/>
    <w:autoRedefine/>
    <w:uiPriority w:val="39"/>
    <w:unhideWhenUsed/>
    <w:qFormat/>
    <w:rsid w:val="00562A5B"/>
    <w:pPr>
      <w:tabs>
        <w:tab w:val="right" w:leader="dot" w:pos="8636"/>
      </w:tabs>
      <w:spacing w:after="100"/>
      <w:ind w:left="240"/>
    </w:pPr>
    <w:rPr>
      <w:rFonts w:ascii="Arial" w:hAnsi="Arial" w:cs="Arial"/>
      <w:noProof/>
      <w:sz w:val="18"/>
      <w:szCs w:val="18"/>
    </w:rPr>
  </w:style>
  <w:style w:type="paragraph" w:styleId="TOC3">
    <w:name w:val="toc 3"/>
    <w:basedOn w:val="Normal"/>
    <w:next w:val="Normal"/>
    <w:autoRedefine/>
    <w:uiPriority w:val="39"/>
    <w:unhideWhenUsed/>
    <w:qFormat/>
    <w:rsid w:val="00AB52C8"/>
    <w:pPr>
      <w:tabs>
        <w:tab w:val="right" w:leader="dot" w:pos="9350"/>
      </w:tabs>
      <w:spacing w:after="100"/>
      <w:ind w:left="240"/>
    </w:pPr>
    <w:rPr>
      <w:rFonts w:ascii="Arial" w:hAnsi="Arial" w:cs="Arial"/>
      <w:noProof/>
      <w:sz w:val="20"/>
      <w:szCs w:val="20"/>
    </w:rPr>
  </w:style>
  <w:style w:type="character" w:styleId="IntenseReference">
    <w:name w:val="Intense Reference"/>
    <w:basedOn w:val="DefaultParagraphFont"/>
    <w:uiPriority w:val="32"/>
    <w:qFormat/>
    <w:rsid w:val="00E25A89"/>
    <w:rPr>
      <w:b/>
      <w:bCs/>
      <w:smallCaps/>
      <w:color w:val="C0504D" w:themeColor="accent2"/>
      <w:spacing w:val="5"/>
      <w:u w:val="single"/>
    </w:rPr>
  </w:style>
  <w:style w:type="character" w:styleId="Strong">
    <w:name w:val="Strong"/>
    <w:basedOn w:val="DefaultParagraphFont"/>
    <w:uiPriority w:val="22"/>
    <w:qFormat/>
    <w:rsid w:val="00E25A89"/>
    <w:rPr>
      <w:b/>
      <w:bCs/>
    </w:rPr>
  </w:style>
  <w:style w:type="character" w:styleId="BookTitle">
    <w:name w:val="Book Title"/>
    <w:basedOn w:val="DefaultParagraphFont"/>
    <w:uiPriority w:val="33"/>
    <w:qFormat/>
    <w:rsid w:val="00E25A89"/>
    <w:rPr>
      <w:b/>
      <w:bCs/>
      <w:smallCaps/>
      <w:spacing w:val="5"/>
    </w:rPr>
  </w:style>
  <w:style w:type="character" w:styleId="Emphasis">
    <w:name w:val="Emphasis"/>
    <w:basedOn w:val="DefaultParagraphFont"/>
    <w:uiPriority w:val="20"/>
    <w:qFormat/>
    <w:rsid w:val="00E25A89"/>
    <w:rPr>
      <w:i/>
      <w:iCs/>
    </w:rPr>
  </w:style>
  <w:style w:type="paragraph" w:customStyle="1" w:styleId="Default">
    <w:name w:val="Default"/>
    <w:rsid w:val="00C25D38"/>
    <w:pPr>
      <w:autoSpaceDE w:val="0"/>
      <w:autoSpaceDN w:val="0"/>
      <w:adjustRightInd w:val="0"/>
      <w:spacing w:after="0" w:line="240" w:lineRule="auto"/>
    </w:pPr>
    <w:rPr>
      <w:rFonts w:ascii="Calibri" w:hAnsi="Calibri" w:cs="Calibri"/>
      <w:color w:val="000000"/>
      <w:sz w:val="24"/>
      <w:szCs w:val="24"/>
      <w:lang w:val="en-US"/>
    </w:rPr>
  </w:style>
  <w:style w:type="character" w:styleId="LineNumber">
    <w:name w:val="line number"/>
    <w:basedOn w:val="DefaultParagraphFont"/>
    <w:uiPriority w:val="99"/>
    <w:semiHidden/>
    <w:unhideWhenUsed/>
    <w:rsid w:val="004442FB"/>
  </w:style>
  <w:style w:type="paragraph" w:styleId="NormalWeb">
    <w:name w:val="Normal (Web)"/>
    <w:basedOn w:val="Normal"/>
    <w:uiPriority w:val="99"/>
    <w:semiHidden/>
    <w:unhideWhenUsed/>
    <w:rsid w:val="00E7211F"/>
    <w:pPr>
      <w:spacing w:before="100" w:beforeAutospacing="1" w:after="100" w:afterAutospacing="1"/>
    </w:pPr>
    <w:rPr>
      <w:rFonts w:eastAsiaTheme="minorEastAsia"/>
    </w:rPr>
  </w:style>
  <w:style w:type="table" w:styleId="TableGrid">
    <w:name w:val="Table Grid"/>
    <w:basedOn w:val="TableNormal"/>
    <w:uiPriority w:val="59"/>
    <w:rsid w:val="00BE3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FC9"/>
    <w:rPr>
      <w:sz w:val="16"/>
      <w:szCs w:val="16"/>
    </w:rPr>
  </w:style>
  <w:style w:type="paragraph" w:styleId="CommentText">
    <w:name w:val="annotation text"/>
    <w:basedOn w:val="Normal"/>
    <w:link w:val="CommentTextChar"/>
    <w:uiPriority w:val="99"/>
    <w:semiHidden/>
    <w:unhideWhenUsed/>
    <w:rsid w:val="009C2FC9"/>
    <w:rPr>
      <w:sz w:val="20"/>
      <w:szCs w:val="20"/>
    </w:rPr>
  </w:style>
  <w:style w:type="character" w:customStyle="1" w:styleId="CommentTextChar">
    <w:name w:val="Comment Text Char"/>
    <w:basedOn w:val="DefaultParagraphFont"/>
    <w:link w:val="CommentText"/>
    <w:uiPriority w:val="99"/>
    <w:semiHidden/>
    <w:rsid w:val="009C2FC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C2FC9"/>
    <w:rPr>
      <w:b/>
      <w:bCs/>
    </w:rPr>
  </w:style>
  <w:style w:type="character" w:customStyle="1" w:styleId="CommentSubjectChar">
    <w:name w:val="Comment Subject Char"/>
    <w:basedOn w:val="CommentTextChar"/>
    <w:link w:val="CommentSubject"/>
    <w:uiPriority w:val="99"/>
    <w:semiHidden/>
    <w:rsid w:val="009C2FC9"/>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275590"/>
    <w:rPr>
      <w:color w:val="800080" w:themeColor="followedHyperlink"/>
      <w:u w:val="single"/>
    </w:rPr>
  </w:style>
  <w:style w:type="paragraph" w:styleId="Revision">
    <w:name w:val="Revision"/>
    <w:hidden/>
    <w:uiPriority w:val="99"/>
    <w:semiHidden/>
    <w:rsid w:val="00FD77E0"/>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75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661">
      <w:bodyDiv w:val="1"/>
      <w:marLeft w:val="0"/>
      <w:marRight w:val="0"/>
      <w:marTop w:val="0"/>
      <w:marBottom w:val="0"/>
      <w:divBdr>
        <w:top w:val="none" w:sz="0" w:space="0" w:color="auto"/>
        <w:left w:val="none" w:sz="0" w:space="0" w:color="auto"/>
        <w:bottom w:val="none" w:sz="0" w:space="0" w:color="auto"/>
        <w:right w:val="none" w:sz="0" w:space="0" w:color="auto"/>
      </w:divBdr>
    </w:div>
    <w:div w:id="59519906">
      <w:bodyDiv w:val="1"/>
      <w:marLeft w:val="0"/>
      <w:marRight w:val="0"/>
      <w:marTop w:val="0"/>
      <w:marBottom w:val="0"/>
      <w:divBdr>
        <w:top w:val="none" w:sz="0" w:space="0" w:color="auto"/>
        <w:left w:val="none" w:sz="0" w:space="0" w:color="auto"/>
        <w:bottom w:val="none" w:sz="0" w:space="0" w:color="auto"/>
        <w:right w:val="none" w:sz="0" w:space="0" w:color="auto"/>
      </w:divBdr>
    </w:div>
    <w:div w:id="128011114">
      <w:bodyDiv w:val="1"/>
      <w:marLeft w:val="0"/>
      <w:marRight w:val="0"/>
      <w:marTop w:val="0"/>
      <w:marBottom w:val="0"/>
      <w:divBdr>
        <w:top w:val="none" w:sz="0" w:space="0" w:color="auto"/>
        <w:left w:val="none" w:sz="0" w:space="0" w:color="auto"/>
        <w:bottom w:val="none" w:sz="0" w:space="0" w:color="auto"/>
        <w:right w:val="none" w:sz="0" w:space="0" w:color="auto"/>
      </w:divBdr>
    </w:div>
    <w:div w:id="195317957">
      <w:bodyDiv w:val="1"/>
      <w:marLeft w:val="0"/>
      <w:marRight w:val="0"/>
      <w:marTop w:val="0"/>
      <w:marBottom w:val="0"/>
      <w:divBdr>
        <w:top w:val="none" w:sz="0" w:space="0" w:color="auto"/>
        <w:left w:val="none" w:sz="0" w:space="0" w:color="auto"/>
        <w:bottom w:val="none" w:sz="0" w:space="0" w:color="auto"/>
        <w:right w:val="none" w:sz="0" w:space="0" w:color="auto"/>
      </w:divBdr>
    </w:div>
    <w:div w:id="279531570">
      <w:bodyDiv w:val="1"/>
      <w:marLeft w:val="0"/>
      <w:marRight w:val="0"/>
      <w:marTop w:val="0"/>
      <w:marBottom w:val="0"/>
      <w:divBdr>
        <w:top w:val="none" w:sz="0" w:space="0" w:color="auto"/>
        <w:left w:val="none" w:sz="0" w:space="0" w:color="auto"/>
        <w:bottom w:val="none" w:sz="0" w:space="0" w:color="auto"/>
        <w:right w:val="none" w:sz="0" w:space="0" w:color="auto"/>
      </w:divBdr>
    </w:div>
    <w:div w:id="294682179">
      <w:bodyDiv w:val="1"/>
      <w:marLeft w:val="0"/>
      <w:marRight w:val="0"/>
      <w:marTop w:val="0"/>
      <w:marBottom w:val="0"/>
      <w:divBdr>
        <w:top w:val="none" w:sz="0" w:space="0" w:color="auto"/>
        <w:left w:val="none" w:sz="0" w:space="0" w:color="auto"/>
        <w:bottom w:val="none" w:sz="0" w:space="0" w:color="auto"/>
        <w:right w:val="none" w:sz="0" w:space="0" w:color="auto"/>
      </w:divBdr>
    </w:div>
    <w:div w:id="309677033">
      <w:bodyDiv w:val="1"/>
      <w:marLeft w:val="0"/>
      <w:marRight w:val="0"/>
      <w:marTop w:val="0"/>
      <w:marBottom w:val="0"/>
      <w:divBdr>
        <w:top w:val="none" w:sz="0" w:space="0" w:color="auto"/>
        <w:left w:val="none" w:sz="0" w:space="0" w:color="auto"/>
        <w:bottom w:val="none" w:sz="0" w:space="0" w:color="auto"/>
        <w:right w:val="none" w:sz="0" w:space="0" w:color="auto"/>
      </w:divBdr>
    </w:div>
    <w:div w:id="315646815">
      <w:bodyDiv w:val="1"/>
      <w:marLeft w:val="0"/>
      <w:marRight w:val="0"/>
      <w:marTop w:val="0"/>
      <w:marBottom w:val="0"/>
      <w:divBdr>
        <w:top w:val="none" w:sz="0" w:space="0" w:color="auto"/>
        <w:left w:val="none" w:sz="0" w:space="0" w:color="auto"/>
        <w:bottom w:val="none" w:sz="0" w:space="0" w:color="auto"/>
        <w:right w:val="none" w:sz="0" w:space="0" w:color="auto"/>
      </w:divBdr>
    </w:div>
    <w:div w:id="381054333">
      <w:bodyDiv w:val="1"/>
      <w:marLeft w:val="0"/>
      <w:marRight w:val="0"/>
      <w:marTop w:val="0"/>
      <w:marBottom w:val="0"/>
      <w:divBdr>
        <w:top w:val="none" w:sz="0" w:space="0" w:color="auto"/>
        <w:left w:val="none" w:sz="0" w:space="0" w:color="auto"/>
        <w:bottom w:val="none" w:sz="0" w:space="0" w:color="auto"/>
        <w:right w:val="none" w:sz="0" w:space="0" w:color="auto"/>
      </w:divBdr>
    </w:div>
    <w:div w:id="411050969">
      <w:bodyDiv w:val="1"/>
      <w:marLeft w:val="0"/>
      <w:marRight w:val="0"/>
      <w:marTop w:val="0"/>
      <w:marBottom w:val="0"/>
      <w:divBdr>
        <w:top w:val="none" w:sz="0" w:space="0" w:color="auto"/>
        <w:left w:val="none" w:sz="0" w:space="0" w:color="auto"/>
        <w:bottom w:val="none" w:sz="0" w:space="0" w:color="auto"/>
        <w:right w:val="none" w:sz="0" w:space="0" w:color="auto"/>
      </w:divBdr>
    </w:div>
    <w:div w:id="466897553">
      <w:bodyDiv w:val="1"/>
      <w:marLeft w:val="0"/>
      <w:marRight w:val="0"/>
      <w:marTop w:val="0"/>
      <w:marBottom w:val="0"/>
      <w:divBdr>
        <w:top w:val="none" w:sz="0" w:space="0" w:color="auto"/>
        <w:left w:val="none" w:sz="0" w:space="0" w:color="auto"/>
        <w:bottom w:val="none" w:sz="0" w:space="0" w:color="auto"/>
        <w:right w:val="none" w:sz="0" w:space="0" w:color="auto"/>
      </w:divBdr>
    </w:div>
    <w:div w:id="507251000">
      <w:bodyDiv w:val="1"/>
      <w:marLeft w:val="0"/>
      <w:marRight w:val="0"/>
      <w:marTop w:val="0"/>
      <w:marBottom w:val="0"/>
      <w:divBdr>
        <w:top w:val="none" w:sz="0" w:space="0" w:color="auto"/>
        <w:left w:val="none" w:sz="0" w:space="0" w:color="auto"/>
        <w:bottom w:val="none" w:sz="0" w:space="0" w:color="auto"/>
        <w:right w:val="none" w:sz="0" w:space="0" w:color="auto"/>
      </w:divBdr>
    </w:div>
    <w:div w:id="536478501">
      <w:bodyDiv w:val="1"/>
      <w:marLeft w:val="0"/>
      <w:marRight w:val="0"/>
      <w:marTop w:val="0"/>
      <w:marBottom w:val="0"/>
      <w:divBdr>
        <w:top w:val="none" w:sz="0" w:space="0" w:color="auto"/>
        <w:left w:val="none" w:sz="0" w:space="0" w:color="auto"/>
        <w:bottom w:val="none" w:sz="0" w:space="0" w:color="auto"/>
        <w:right w:val="none" w:sz="0" w:space="0" w:color="auto"/>
      </w:divBdr>
    </w:div>
    <w:div w:id="560139986">
      <w:bodyDiv w:val="1"/>
      <w:marLeft w:val="0"/>
      <w:marRight w:val="0"/>
      <w:marTop w:val="0"/>
      <w:marBottom w:val="0"/>
      <w:divBdr>
        <w:top w:val="none" w:sz="0" w:space="0" w:color="auto"/>
        <w:left w:val="none" w:sz="0" w:space="0" w:color="auto"/>
        <w:bottom w:val="none" w:sz="0" w:space="0" w:color="auto"/>
        <w:right w:val="none" w:sz="0" w:space="0" w:color="auto"/>
      </w:divBdr>
    </w:div>
    <w:div w:id="561794070">
      <w:bodyDiv w:val="1"/>
      <w:marLeft w:val="0"/>
      <w:marRight w:val="0"/>
      <w:marTop w:val="0"/>
      <w:marBottom w:val="0"/>
      <w:divBdr>
        <w:top w:val="none" w:sz="0" w:space="0" w:color="auto"/>
        <w:left w:val="none" w:sz="0" w:space="0" w:color="auto"/>
        <w:bottom w:val="none" w:sz="0" w:space="0" w:color="auto"/>
        <w:right w:val="none" w:sz="0" w:space="0" w:color="auto"/>
      </w:divBdr>
    </w:div>
    <w:div w:id="568884465">
      <w:bodyDiv w:val="1"/>
      <w:marLeft w:val="0"/>
      <w:marRight w:val="0"/>
      <w:marTop w:val="0"/>
      <w:marBottom w:val="0"/>
      <w:divBdr>
        <w:top w:val="none" w:sz="0" w:space="0" w:color="auto"/>
        <w:left w:val="none" w:sz="0" w:space="0" w:color="auto"/>
        <w:bottom w:val="none" w:sz="0" w:space="0" w:color="auto"/>
        <w:right w:val="none" w:sz="0" w:space="0" w:color="auto"/>
      </w:divBdr>
    </w:div>
    <w:div w:id="569653677">
      <w:bodyDiv w:val="1"/>
      <w:marLeft w:val="0"/>
      <w:marRight w:val="0"/>
      <w:marTop w:val="0"/>
      <w:marBottom w:val="0"/>
      <w:divBdr>
        <w:top w:val="none" w:sz="0" w:space="0" w:color="auto"/>
        <w:left w:val="none" w:sz="0" w:space="0" w:color="auto"/>
        <w:bottom w:val="none" w:sz="0" w:space="0" w:color="auto"/>
        <w:right w:val="none" w:sz="0" w:space="0" w:color="auto"/>
      </w:divBdr>
    </w:div>
    <w:div w:id="649331556">
      <w:bodyDiv w:val="1"/>
      <w:marLeft w:val="0"/>
      <w:marRight w:val="0"/>
      <w:marTop w:val="0"/>
      <w:marBottom w:val="0"/>
      <w:divBdr>
        <w:top w:val="none" w:sz="0" w:space="0" w:color="auto"/>
        <w:left w:val="none" w:sz="0" w:space="0" w:color="auto"/>
        <w:bottom w:val="none" w:sz="0" w:space="0" w:color="auto"/>
        <w:right w:val="none" w:sz="0" w:space="0" w:color="auto"/>
      </w:divBdr>
    </w:div>
    <w:div w:id="865679933">
      <w:bodyDiv w:val="1"/>
      <w:marLeft w:val="0"/>
      <w:marRight w:val="0"/>
      <w:marTop w:val="0"/>
      <w:marBottom w:val="0"/>
      <w:divBdr>
        <w:top w:val="none" w:sz="0" w:space="0" w:color="auto"/>
        <w:left w:val="none" w:sz="0" w:space="0" w:color="auto"/>
        <w:bottom w:val="none" w:sz="0" w:space="0" w:color="auto"/>
        <w:right w:val="none" w:sz="0" w:space="0" w:color="auto"/>
      </w:divBdr>
    </w:div>
    <w:div w:id="907113054">
      <w:bodyDiv w:val="1"/>
      <w:marLeft w:val="0"/>
      <w:marRight w:val="0"/>
      <w:marTop w:val="0"/>
      <w:marBottom w:val="0"/>
      <w:divBdr>
        <w:top w:val="none" w:sz="0" w:space="0" w:color="auto"/>
        <w:left w:val="none" w:sz="0" w:space="0" w:color="auto"/>
        <w:bottom w:val="none" w:sz="0" w:space="0" w:color="auto"/>
        <w:right w:val="none" w:sz="0" w:space="0" w:color="auto"/>
      </w:divBdr>
    </w:div>
    <w:div w:id="931739007">
      <w:bodyDiv w:val="1"/>
      <w:marLeft w:val="0"/>
      <w:marRight w:val="0"/>
      <w:marTop w:val="0"/>
      <w:marBottom w:val="0"/>
      <w:divBdr>
        <w:top w:val="none" w:sz="0" w:space="0" w:color="auto"/>
        <w:left w:val="none" w:sz="0" w:space="0" w:color="auto"/>
        <w:bottom w:val="none" w:sz="0" w:space="0" w:color="auto"/>
        <w:right w:val="none" w:sz="0" w:space="0" w:color="auto"/>
      </w:divBdr>
    </w:div>
    <w:div w:id="974137485">
      <w:bodyDiv w:val="1"/>
      <w:marLeft w:val="0"/>
      <w:marRight w:val="0"/>
      <w:marTop w:val="0"/>
      <w:marBottom w:val="0"/>
      <w:divBdr>
        <w:top w:val="none" w:sz="0" w:space="0" w:color="auto"/>
        <w:left w:val="none" w:sz="0" w:space="0" w:color="auto"/>
        <w:bottom w:val="none" w:sz="0" w:space="0" w:color="auto"/>
        <w:right w:val="none" w:sz="0" w:space="0" w:color="auto"/>
      </w:divBdr>
    </w:div>
    <w:div w:id="980109917">
      <w:bodyDiv w:val="1"/>
      <w:marLeft w:val="0"/>
      <w:marRight w:val="0"/>
      <w:marTop w:val="0"/>
      <w:marBottom w:val="0"/>
      <w:divBdr>
        <w:top w:val="none" w:sz="0" w:space="0" w:color="auto"/>
        <w:left w:val="none" w:sz="0" w:space="0" w:color="auto"/>
        <w:bottom w:val="none" w:sz="0" w:space="0" w:color="auto"/>
        <w:right w:val="none" w:sz="0" w:space="0" w:color="auto"/>
      </w:divBdr>
    </w:div>
    <w:div w:id="1024601251">
      <w:bodyDiv w:val="1"/>
      <w:marLeft w:val="0"/>
      <w:marRight w:val="0"/>
      <w:marTop w:val="0"/>
      <w:marBottom w:val="0"/>
      <w:divBdr>
        <w:top w:val="none" w:sz="0" w:space="0" w:color="auto"/>
        <w:left w:val="none" w:sz="0" w:space="0" w:color="auto"/>
        <w:bottom w:val="none" w:sz="0" w:space="0" w:color="auto"/>
        <w:right w:val="none" w:sz="0" w:space="0" w:color="auto"/>
      </w:divBdr>
    </w:div>
    <w:div w:id="1096365657">
      <w:bodyDiv w:val="1"/>
      <w:marLeft w:val="0"/>
      <w:marRight w:val="0"/>
      <w:marTop w:val="0"/>
      <w:marBottom w:val="0"/>
      <w:divBdr>
        <w:top w:val="none" w:sz="0" w:space="0" w:color="auto"/>
        <w:left w:val="none" w:sz="0" w:space="0" w:color="auto"/>
        <w:bottom w:val="none" w:sz="0" w:space="0" w:color="auto"/>
        <w:right w:val="none" w:sz="0" w:space="0" w:color="auto"/>
      </w:divBdr>
    </w:div>
    <w:div w:id="1143230996">
      <w:bodyDiv w:val="1"/>
      <w:marLeft w:val="0"/>
      <w:marRight w:val="0"/>
      <w:marTop w:val="0"/>
      <w:marBottom w:val="0"/>
      <w:divBdr>
        <w:top w:val="none" w:sz="0" w:space="0" w:color="auto"/>
        <w:left w:val="none" w:sz="0" w:space="0" w:color="auto"/>
        <w:bottom w:val="none" w:sz="0" w:space="0" w:color="auto"/>
        <w:right w:val="none" w:sz="0" w:space="0" w:color="auto"/>
      </w:divBdr>
    </w:div>
    <w:div w:id="1161505235">
      <w:bodyDiv w:val="1"/>
      <w:marLeft w:val="0"/>
      <w:marRight w:val="0"/>
      <w:marTop w:val="0"/>
      <w:marBottom w:val="0"/>
      <w:divBdr>
        <w:top w:val="none" w:sz="0" w:space="0" w:color="auto"/>
        <w:left w:val="none" w:sz="0" w:space="0" w:color="auto"/>
        <w:bottom w:val="none" w:sz="0" w:space="0" w:color="auto"/>
        <w:right w:val="none" w:sz="0" w:space="0" w:color="auto"/>
      </w:divBdr>
    </w:div>
    <w:div w:id="1199583718">
      <w:bodyDiv w:val="1"/>
      <w:marLeft w:val="0"/>
      <w:marRight w:val="0"/>
      <w:marTop w:val="0"/>
      <w:marBottom w:val="0"/>
      <w:divBdr>
        <w:top w:val="none" w:sz="0" w:space="0" w:color="auto"/>
        <w:left w:val="none" w:sz="0" w:space="0" w:color="auto"/>
        <w:bottom w:val="none" w:sz="0" w:space="0" w:color="auto"/>
        <w:right w:val="none" w:sz="0" w:space="0" w:color="auto"/>
      </w:divBdr>
    </w:div>
    <w:div w:id="1205368406">
      <w:bodyDiv w:val="1"/>
      <w:marLeft w:val="0"/>
      <w:marRight w:val="0"/>
      <w:marTop w:val="0"/>
      <w:marBottom w:val="0"/>
      <w:divBdr>
        <w:top w:val="none" w:sz="0" w:space="0" w:color="auto"/>
        <w:left w:val="none" w:sz="0" w:space="0" w:color="auto"/>
        <w:bottom w:val="none" w:sz="0" w:space="0" w:color="auto"/>
        <w:right w:val="none" w:sz="0" w:space="0" w:color="auto"/>
      </w:divBdr>
    </w:div>
    <w:div w:id="1218543569">
      <w:bodyDiv w:val="1"/>
      <w:marLeft w:val="0"/>
      <w:marRight w:val="0"/>
      <w:marTop w:val="0"/>
      <w:marBottom w:val="0"/>
      <w:divBdr>
        <w:top w:val="none" w:sz="0" w:space="0" w:color="auto"/>
        <w:left w:val="none" w:sz="0" w:space="0" w:color="auto"/>
        <w:bottom w:val="none" w:sz="0" w:space="0" w:color="auto"/>
        <w:right w:val="none" w:sz="0" w:space="0" w:color="auto"/>
      </w:divBdr>
    </w:div>
    <w:div w:id="1241939029">
      <w:bodyDiv w:val="1"/>
      <w:marLeft w:val="0"/>
      <w:marRight w:val="0"/>
      <w:marTop w:val="0"/>
      <w:marBottom w:val="0"/>
      <w:divBdr>
        <w:top w:val="none" w:sz="0" w:space="0" w:color="auto"/>
        <w:left w:val="none" w:sz="0" w:space="0" w:color="auto"/>
        <w:bottom w:val="none" w:sz="0" w:space="0" w:color="auto"/>
        <w:right w:val="none" w:sz="0" w:space="0" w:color="auto"/>
      </w:divBdr>
    </w:div>
    <w:div w:id="1265460195">
      <w:bodyDiv w:val="1"/>
      <w:marLeft w:val="0"/>
      <w:marRight w:val="0"/>
      <w:marTop w:val="0"/>
      <w:marBottom w:val="0"/>
      <w:divBdr>
        <w:top w:val="none" w:sz="0" w:space="0" w:color="auto"/>
        <w:left w:val="none" w:sz="0" w:space="0" w:color="auto"/>
        <w:bottom w:val="none" w:sz="0" w:space="0" w:color="auto"/>
        <w:right w:val="none" w:sz="0" w:space="0" w:color="auto"/>
      </w:divBdr>
    </w:div>
    <w:div w:id="1301809830">
      <w:bodyDiv w:val="1"/>
      <w:marLeft w:val="0"/>
      <w:marRight w:val="0"/>
      <w:marTop w:val="0"/>
      <w:marBottom w:val="0"/>
      <w:divBdr>
        <w:top w:val="none" w:sz="0" w:space="0" w:color="auto"/>
        <w:left w:val="none" w:sz="0" w:space="0" w:color="auto"/>
        <w:bottom w:val="none" w:sz="0" w:space="0" w:color="auto"/>
        <w:right w:val="none" w:sz="0" w:space="0" w:color="auto"/>
      </w:divBdr>
    </w:div>
    <w:div w:id="1316184782">
      <w:bodyDiv w:val="1"/>
      <w:marLeft w:val="0"/>
      <w:marRight w:val="0"/>
      <w:marTop w:val="0"/>
      <w:marBottom w:val="0"/>
      <w:divBdr>
        <w:top w:val="none" w:sz="0" w:space="0" w:color="auto"/>
        <w:left w:val="none" w:sz="0" w:space="0" w:color="auto"/>
        <w:bottom w:val="none" w:sz="0" w:space="0" w:color="auto"/>
        <w:right w:val="none" w:sz="0" w:space="0" w:color="auto"/>
      </w:divBdr>
    </w:div>
    <w:div w:id="1343165262">
      <w:bodyDiv w:val="1"/>
      <w:marLeft w:val="0"/>
      <w:marRight w:val="0"/>
      <w:marTop w:val="0"/>
      <w:marBottom w:val="0"/>
      <w:divBdr>
        <w:top w:val="none" w:sz="0" w:space="0" w:color="auto"/>
        <w:left w:val="none" w:sz="0" w:space="0" w:color="auto"/>
        <w:bottom w:val="none" w:sz="0" w:space="0" w:color="auto"/>
        <w:right w:val="none" w:sz="0" w:space="0" w:color="auto"/>
      </w:divBdr>
    </w:div>
    <w:div w:id="1348214968">
      <w:bodyDiv w:val="1"/>
      <w:marLeft w:val="0"/>
      <w:marRight w:val="0"/>
      <w:marTop w:val="0"/>
      <w:marBottom w:val="0"/>
      <w:divBdr>
        <w:top w:val="none" w:sz="0" w:space="0" w:color="auto"/>
        <w:left w:val="none" w:sz="0" w:space="0" w:color="auto"/>
        <w:bottom w:val="none" w:sz="0" w:space="0" w:color="auto"/>
        <w:right w:val="none" w:sz="0" w:space="0" w:color="auto"/>
      </w:divBdr>
    </w:div>
    <w:div w:id="1356613510">
      <w:bodyDiv w:val="1"/>
      <w:marLeft w:val="0"/>
      <w:marRight w:val="0"/>
      <w:marTop w:val="0"/>
      <w:marBottom w:val="0"/>
      <w:divBdr>
        <w:top w:val="none" w:sz="0" w:space="0" w:color="auto"/>
        <w:left w:val="none" w:sz="0" w:space="0" w:color="auto"/>
        <w:bottom w:val="none" w:sz="0" w:space="0" w:color="auto"/>
        <w:right w:val="none" w:sz="0" w:space="0" w:color="auto"/>
      </w:divBdr>
    </w:div>
    <w:div w:id="1363436856">
      <w:bodyDiv w:val="1"/>
      <w:marLeft w:val="0"/>
      <w:marRight w:val="0"/>
      <w:marTop w:val="0"/>
      <w:marBottom w:val="0"/>
      <w:divBdr>
        <w:top w:val="none" w:sz="0" w:space="0" w:color="auto"/>
        <w:left w:val="none" w:sz="0" w:space="0" w:color="auto"/>
        <w:bottom w:val="none" w:sz="0" w:space="0" w:color="auto"/>
        <w:right w:val="none" w:sz="0" w:space="0" w:color="auto"/>
      </w:divBdr>
    </w:div>
    <w:div w:id="1398212928">
      <w:bodyDiv w:val="1"/>
      <w:marLeft w:val="0"/>
      <w:marRight w:val="0"/>
      <w:marTop w:val="0"/>
      <w:marBottom w:val="0"/>
      <w:divBdr>
        <w:top w:val="none" w:sz="0" w:space="0" w:color="auto"/>
        <w:left w:val="none" w:sz="0" w:space="0" w:color="auto"/>
        <w:bottom w:val="none" w:sz="0" w:space="0" w:color="auto"/>
        <w:right w:val="none" w:sz="0" w:space="0" w:color="auto"/>
      </w:divBdr>
    </w:div>
    <w:div w:id="1402681520">
      <w:bodyDiv w:val="1"/>
      <w:marLeft w:val="0"/>
      <w:marRight w:val="0"/>
      <w:marTop w:val="0"/>
      <w:marBottom w:val="0"/>
      <w:divBdr>
        <w:top w:val="none" w:sz="0" w:space="0" w:color="auto"/>
        <w:left w:val="none" w:sz="0" w:space="0" w:color="auto"/>
        <w:bottom w:val="none" w:sz="0" w:space="0" w:color="auto"/>
        <w:right w:val="none" w:sz="0" w:space="0" w:color="auto"/>
      </w:divBdr>
    </w:div>
    <w:div w:id="1413628188">
      <w:bodyDiv w:val="1"/>
      <w:marLeft w:val="0"/>
      <w:marRight w:val="0"/>
      <w:marTop w:val="0"/>
      <w:marBottom w:val="0"/>
      <w:divBdr>
        <w:top w:val="none" w:sz="0" w:space="0" w:color="auto"/>
        <w:left w:val="none" w:sz="0" w:space="0" w:color="auto"/>
        <w:bottom w:val="none" w:sz="0" w:space="0" w:color="auto"/>
        <w:right w:val="none" w:sz="0" w:space="0" w:color="auto"/>
      </w:divBdr>
    </w:div>
    <w:div w:id="1418283563">
      <w:bodyDiv w:val="1"/>
      <w:marLeft w:val="0"/>
      <w:marRight w:val="0"/>
      <w:marTop w:val="0"/>
      <w:marBottom w:val="0"/>
      <w:divBdr>
        <w:top w:val="none" w:sz="0" w:space="0" w:color="auto"/>
        <w:left w:val="none" w:sz="0" w:space="0" w:color="auto"/>
        <w:bottom w:val="none" w:sz="0" w:space="0" w:color="auto"/>
        <w:right w:val="none" w:sz="0" w:space="0" w:color="auto"/>
      </w:divBdr>
    </w:div>
    <w:div w:id="1423842684">
      <w:bodyDiv w:val="1"/>
      <w:marLeft w:val="0"/>
      <w:marRight w:val="0"/>
      <w:marTop w:val="0"/>
      <w:marBottom w:val="0"/>
      <w:divBdr>
        <w:top w:val="none" w:sz="0" w:space="0" w:color="auto"/>
        <w:left w:val="none" w:sz="0" w:space="0" w:color="auto"/>
        <w:bottom w:val="none" w:sz="0" w:space="0" w:color="auto"/>
        <w:right w:val="none" w:sz="0" w:space="0" w:color="auto"/>
      </w:divBdr>
    </w:div>
    <w:div w:id="1432049564">
      <w:bodyDiv w:val="1"/>
      <w:marLeft w:val="0"/>
      <w:marRight w:val="0"/>
      <w:marTop w:val="0"/>
      <w:marBottom w:val="0"/>
      <w:divBdr>
        <w:top w:val="none" w:sz="0" w:space="0" w:color="auto"/>
        <w:left w:val="none" w:sz="0" w:space="0" w:color="auto"/>
        <w:bottom w:val="none" w:sz="0" w:space="0" w:color="auto"/>
        <w:right w:val="none" w:sz="0" w:space="0" w:color="auto"/>
      </w:divBdr>
    </w:div>
    <w:div w:id="1492058577">
      <w:bodyDiv w:val="1"/>
      <w:marLeft w:val="0"/>
      <w:marRight w:val="0"/>
      <w:marTop w:val="0"/>
      <w:marBottom w:val="0"/>
      <w:divBdr>
        <w:top w:val="none" w:sz="0" w:space="0" w:color="auto"/>
        <w:left w:val="none" w:sz="0" w:space="0" w:color="auto"/>
        <w:bottom w:val="none" w:sz="0" w:space="0" w:color="auto"/>
        <w:right w:val="none" w:sz="0" w:space="0" w:color="auto"/>
      </w:divBdr>
    </w:div>
    <w:div w:id="1495683692">
      <w:bodyDiv w:val="1"/>
      <w:marLeft w:val="0"/>
      <w:marRight w:val="0"/>
      <w:marTop w:val="0"/>
      <w:marBottom w:val="0"/>
      <w:divBdr>
        <w:top w:val="none" w:sz="0" w:space="0" w:color="auto"/>
        <w:left w:val="none" w:sz="0" w:space="0" w:color="auto"/>
        <w:bottom w:val="none" w:sz="0" w:space="0" w:color="auto"/>
        <w:right w:val="none" w:sz="0" w:space="0" w:color="auto"/>
      </w:divBdr>
    </w:div>
    <w:div w:id="1495994750">
      <w:bodyDiv w:val="1"/>
      <w:marLeft w:val="0"/>
      <w:marRight w:val="0"/>
      <w:marTop w:val="0"/>
      <w:marBottom w:val="0"/>
      <w:divBdr>
        <w:top w:val="none" w:sz="0" w:space="0" w:color="auto"/>
        <w:left w:val="none" w:sz="0" w:space="0" w:color="auto"/>
        <w:bottom w:val="none" w:sz="0" w:space="0" w:color="auto"/>
        <w:right w:val="none" w:sz="0" w:space="0" w:color="auto"/>
      </w:divBdr>
    </w:div>
    <w:div w:id="1544445082">
      <w:bodyDiv w:val="1"/>
      <w:marLeft w:val="0"/>
      <w:marRight w:val="0"/>
      <w:marTop w:val="0"/>
      <w:marBottom w:val="0"/>
      <w:divBdr>
        <w:top w:val="none" w:sz="0" w:space="0" w:color="auto"/>
        <w:left w:val="none" w:sz="0" w:space="0" w:color="auto"/>
        <w:bottom w:val="none" w:sz="0" w:space="0" w:color="auto"/>
        <w:right w:val="none" w:sz="0" w:space="0" w:color="auto"/>
      </w:divBdr>
    </w:div>
    <w:div w:id="1545093621">
      <w:bodyDiv w:val="1"/>
      <w:marLeft w:val="0"/>
      <w:marRight w:val="0"/>
      <w:marTop w:val="0"/>
      <w:marBottom w:val="0"/>
      <w:divBdr>
        <w:top w:val="none" w:sz="0" w:space="0" w:color="auto"/>
        <w:left w:val="none" w:sz="0" w:space="0" w:color="auto"/>
        <w:bottom w:val="none" w:sz="0" w:space="0" w:color="auto"/>
        <w:right w:val="none" w:sz="0" w:space="0" w:color="auto"/>
      </w:divBdr>
    </w:div>
    <w:div w:id="1549141759">
      <w:bodyDiv w:val="1"/>
      <w:marLeft w:val="0"/>
      <w:marRight w:val="0"/>
      <w:marTop w:val="0"/>
      <w:marBottom w:val="0"/>
      <w:divBdr>
        <w:top w:val="none" w:sz="0" w:space="0" w:color="auto"/>
        <w:left w:val="none" w:sz="0" w:space="0" w:color="auto"/>
        <w:bottom w:val="none" w:sz="0" w:space="0" w:color="auto"/>
        <w:right w:val="none" w:sz="0" w:space="0" w:color="auto"/>
      </w:divBdr>
    </w:div>
    <w:div w:id="1572958180">
      <w:bodyDiv w:val="1"/>
      <w:marLeft w:val="0"/>
      <w:marRight w:val="0"/>
      <w:marTop w:val="0"/>
      <w:marBottom w:val="0"/>
      <w:divBdr>
        <w:top w:val="none" w:sz="0" w:space="0" w:color="auto"/>
        <w:left w:val="none" w:sz="0" w:space="0" w:color="auto"/>
        <w:bottom w:val="none" w:sz="0" w:space="0" w:color="auto"/>
        <w:right w:val="none" w:sz="0" w:space="0" w:color="auto"/>
      </w:divBdr>
    </w:div>
    <w:div w:id="1588925886">
      <w:bodyDiv w:val="1"/>
      <w:marLeft w:val="0"/>
      <w:marRight w:val="0"/>
      <w:marTop w:val="0"/>
      <w:marBottom w:val="0"/>
      <w:divBdr>
        <w:top w:val="none" w:sz="0" w:space="0" w:color="auto"/>
        <w:left w:val="none" w:sz="0" w:space="0" w:color="auto"/>
        <w:bottom w:val="none" w:sz="0" w:space="0" w:color="auto"/>
        <w:right w:val="none" w:sz="0" w:space="0" w:color="auto"/>
      </w:divBdr>
    </w:div>
    <w:div w:id="1596212518">
      <w:bodyDiv w:val="1"/>
      <w:marLeft w:val="0"/>
      <w:marRight w:val="0"/>
      <w:marTop w:val="0"/>
      <w:marBottom w:val="0"/>
      <w:divBdr>
        <w:top w:val="none" w:sz="0" w:space="0" w:color="auto"/>
        <w:left w:val="none" w:sz="0" w:space="0" w:color="auto"/>
        <w:bottom w:val="none" w:sz="0" w:space="0" w:color="auto"/>
        <w:right w:val="none" w:sz="0" w:space="0" w:color="auto"/>
      </w:divBdr>
    </w:div>
    <w:div w:id="1622686675">
      <w:bodyDiv w:val="1"/>
      <w:marLeft w:val="0"/>
      <w:marRight w:val="0"/>
      <w:marTop w:val="0"/>
      <w:marBottom w:val="0"/>
      <w:divBdr>
        <w:top w:val="none" w:sz="0" w:space="0" w:color="auto"/>
        <w:left w:val="none" w:sz="0" w:space="0" w:color="auto"/>
        <w:bottom w:val="none" w:sz="0" w:space="0" w:color="auto"/>
        <w:right w:val="none" w:sz="0" w:space="0" w:color="auto"/>
      </w:divBdr>
    </w:div>
    <w:div w:id="1628512802">
      <w:bodyDiv w:val="1"/>
      <w:marLeft w:val="0"/>
      <w:marRight w:val="0"/>
      <w:marTop w:val="0"/>
      <w:marBottom w:val="0"/>
      <w:divBdr>
        <w:top w:val="none" w:sz="0" w:space="0" w:color="auto"/>
        <w:left w:val="none" w:sz="0" w:space="0" w:color="auto"/>
        <w:bottom w:val="none" w:sz="0" w:space="0" w:color="auto"/>
        <w:right w:val="none" w:sz="0" w:space="0" w:color="auto"/>
      </w:divBdr>
    </w:div>
    <w:div w:id="1640379096">
      <w:bodyDiv w:val="1"/>
      <w:marLeft w:val="0"/>
      <w:marRight w:val="0"/>
      <w:marTop w:val="0"/>
      <w:marBottom w:val="0"/>
      <w:divBdr>
        <w:top w:val="none" w:sz="0" w:space="0" w:color="auto"/>
        <w:left w:val="none" w:sz="0" w:space="0" w:color="auto"/>
        <w:bottom w:val="none" w:sz="0" w:space="0" w:color="auto"/>
        <w:right w:val="none" w:sz="0" w:space="0" w:color="auto"/>
      </w:divBdr>
    </w:div>
    <w:div w:id="1644381960">
      <w:bodyDiv w:val="1"/>
      <w:marLeft w:val="0"/>
      <w:marRight w:val="0"/>
      <w:marTop w:val="0"/>
      <w:marBottom w:val="0"/>
      <w:divBdr>
        <w:top w:val="none" w:sz="0" w:space="0" w:color="auto"/>
        <w:left w:val="none" w:sz="0" w:space="0" w:color="auto"/>
        <w:bottom w:val="none" w:sz="0" w:space="0" w:color="auto"/>
        <w:right w:val="none" w:sz="0" w:space="0" w:color="auto"/>
      </w:divBdr>
    </w:div>
    <w:div w:id="1682049564">
      <w:bodyDiv w:val="1"/>
      <w:marLeft w:val="0"/>
      <w:marRight w:val="0"/>
      <w:marTop w:val="0"/>
      <w:marBottom w:val="0"/>
      <w:divBdr>
        <w:top w:val="none" w:sz="0" w:space="0" w:color="auto"/>
        <w:left w:val="none" w:sz="0" w:space="0" w:color="auto"/>
        <w:bottom w:val="none" w:sz="0" w:space="0" w:color="auto"/>
        <w:right w:val="none" w:sz="0" w:space="0" w:color="auto"/>
      </w:divBdr>
    </w:div>
    <w:div w:id="1689335175">
      <w:bodyDiv w:val="1"/>
      <w:marLeft w:val="0"/>
      <w:marRight w:val="0"/>
      <w:marTop w:val="0"/>
      <w:marBottom w:val="0"/>
      <w:divBdr>
        <w:top w:val="none" w:sz="0" w:space="0" w:color="auto"/>
        <w:left w:val="none" w:sz="0" w:space="0" w:color="auto"/>
        <w:bottom w:val="none" w:sz="0" w:space="0" w:color="auto"/>
        <w:right w:val="none" w:sz="0" w:space="0" w:color="auto"/>
      </w:divBdr>
    </w:div>
    <w:div w:id="1721435718">
      <w:bodyDiv w:val="1"/>
      <w:marLeft w:val="0"/>
      <w:marRight w:val="0"/>
      <w:marTop w:val="0"/>
      <w:marBottom w:val="0"/>
      <w:divBdr>
        <w:top w:val="none" w:sz="0" w:space="0" w:color="auto"/>
        <w:left w:val="none" w:sz="0" w:space="0" w:color="auto"/>
        <w:bottom w:val="none" w:sz="0" w:space="0" w:color="auto"/>
        <w:right w:val="none" w:sz="0" w:space="0" w:color="auto"/>
      </w:divBdr>
    </w:div>
    <w:div w:id="1732580825">
      <w:bodyDiv w:val="1"/>
      <w:marLeft w:val="0"/>
      <w:marRight w:val="0"/>
      <w:marTop w:val="0"/>
      <w:marBottom w:val="0"/>
      <w:divBdr>
        <w:top w:val="none" w:sz="0" w:space="0" w:color="auto"/>
        <w:left w:val="none" w:sz="0" w:space="0" w:color="auto"/>
        <w:bottom w:val="none" w:sz="0" w:space="0" w:color="auto"/>
        <w:right w:val="none" w:sz="0" w:space="0" w:color="auto"/>
      </w:divBdr>
    </w:div>
    <w:div w:id="1819958362">
      <w:bodyDiv w:val="1"/>
      <w:marLeft w:val="0"/>
      <w:marRight w:val="0"/>
      <w:marTop w:val="0"/>
      <w:marBottom w:val="0"/>
      <w:divBdr>
        <w:top w:val="none" w:sz="0" w:space="0" w:color="auto"/>
        <w:left w:val="none" w:sz="0" w:space="0" w:color="auto"/>
        <w:bottom w:val="none" w:sz="0" w:space="0" w:color="auto"/>
        <w:right w:val="none" w:sz="0" w:space="0" w:color="auto"/>
      </w:divBdr>
    </w:div>
    <w:div w:id="1829592293">
      <w:bodyDiv w:val="1"/>
      <w:marLeft w:val="0"/>
      <w:marRight w:val="0"/>
      <w:marTop w:val="0"/>
      <w:marBottom w:val="0"/>
      <w:divBdr>
        <w:top w:val="none" w:sz="0" w:space="0" w:color="auto"/>
        <w:left w:val="none" w:sz="0" w:space="0" w:color="auto"/>
        <w:bottom w:val="none" w:sz="0" w:space="0" w:color="auto"/>
        <w:right w:val="none" w:sz="0" w:space="0" w:color="auto"/>
      </w:divBdr>
    </w:div>
    <w:div w:id="1860775609">
      <w:bodyDiv w:val="1"/>
      <w:marLeft w:val="0"/>
      <w:marRight w:val="0"/>
      <w:marTop w:val="0"/>
      <w:marBottom w:val="0"/>
      <w:divBdr>
        <w:top w:val="none" w:sz="0" w:space="0" w:color="auto"/>
        <w:left w:val="none" w:sz="0" w:space="0" w:color="auto"/>
        <w:bottom w:val="none" w:sz="0" w:space="0" w:color="auto"/>
        <w:right w:val="none" w:sz="0" w:space="0" w:color="auto"/>
      </w:divBdr>
    </w:div>
    <w:div w:id="1906181766">
      <w:bodyDiv w:val="1"/>
      <w:marLeft w:val="0"/>
      <w:marRight w:val="0"/>
      <w:marTop w:val="0"/>
      <w:marBottom w:val="0"/>
      <w:divBdr>
        <w:top w:val="none" w:sz="0" w:space="0" w:color="auto"/>
        <w:left w:val="none" w:sz="0" w:space="0" w:color="auto"/>
        <w:bottom w:val="none" w:sz="0" w:space="0" w:color="auto"/>
        <w:right w:val="none" w:sz="0" w:space="0" w:color="auto"/>
      </w:divBdr>
    </w:div>
    <w:div w:id="1998727682">
      <w:bodyDiv w:val="1"/>
      <w:marLeft w:val="0"/>
      <w:marRight w:val="0"/>
      <w:marTop w:val="0"/>
      <w:marBottom w:val="0"/>
      <w:divBdr>
        <w:top w:val="none" w:sz="0" w:space="0" w:color="auto"/>
        <w:left w:val="none" w:sz="0" w:space="0" w:color="auto"/>
        <w:bottom w:val="none" w:sz="0" w:space="0" w:color="auto"/>
        <w:right w:val="none" w:sz="0" w:space="0" w:color="auto"/>
      </w:divBdr>
    </w:div>
    <w:div w:id="2020619275">
      <w:bodyDiv w:val="1"/>
      <w:marLeft w:val="0"/>
      <w:marRight w:val="0"/>
      <w:marTop w:val="0"/>
      <w:marBottom w:val="0"/>
      <w:divBdr>
        <w:top w:val="none" w:sz="0" w:space="0" w:color="auto"/>
        <w:left w:val="none" w:sz="0" w:space="0" w:color="auto"/>
        <w:bottom w:val="none" w:sz="0" w:space="0" w:color="auto"/>
        <w:right w:val="none" w:sz="0" w:space="0" w:color="auto"/>
      </w:divBdr>
    </w:div>
    <w:div w:id="2057317340">
      <w:bodyDiv w:val="1"/>
      <w:marLeft w:val="0"/>
      <w:marRight w:val="0"/>
      <w:marTop w:val="0"/>
      <w:marBottom w:val="0"/>
      <w:divBdr>
        <w:top w:val="none" w:sz="0" w:space="0" w:color="auto"/>
        <w:left w:val="none" w:sz="0" w:space="0" w:color="auto"/>
        <w:bottom w:val="none" w:sz="0" w:space="0" w:color="auto"/>
        <w:right w:val="none" w:sz="0" w:space="0" w:color="auto"/>
      </w:divBdr>
    </w:div>
    <w:div w:id="2068913405">
      <w:bodyDiv w:val="1"/>
      <w:marLeft w:val="0"/>
      <w:marRight w:val="0"/>
      <w:marTop w:val="0"/>
      <w:marBottom w:val="0"/>
      <w:divBdr>
        <w:top w:val="none" w:sz="0" w:space="0" w:color="auto"/>
        <w:left w:val="none" w:sz="0" w:space="0" w:color="auto"/>
        <w:bottom w:val="none" w:sz="0" w:space="0" w:color="auto"/>
        <w:right w:val="none" w:sz="0" w:space="0" w:color="auto"/>
      </w:divBdr>
    </w:div>
    <w:div w:id="21020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nergynorth.c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robertson@synergynorth.ca%20"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ablazina@synergynorth.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A334-191E-4F56-AFE3-60628FA5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15</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Thunder Bay Hydro</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Ashby</dc:creator>
  <cp:lastModifiedBy>Janice Robertson</cp:lastModifiedBy>
  <cp:revision>42</cp:revision>
  <cp:lastPrinted>2023-03-07T21:35:00Z</cp:lastPrinted>
  <dcterms:created xsi:type="dcterms:W3CDTF">2023-02-21T21:20:00Z</dcterms:created>
  <dcterms:modified xsi:type="dcterms:W3CDTF">2023-03-13T17:46:00Z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1409938162</vt:i4>
  </property>
</Properties>
</file>