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50C" w14:textId="333F0A5A" w:rsidR="007D644A" w:rsidRPr="00B7020D" w:rsidRDefault="005B396B" w:rsidP="008C7E6A">
      <w:pPr>
        <w:spacing w:after="0" w:line="276" w:lineRule="auto"/>
        <w:jc w:val="center"/>
        <w:rPr>
          <w:rFonts w:ascii="Arial" w:hAnsi="Arial" w:cs="Arial"/>
          <w:b/>
          <w:bCs/>
          <w:sz w:val="24"/>
          <w:szCs w:val="24"/>
        </w:rPr>
      </w:pPr>
      <w:r w:rsidRPr="00B7020D">
        <w:rPr>
          <w:rFonts w:ascii="Arial" w:hAnsi="Arial" w:cs="Arial"/>
          <w:b/>
          <w:bCs/>
          <w:sz w:val="24"/>
          <w:szCs w:val="24"/>
        </w:rPr>
        <w:t xml:space="preserve">OEB Staff </w:t>
      </w:r>
      <w:r w:rsidR="00B7020D" w:rsidRPr="00B7020D">
        <w:rPr>
          <w:rFonts w:ascii="Arial" w:hAnsi="Arial" w:cs="Arial"/>
          <w:b/>
          <w:bCs/>
          <w:sz w:val="24"/>
          <w:szCs w:val="24"/>
        </w:rPr>
        <w:t>Interrogatories</w:t>
      </w:r>
    </w:p>
    <w:p w14:paraId="4282FDAA" w14:textId="6AFCC0C2" w:rsidR="005B396B" w:rsidRPr="00B7020D" w:rsidRDefault="00CF2767" w:rsidP="008C7E6A">
      <w:pPr>
        <w:spacing w:after="0" w:line="276" w:lineRule="auto"/>
        <w:jc w:val="center"/>
        <w:rPr>
          <w:rFonts w:ascii="Arial" w:hAnsi="Arial" w:cs="Arial"/>
          <w:b/>
          <w:bCs/>
          <w:sz w:val="24"/>
          <w:szCs w:val="24"/>
        </w:rPr>
      </w:pPr>
      <w:r w:rsidRPr="00B7020D">
        <w:rPr>
          <w:rFonts w:ascii="Arial" w:hAnsi="Arial" w:cs="Arial"/>
          <w:b/>
          <w:bCs/>
          <w:sz w:val="24"/>
          <w:szCs w:val="24"/>
        </w:rPr>
        <w:t>Enova Power Corp.</w:t>
      </w:r>
    </w:p>
    <w:p w14:paraId="3CD5482D" w14:textId="0174E614" w:rsidR="005B396B" w:rsidRPr="00B7020D" w:rsidRDefault="00B7020D" w:rsidP="008C7E6A">
      <w:pPr>
        <w:spacing w:after="0" w:line="276" w:lineRule="auto"/>
        <w:jc w:val="center"/>
        <w:rPr>
          <w:rFonts w:ascii="Arial" w:hAnsi="Arial" w:cs="Arial"/>
          <w:b/>
          <w:bCs/>
          <w:sz w:val="24"/>
          <w:szCs w:val="24"/>
        </w:rPr>
      </w:pPr>
      <w:r w:rsidRPr="00B7020D">
        <w:rPr>
          <w:rFonts w:ascii="Arial" w:hAnsi="Arial" w:cs="Arial"/>
          <w:b/>
          <w:bCs/>
          <w:sz w:val="24"/>
          <w:szCs w:val="24"/>
        </w:rPr>
        <w:t>EB-2023-0015</w:t>
      </w:r>
    </w:p>
    <w:p w14:paraId="1E8636E1" w14:textId="77777777" w:rsidR="005B396B" w:rsidRPr="008C7E6A" w:rsidRDefault="005B396B" w:rsidP="008C7E6A">
      <w:pPr>
        <w:spacing w:after="0" w:line="276" w:lineRule="auto"/>
        <w:rPr>
          <w:rFonts w:ascii="Arial" w:hAnsi="Arial" w:cs="Arial"/>
          <w:sz w:val="24"/>
          <w:szCs w:val="24"/>
        </w:rPr>
      </w:pPr>
    </w:p>
    <w:p w14:paraId="1860678E" w14:textId="77777777" w:rsidR="002860CA" w:rsidRDefault="002860CA" w:rsidP="008C7E6A">
      <w:pPr>
        <w:pStyle w:val="Default"/>
        <w:spacing w:line="276" w:lineRule="auto"/>
      </w:pPr>
      <w:r w:rsidRPr="002860CA">
        <w:t xml:space="preserve">Please note, Enova Power Corp. is responsible for ensuring that all documents it files with the OEB, including responses to OEB staff interrogatories and any other supporting documentation, do not include personal information (as that phrase is defined in the Freedom of Information and Protection of Privacy Act), unless filed in accordance with rule 9A of the OEB’s Rules of Practice and Procedure. </w:t>
      </w:r>
    </w:p>
    <w:p w14:paraId="296570FF" w14:textId="77777777" w:rsidR="002860CA" w:rsidRDefault="002860CA" w:rsidP="008C7E6A">
      <w:pPr>
        <w:pStyle w:val="Default"/>
        <w:spacing w:line="276" w:lineRule="auto"/>
      </w:pPr>
    </w:p>
    <w:p w14:paraId="50DF0248" w14:textId="4E1F55B0" w:rsidR="002860CA" w:rsidRDefault="002860CA" w:rsidP="008C7E6A">
      <w:pPr>
        <w:pStyle w:val="Default"/>
        <w:spacing w:line="276" w:lineRule="auto"/>
      </w:pPr>
      <w:r w:rsidRPr="002860CA">
        <w:t>OEB staff is aware that Waterloo North Hydro Inc. and Kitchener-Wilmot Hydro have amalgamated and incorporated under the name Enova Power Corp. For the purposes of interrogatories, former Waterloo North Hydro Inc. is referred to as Enova-WNH and former Kitchener-Wilmot Hydro is referred to as Enova- Kitchener-Wilmot.</w:t>
      </w:r>
    </w:p>
    <w:p w14:paraId="02C8D7DF" w14:textId="77777777" w:rsidR="002860CA" w:rsidRDefault="002860CA" w:rsidP="008C7E6A">
      <w:pPr>
        <w:pStyle w:val="Default"/>
        <w:spacing w:line="276" w:lineRule="auto"/>
      </w:pPr>
    </w:p>
    <w:p w14:paraId="4A3F4DC4" w14:textId="77777777" w:rsidR="005553C1" w:rsidRDefault="005553C1" w:rsidP="008C7E6A">
      <w:pPr>
        <w:pStyle w:val="Default"/>
        <w:spacing w:line="276" w:lineRule="auto"/>
        <w:rPr>
          <w:b/>
          <w:bCs/>
        </w:rPr>
      </w:pPr>
    </w:p>
    <w:p w14:paraId="6A3F2C8E" w14:textId="77777777" w:rsidR="00BE2ABD" w:rsidRDefault="00BE2ABD" w:rsidP="008C7E6A">
      <w:pPr>
        <w:pStyle w:val="Default"/>
        <w:spacing w:line="276" w:lineRule="auto"/>
        <w:rPr>
          <w:b/>
          <w:bCs/>
        </w:rPr>
      </w:pPr>
    </w:p>
    <w:p w14:paraId="7C2EE98E" w14:textId="2022207F" w:rsidR="00D80524" w:rsidRPr="00A01436" w:rsidRDefault="00D80524" w:rsidP="008C7E6A">
      <w:pPr>
        <w:pStyle w:val="Default"/>
        <w:spacing w:line="276" w:lineRule="auto"/>
        <w:rPr>
          <w:b/>
          <w:bCs/>
        </w:rPr>
      </w:pPr>
      <w:r w:rsidRPr="00A01436">
        <w:rPr>
          <w:b/>
          <w:bCs/>
        </w:rPr>
        <w:t>Staff Question-</w:t>
      </w:r>
      <w:r w:rsidR="00A01436" w:rsidRPr="00A01436">
        <w:rPr>
          <w:b/>
          <w:bCs/>
        </w:rPr>
        <w:t>1</w:t>
      </w:r>
    </w:p>
    <w:p w14:paraId="1FD14ED9" w14:textId="77777777" w:rsidR="00D80524" w:rsidRPr="008C7E6A" w:rsidRDefault="00D80524" w:rsidP="008C7E6A">
      <w:pPr>
        <w:pStyle w:val="Default"/>
        <w:spacing w:line="276" w:lineRule="auto"/>
      </w:pPr>
    </w:p>
    <w:p w14:paraId="2CC46C1E" w14:textId="77777777" w:rsidR="00D80524" w:rsidRPr="0009715D" w:rsidRDefault="00D80524" w:rsidP="008C7E6A">
      <w:pPr>
        <w:pStyle w:val="Default"/>
        <w:spacing w:line="276" w:lineRule="auto"/>
        <w:rPr>
          <w:b/>
          <w:bCs/>
        </w:rPr>
      </w:pPr>
      <w:bookmarkStart w:id="0" w:name="_Hlk147184115"/>
      <w:r w:rsidRPr="0009715D">
        <w:rPr>
          <w:b/>
          <w:bCs/>
        </w:rPr>
        <w:t xml:space="preserve">Ref: </w:t>
      </w:r>
      <w:bookmarkStart w:id="1" w:name="_Hlk147184132"/>
      <w:r w:rsidRPr="0009715D">
        <w:rPr>
          <w:b/>
          <w:bCs/>
        </w:rPr>
        <w:t>Rate Generator Model, Tab 3, Continuity Schedule</w:t>
      </w:r>
      <w:bookmarkEnd w:id="1"/>
      <w:r w:rsidRPr="0009715D">
        <w:rPr>
          <w:b/>
          <w:bCs/>
        </w:rPr>
        <w:t xml:space="preserve"> </w:t>
      </w:r>
    </w:p>
    <w:bookmarkEnd w:id="0"/>
    <w:p w14:paraId="3A3D6960" w14:textId="77777777" w:rsidR="00D80524" w:rsidRPr="008C7E6A" w:rsidRDefault="00D80524" w:rsidP="008C7E6A">
      <w:pPr>
        <w:pStyle w:val="Default"/>
        <w:spacing w:line="276" w:lineRule="auto"/>
      </w:pPr>
    </w:p>
    <w:p w14:paraId="2EC6DCC4" w14:textId="55531109" w:rsidR="00DD730E" w:rsidRDefault="00D80524" w:rsidP="008C7E6A">
      <w:pPr>
        <w:pStyle w:val="Default"/>
        <w:spacing w:line="276" w:lineRule="auto"/>
      </w:pPr>
      <w:r w:rsidRPr="008C7E6A">
        <w:t>On September 1</w:t>
      </w:r>
      <w:r w:rsidR="0022246A" w:rsidRPr="008C7E6A">
        <w:t>2, 2023</w:t>
      </w:r>
      <w:r w:rsidR="00110EAE">
        <w:t>,</w:t>
      </w:r>
      <w:r w:rsidR="0022246A" w:rsidRPr="008C7E6A">
        <w:t xml:space="preserve"> </w:t>
      </w:r>
      <w:r w:rsidRPr="008C7E6A">
        <w:t xml:space="preserve">the OEB </w:t>
      </w:r>
      <w:r w:rsidR="0022246A" w:rsidRPr="008C7E6A">
        <w:t xml:space="preserve">published the </w:t>
      </w:r>
      <w:r w:rsidRPr="008C7E6A">
        <w:t>202</w:t>
      </w:r>
      <w:r w:rsidR="0022246A" w:rsidRPr="008C7E6A">
        <w:t>3</w:t>
      </w:r>
      <w:r w:rsidRPr="008C7E6A">
        <w:t xml:space="preserve"> Quarter 4 prescribed accounting interest rates </w:t>
      </w:r>
      <w:r w:rsidR="00DD730E" w:rsidRPr="00DD730E">
        <w:t>applicable to the carrying charges of deferral, variance and construction work in progress (CWIP) accounts of natural gas utilities, electricity distributors and other rate-regulated entities.</w:t>
      </w:r>
    </w:p>
    <w:p w14:paraId="6D0241D0" w14:textId="77777777" w:rsidR="00DD730E" w:rsidRDefault="00DD730E" w:rsidP="008C7E6A">
      <w:pPr>
        <w:pStyle w:val="Default"/>
        <w:spacing w:line="276" w:lineRule="auto"/>
      </w:pPr>
    </w:p>
    <w:p w14:paraId="3FAC1D27" w14:textId="77777777" w:rsidR="00D80524" w:rsidRPr="008C7E6A" w:rsidRDefault="00D80524" w:rsidP="008C7E6A">
      <w:pPr>
        <w:pStyle w:val="Default"/>
        <w:spacing w:line="276" w:lineRule="auto"/>
      </w:pPr>
      <w:r w:rsidRPr="008C7E6A">
        <w:t xml:space="preserve">Question: </w:t>
      </w:r>
    </w:p>
    <w:p w14:paraId="418A45A9" w14:textId="77777777" w:rsidR="0022246A" w:rsidRPr="008C7E6A" w:rsidRDefault="0022246A" w:rsidP="008C7E6A">
      <w:pPr>
        <w:pStyle w:val="Default"/>
        <w:spacing w:line="276" w:lineRule="auto"/>
      </w:pPr>
    </w:p>
    <w:p w14:paraId="243E6D51" w14:textId="7DD66E83" w:rsidR="00463C8A" w:rsidRDefault="00D80524" w:rsidP="009D513A">
      <w:pPr>
        <w:pStyle w:val="ListParagraph"/>
        <w:numPr>
          <w:ilvl w:val="0"/>
          <w:numId w:val="1"/>
        </w:numPr>
        <w:spacing w:after="0" w:line="276" w:lineRule="auto"/>
        <w:rPr>
          <w:rFonts w:ascii="Arial" w:hAnsi="Arial" w:cs="Arial"/>
          <w:sz w:val="24"/>
          <w:szCs w:val="24"/>
        </w:rPr>
      </w:pPr>
      <w:r w:rsidRPr="008C7E6A">
        <w:rPr>
          <w:rFonts w:ascii="Arial" w:hAnsi="Arial" w:cs="Arial"/>
          <w:sz w:val="24"/>
          <w:szCs w:val="24"/>
        </w:rPr>
        <w:t>Please update Tab 3 (Continuity Schedule) as necessary to reflect the Q4 202</w:t>
      </w:r>
      <w:r w:rsidR="005441F5" w:rsidRPr="008C7E6A">
        <w:rPr>
          <w:rFonts w:ascii="Arial" w:hAnsi="Arial" w:cs="Arial"/>
          <w:sz w:val="24"/>
          <w:szCs w:val="24"/>
        </w:rPr>
        <w:t xml:space="preserve">3 </w:t>
      </w:r>
      <w:r w:rsidRPr="008C7E6A">
        <w:rPr>
          <w:rFonts w:ascii="Arial" w:hAnsi="Arial" w:cs="Arial"/>
          <w:sz w:val="24"/>
          <w:szCs w:val="24"/>
        </w:rPr>
        <w:t xml:space="preserve">OEB-prescribed interest rate of </w:t>
      </w:r>
      <w:r w:rsidR="005441F5" w:rsidRPr="008C7E6A">
        <w:rPr>
          <w:rFonts w:ascii="Arial" w:hAnsi="Arial" w:cs="Arial"/>
          <w:sz w:val="24"/>
          <w:szCs w:val="24"/>
        </w:rPr>
        <w:t>5.49%.</w:t>
      </w:r>
    </w:p>
    <w:p w14:paraId="78EEE190" w14:textId="77777777" w:rsidR="00463C8A" w:rsidRDefault="00463C8A" w:rsidP="00463C8A">
      <w:pPr>
        <w:spacing w:after="0" w:line="276" w:lineRule="auto"/>
        <w:rPr>
          <w:rFonts w:ascii="Arial" w:hAnsi="Arial" w:cs="Arial"/>
          <w:sz w:val="24"/>
          <w:szCs w:val="24"/>
        </w:rPr>
      </w:pPr>
    </w:p>
    <w:p w14:paraId="1FB5625E" w14:textId="77777777" w:rsidR="0097687D" w:rsidRDefault="0097687D" w:rsidP="00463C8A">
      <w:pPr>
        <w:spacing w:after="0" w:line="276" w:lineRule="auto"/>
        <w:rPr>
          <w:rFonts w:ascii="Arial" w:hAnsi="Arial" w:cs="Arial"/>
          <w:sz w:val="24"/>
          <w:szCs w:val="24"/>
        </w:rPr>
      </w:pPr>
    </w:p>
    <w:p w14:paraId="625CF31B" w14:textId="77777777" w:rsidR="00D175EE" w:rsidRDefault="00D175EE" w:rsidP="00BF048E">
      <w:pPr>
        <w:spacing w:after="0" w:line="276" w:lineRule="auto"/>
        <w:rPr>
          <w:rFonts w:ascii="Arial" w:hAnsi="Arial" w:cs="Arial"/>
          <w:b/>
          <w:bCs/>
          <w:sz w:val="24"/>
          <w:szCs w:val="24"/>
        </w:rPr>
      </w:pPr>
      <w:bookmarkStart w:id="2" w:name="_Hlk146963851"/>
    </w:p>
    <w:p w14:paraId="7DDBB236" w14:textId="77777777" w:rsidR="00BE2ABD" w:rsidRDefault="00BE2ABD" w:rsidP="00BF048E">
      <w:pPr>
        <w:spacing w:after="0" w:line="276" w:lineRule="auto"/>
        <w:rPr>
          <w:rFonts w:ascii="Arial" w:hAnsi="Arial" w:cs="Arial"/>
          <w:b/>
          <w:bCs/>
          <w:sz w:val="24"/>
          <w:szCs w:val="24"/>
        </w:rPr>
      </w:pPr>
    </w:p>
    <w:p w14:paraId="66C65469" w14:textId="77777777" w:rsidR="00BE2ABD" w:rsidRDefault="00BE2ABD" w:rsidP="00BF048E">
      <w:pPr>
        <w:spacing w:after="0" w:line="276" w:lineRule="auto"/>
        <w:rPr>
          <w:rFonts w:ascii="Arial" w:hAnsi="Arial" w:cs="Arial"/>
          <w:b/>
          <w:bCs/>
          <w:sz w:val="24"/>
          <w:szCs w:val="24"/>
        </w:rPr>
      </w:pPr>
    </w:p>
    <w:p w14:paraId="00797BAA" w14:textId="77777777" w:rsidR="00BE2ABD" w:rsidRDefault="00BE2ABD" w:rsidP="00BF048E">
      <w:pPr>
        <w:spacing w:after="0" w:line="276" w:lineRule="auto"/>
        <w:rPr>
          <w:rFonts w:ascii="Arial" w:hAnsi="Arial" w:cs="Arial"/>
          <w:b/>
          <w:bCs/>
          <w:sz w:val="24"/>
          <w:szCs w:val="24"/>
        </w:rPr>
      </w:pPr>
    </w:p>
    <w:p w14:paraId="78A46684" w14:textId="77777777" w:rsidR="00BE2ABD" w:rsidRDefault="00BE2ABD" w:rsidP="00BF048E">
      <w:pPr>
        <w:spacing w:after="0" w:line="276" w:lineRule="auto"/>
        <w:rPr>
          <w:rFonts w:ascii="Arial" w:hAnsi="Arial" w:cs="Arial"/>
          <w:b/>
          <w:bCs/>
          <w:sz w:val="24"/>
          <w:szCs w:val="24"/>
        </w:rPr>
      </w:pPr>
    </w:p>
    <w:p w14:paraId="576CC169" w14:textId="77777777" w:rsidR="00BE2ABD" w:rsidRDefault="00BE2ABD" w:rsidP="00BF048E">
      <w:pPr>
        <w:spacing w:after="0" w:line="276" w:lineRule="auto"/>
        <w:rPr>
          <w:rFonts w:ascii="Arial" w:hAnsi="Arial" w:cs="Arial"/>
          <w:b/>
          <w:bCs/>
          <w:sz w:val="24"/>
          <w:szCs w:val="24"/>
        </w:rPr>
      </w:pPr>
    </w:p>
    <w:p w14:paraId="25899F65" w14:textId="77777777" w:rsidR="007D6EB7" w:rsidRDefault="007D6EB7" w:rsidP="00BF048E">
      <w:pPr>
        <w:spacing w:after="0" w:line="276" w:lineRule="auto"/>
        <w:rPr>
          <w:rFonts w:ascii="Arial" w:hAnsi="Arial" w:cs="Arial"/>
          <w:b/>
          <w:bCs/>
          <w:sz w:val="24"/>
          <w:szCs w:val="24"/>
        </w:rPr>
      </w:pPr>
    </w:p>
    <w:p w14:paraId="057656E2" w14:textId="7CC17A9C" w:rsidR="00BF048E" w:rsidRPr="00BF048E" w:rsidRDefault="00BF048E" w:rsidP="00BF048E">
      <w:pPr>
        <w:spacing w:after="0" w:line="276" w:lineRule="auto"/>
        <w:rPr>
          <w:rFonts w:ascii="Arial" w:hAnsi="Arial" w:cs="Arial"/>
          <w:b/>
          <w:bCs/>
          <w:sz w:val="24"/>
          <w:szCs w:val="24"/>
        </w:rPr>
      </w:pPr>
      <w:r w:rsidRPr="00BF048E">
        <w:rPr>
          <w:rFonts w:ascii="Arial" w:hAnsi="Arial" w:cs="Arial"/>
          <w:b/>
          <w:bCs/>
          <w:sz w:val="24"/>
          <w:szCs w:val="24"/>
        </w:rPr>
        <w:lastRenderedPageBreak/>
        <w:t>Staff Question-2</w:t>
      </w:r>
    </w:p>
    <w:p w14:paraId="27EFD187" w14:textId="77777777" w:rsidR="00BF048E" w:rsidRPr="00BF048E" w:rsidRDefault="00BF048E" w:rsidP="00BF048E">
      <w:pPr>
        <w:spacing w:after="0" w:line="276" w:lineRule="auto"/>
        <w:rPr>
          <w:rFonts w:ascii="Arial" w:hAnsi="Arial" w:cs="Arial"/>
          <w:b/>
          <w:bCs/>
          <w:sz w:val="24"/>
          <w:szCs w:val="24"/>
        </w:rPr>
      </w:pPr>
    </w:p>
    <w:p w14:paraId="69E91337" w14:textId="77777777" w:rsidR="00BE2ABD" w:rsidRDefault="00BF048E" w:rsidP="00BF048E">
      <w:pPr>
        <w:spacing w:after="0" w:line="276" w:lineRule="auto"/>
        <w:rPr>
          <w:rFonts w:ascii="Arial" w:hAnsi="Arial" w:cs="Arial"/>
          <w:b/>
          <w:bCs/>
          <w:sz w:val="24"/>
          <w:szCs w:val="24"/>
        </w:rPr>
      </w:pPr>
      <w:bookmarkStart w:id="3" w:name="_Hlk146963832"/>
      <w:r w:rsidRPr="00BF048E">
        <w:rPr>
          <w:rFonts w:ascii="Arial" w:hAnsi="Arial" w:cs="Arial"/>
          <w:b/>
          <w:bCs/>
          <w:sz w:val="24"/>
          <w:szCs w:val="24"/>
        </w:rPr>
        <w:t>Ref: 2024 IRM Rate Generator, Tab 11</w:t>
      </w:r>
      <w:bookmarkEnd w:id="3"/>
      <w:r w:rsidRPr="00BF048E">
        <w:rPr>
          <w:rFonts w:ascii="Arial" w:hAnsi="Arial" w:cs="Arial"/>
          <w:b/>
          <w:bCs/>
          <w:sz w:val="24"/>
          <w:szCs w:val="24"/>
        </w:rPr>
        <w:t>, 15 and 2</w:t>
      </w:r>
      <w:bookmarkEnd w:id="2"/>
    </w:p>
    <w:p w14:paraId="54C40EC3" w14:textId="3434D556" w:rsidR="00BF048E" w:rsidRPr="00BE2ABD" w:rsidRDefault="00BF048E" w:rsidP="00BF048E">
      <w:pPr>
        <w:spacing w:after="0" w:line="276" w:lineRule="auto"/>
        <w:rPr>
          <w:rFonts w:ascii="Arial" w:hAnsi="Arial" w:cs="Arial"/>
          <w:b/>
          <w:bCs/>
          <w:sz w:val="24"/>
          <w:szCs w:val="24"/>
        </w:rPr>
      </w:pPr>
      <w:r w:rsidRPr="00BF048E">
        <w:rPr>
          <w:rFonts w:ascii="Arial" w:hAnsi="Arial" w:cs="Arial"/>
          <w:sz w:val="24"/>
          <w:szCs w:val="24"/>
        </w:rPr>
        <w:t xml:space="preserve">On September 28, the OEB issued a letter regarding </w:t>
      </w:r>
      <w:r w:rsidRPr="00BF048E">
        <w:rPr>
          <w:rFonts w:ascii="Arial" w:hAnsi="Arial" w:cs="Arial"/>
          <w:bCs/>
          <w:sz w:val="24"/>
          <w:szCs w:val="24"/>
          <w:lang w:val="en-CA"/>
        </w:rPr>
        <w:t>2024 Preliminary Uniform Transmission Rates (UTRs) and Hydro One Sub-Transmission Rates.</w:t>
      </w:r>
      <w:r w:rsidRPr="00BF048E">
        <w:rPr>
          <w:rFonts w:ascii="Arial" w:hAnsi="Arial" w:cs="Arial"/>
          <w:bCs/>
          <w:sz w:val="24"/>
          <w:szCs w:val="24"/>
          <w:vertAlign w:val="superscript"/>
          <w:lang w:val="en-CA"/>
        </w:rPr>
        <w:footnoteReference w:id="1"/>
      </w:r>
      <w:r w:rsidRPr="00BF048E">
        <w:rPr>
          <w:rFonts w:ascii="Arial" w:hAnsi="Arial" w:cs="Arial"/>
          <w:bCs/>
          <w:sz w:val="24"/>
          <w:szCs w:val="24"/>
          <w:lang w:val="en-CA"/>
        </w:rPr>
        <w:t xml:space="preserve"> The OEB determined to use of preliminary UTRs to calculate 2024 Retail Service Transmission rates (RTSR) to improve regulatory efficiency, allowing for this data to feed into the rate applications including annual updates for electricity distributors on a timelier basis. The OEB also directed distributors to update their 2024 application with Hydro One Network Inc.’s proposed host RTSRs. </w:t>
      </w:r>
    </w:p>
    <w:p w14:paraId="00773220" w14:textId="347CF11B" w:rsidR="00BF048E" w:rsidRPr="00BF048E" w:rsidRDefault="00BF048E" w:rsidP="00BF048E">
      <w:pPr>
        <w:spacing w:after="0" w:line="276" w:lineRule="auto"/>
        <w:rPr>
          <w:rFonts w:ascii="Arial" w:hAnsi="Arial" w:cs="Arial"/>
          <w:bCs/>
          <w:sz w:val="24"/>
          <w:szCs w:val="24"/>
          <w:lang w:val="en-CA"/>
        </w:rPr>
      </w:pPr>
      <w:r w:rsidRPr="00BF048E">
        <w:rPr>
          <w:rFonts w:ascii="Arial" w:hAnsi="Arial" w:cs="Arial"/>
          <w:bCs/>
          <w:sz w:val="24"/>
          <w:szCs w:val="24"/>
          <w:lang w:val="en-CA"/>
        </w:rPr>
        <w:t xml:space="preserve">OEB staff has updated </w:t>
      </w:r>
      <w:r w:rsidR="002055A6">
        <w:rPr>
          <w:rFonts w:ascii="Arial" w:hAnsi="Arial" w:cs="Arial"/>
          <w:bCs/>
          <w:sz w:val="24"/>
          <w:szCs w:val="24"/>
          <w:lang w:val="en-CA"/>
        </w:rPr>
        <w:t>Enova</w:t>
      </w:r>
      <w:r w:rsidR="002055A6" w:rsidRPr="00BF048E">
        <w:rPr>
          <w:rFonts w:ascii="Arial" w:hAnsi="Arial" w:cs="Arial"/>
          <w:bCs/>
          <w:sz w:val="24"/>
          <w:szCs w:val="24"/>
          <w:lang w:val="en-CA"/>
        </w:rPr>
        <w:t xml:space="preserve">’s </w:t>
      </w:r>
      <w:r w:rsidRPr="00BF048E">
        <w:rPr>
          <w:rFonts w:ascii="Arial" w:hAnsi="Arial" w:cs="Arial"/>
          <w:bCs/>
          <w:sz w:val="24"/>
          <w:szCs w:val="24"/>
          <w:lang w:val="en-CA"/>
        </w:rPr>
        <w:t>rate generator</w:t>
      </w:r>
      <w:r w:rsidR="002055A6">
        <w:rPr>
          <w:rFonts w:ascii="Arial" w:hAnsi="Arial" w:cs="Arial"/>
          <w:bCs/>
          <w:sz w:val="24"/>
          <w:szCs w:val="24"/>
          <w:lang w:val="en-CA"/>
        </w:rPr>
        <w:t xml:space="preserve"> for each rate zone</w:t>
      </w:r>
      <w:r w:rsidRPr="00BF048E">
        <w:rPr>
          <w:rFonts w:ascii="Arial" w:hAnsi="Arial" w:cs="Arial"/>
          <w:bCs/>
          <w:sz w:val="24"/>
          <w:szCs w:val="24"/>
          <w:lang w:val="en-CA"/>
        </w:rPr>
        <w:t xml:space="preserve"> with the preliminary UTRs/and proposed host RTSR by HONI as follows:</w:t>
      </w:r>
    </w:p>
    <w:p w14:paraId="77CA9C96" w14:textId="77777777" w:rsidR="00BF048E" w:rsidRPr="00BF048E" w:rsidRDefault="00BF048E" w:rsidP="00BF048E">
      <w:pPr>
        <w:spacing w:after="0" w:line="276" w:lineRule="auto"/>
        <w:rPr>
          <w:rFonts w:ascii="Arial" w:hAnsi="Arial" w:cs="Arial"/>
          <w:b/>
          <w:sz w:val="24"/>
          <w:szCs w:val="24"/>
          <w:lang w:val="en-CA"/>
        </w:rPr>
      </w:pPr>
    </w:p>
    <w:p w14:paraId="32E611B8" w14:textId="77777777" w:rsidR="00BF048E" w:rsidRPr="00BF048E" w:rsidRDefault="00BF048E" w:rsidP="00BF048E">
      <w:pPr>
        <w:spacing w:after="0" w:line="276" w:lineRule="auto"/>
        <w:rPr>
          <w:rFonts w:ascii="Arial" w:hAnsi="Arial" w:cs="Arial"/>
          <w:b/>
          <w:sz w:val="24"/>
          <w:szCs w:val="24"/>
          <w:lang w:val="en-CA"/>
        </w:rPr>
      </w:pPr>
      <w:r w:rsidRPr="00BF048E">
        <w:rPr>
          <w:rFonts w:ascii="Arial" w:hAnsi="Arial" w:cs="Arial"/>
          <w:b/>
          <w:sz w:val="24"/>
          <w:szCs w:val="24"/>
          <w:lang w:val="en-CA"/>
        </w:rPr>
        <w:t>UTRs</w:t>
      </w:r>
    </w:p>
    <w:p w14:paraId="3F427C29" w14:textId="77777777" w:rsidR="00BF048E" w:rsidRPr="00BF048E" w:rsidRDefault="00BF048E" w:rsidP="00BF048E">
      <w:pPr>
        <w:spacing w:after="0" w:line="276" w:lineRule="auto"/>
        <w:rPr>
          <w:rFonts w:ascii="Arial" w:hAnsi="Arial" w:cs="Arial"/>
          <w:bCs/>
          <w:sz w:val="24"/>
          <w:szCs w:val="24"/>
          <w:lang w:val="en-CA"/>
        </w:rPr>
      </w:pPr>
      <w:r w:rsidRPr="00BF048E">
        <w:rPr>
          <w:rFonts w:ascii="Arial" w:hAnsi="Arial" w:cs="Arial"/>
          <w:b/>
          <w:noProof/>
          <w:sz w:val="24"/>
          <w:szCs w:val="24"/>
          <w:lang w:val="en-CA"/>
        </w:rPr>
        <mc:AlternateContent>
          <mc:Choice Requires="wps">
            <w:drawing>
              <wp:anchor distT="0" distB="0" distL="114300" distR="114300" simplePos="0" relativeHeight="251660288" behindDoc="0" locked="0" layoutInCell="1" allowOverlap="1" wp14:anchorId="5779CDAE" wp14:editId="76D47D6D">
                <wp:simplePos x="0" y="0"/>
                <wp:positionH relativeFrom="column">
                  <wp:posOffset>5455920</wp:posOffset>
                </wp:positionH>
                <wp:positionV relativeFrom="paragraph">
                  <wp:posOffset>368935</wp:posOffset>
                </wp:positionV>
                <wp:extent cx="609600" cy="586740"/>
                <wp:effectExtent l="0" t="0" r="19050" b="22860"/>
                <wp:wrapNone/>
                <wp:docPr id="93314079" name="Oval 1"/>
                <wp:cNvGraphicFramePr/>
                <a:graphic xmlns:a="http://schemas.openxmlformats.org/drawingml/2006/main">
                  <a:graphicData uri="http://schemas.microsoft.com/office/word/2010/wordprocessingShape">
                    <wps:wsp>
                      <wps:cNvSpPr/>
                      <wps:spPr>
                        <a:xfrm>
                          <a:off x="0" y="0"/>
                          <a:ext cx="609600" cy="58674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BC8E6" id="Oval 1" o:spid="_x0000_s1026" style="position:absolute;margin-left:429.6pt;margin-top:29.05pt;width:48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" filled="f" strokecolor="#c00000" strokeweight="1pt">
                <v:stroke joinstyle="miter"/>
              </v:oval>
            </w:pict>
          </mc:Fallback>
        </mc:AlternateContent>
      </w:r>
      <w:r w:rsidRPr="00BF048E">
        <w:rPr>
          <w:rFonts w:ascii="Arial" w:hAnsi="Arial" w:cs="Arial"/>
          <w:b/>
          <w:noProof/>
          <w:sz w:val="24"/>
          <w:szCs w:val="24"/>
          <w:lang w:val="en-CA"/>
        </w:rPr>
        <w:drawing>
          <wp:inline distT="0" distB="0" distL="0" distR="0" wp14:anchorId="50DCAA0B" wp14:editId="3C74541E">
            <wp:extent cx="5943600" cy="970280"/>
            <wp:effectExtent l="0" t="0" r="0" b="1270"/>
            <wp:docPr id="420403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03444" name="Picture 1" descr="A screenshot of a computer&#10;&#10;Description automatically generated"/>
                    <pic:cNvPicPr/>
                  </pic:nvPicPr>
                  <pic:blipFill>
                    <a:blip r:embed="rId7"/>
                    <a:stretch>
                      <a:fillRect/>
                    </a:stretch>
                  </pic:blipFill>
                  <pic:spPr>
                    <a:xfrm>
                      <a:off x="0" y="0"/>
                      <a:ext cx="5943600" cy="970280"/>
                    </a:xfrm>
                    <a:prstGeom prst="rect">
                      <a:avLst/>
                    </a:prstGeom>
                  </pic:spPr>
                </pic:pic>
              </a:graphicData>
            </a:graphic>
          </wp:inline>
        </w:drawing>
      </w:r>
    </w:p>
    <w:p w14:paraId="74A21333" w14:textId="77777777" w:rsidR="00BF048E" w:rsidRPr="00BF048E" w:rsidRDefault="00BF048E" w:rsidP="00BF048E">
      <w:pPr>
        <w:spacing w:after="0" w:line="276" w:lineRule="auto"/>
        <w:rPr>
          <w:rFonts w:ascii="Arial" w:hAnsi="Arial" w:cs="Arial"/>
          <w:b/>
          <w:sz w:val="24"/>
          <w:szCs w:val="24"/>
        </w:rPr>
      </w:pPr>
      <w:r w:rsidRPr="00BF048E">
        <w:rPr>
          <w:rFonts w:ascii="Arial" w:hAnsi="Arial" w:cs="Arial"/>
          <w:b/>
          <w:sz w:val="24"/>
          <w:szCs w:val="24"/>
        </w:rPr>
        <w:t>Hydro One Sub-Transmission Rates</w:t>
      </w:r>
    </w:p>
    <w:p w14:paraId="08C7715C" w14:textId="77777777" w:rsidR="00BF048E" w:rsidRPr="00BF048E" w:rsidRDefault="00BF048E" w:rsidP="00BF048E">
      <w:pPr>
        <w:spacing w:after="0" w:line="276" w:lineRule="auto"/>
        <w:rPr>
          <w:rFonts w:ascii="Arial" w:hAnsi="Arial" w:cs="Arial"/>
          <w:b/>
          <w:bCs/>
          <w:sz w:val="24"/>
          <w:szCs w:val="24"/>
        </w:rPr>
      </w:pPr>
      <w:r w:rsidRPr="00BF048E">
        <w:rPr>
          <w:rFonts w:ascii="Arial" w:hAnsi="Arial" w:cs="Arial"/>
          <w:bCs/>
          <w:noProof/>
          <w:sz w:val="24"/>
          <w:szCs w:val="24"/>
          <w:lang w:val="en-CA"/>
        </w:rPr>
        <mc:AlternateContent>
          <mc:Choice Requires="wps">
            <w:drawing>
              <wp:anchor distT="0" distB="0" distL="114300" distR="114300" simplePos="0" relativeHeight="251659264" behindDoc="0" locked="0" layoutInCell="1" allowOverlap="1" wp14:anchorId="55CBE0DC" wp14:editId="097E2939">
                <wp:simplePos x="0" y="0"/>
                <wp:positionH relativeFrom="column">
                  <wp:posOffset>5364480</wp:posOffset>
                </wp:positionH>
                <wp:positionV relativeFrom="paragraph">
                  <wp:posOffset>383540</wp:posOffset>
                </wp:positionV>
                <wp:extent cx="708660" cy="678180"/>
                <wp:effectExtent l="0" t="0" r="15240" b="26670"/>
                <wp:wrapNone/>
                <wp:docPr id="911314389" name="Oval 2"/>
                <wp:cNvGraphicFramePr/>
                <a:graphic xmlns:a="http://schemas.openxmlformats.org/drawingml/2006/main">
                  <a:graphicData uri="http://schemas.microsoft.com/office/word/2010/wordprocessingShape">
                    <wps:wsp>
                      <wps:cNvSpPr/>
                      <wps:spPr>
                        <a:xfrm>
                          <a:off x="0" y="0"/>
                          <a:ext cx="708660" cy="67818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A8A1E" id="Oval 2" o:spid="_x0000_s1026" style="position:absolute;margin-left:422.4pt;margin-top:30.2pt;width:55.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" filled="f" strokecolor="#c00000" strokeweight="1pt">
                <v:stroke joinstyle="miter"/>
              </v:oval>
            </w:pict>
          </mc:Fallback>
        </mc:AlternateContent>
      </w:r>
      <w:r w:rsidRPr="00BF048E">
        <w:rPr>
          <w:rFonts w:ascii="Arial" w:hAnsi="Arial" w:cs="Arial"/>
          <w:b/>
          <w:bCs/>
          <w:noProof/>
          <w:sz w:val="24"/>
          <w:szCs w:val="24"/>
        </w:rPr>
        <w:drawing>
          <wp:inline distT="0" distB="0" distL="0" distR="0" wp14:anchorId="48002641" wp14:editId="48C86E72">
            <wp:extent cx="5943600" cy="1124585"/>
            <wp:effectExtent l="0" t="0" r="0" b="0"/>
            <wp:docPr id="9177496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49613" name="Picture 1" descr="A screenshot of a computer&#10;&#10;Description automatically generated"/>
                    <pic:cNvPicPr/>
                  </pic:nvPicPr>
                  <pic:blipFill>
                    <a:blip r:embed="rId8"/>
                    <a:stretch>
                      <a:fillRect/>
                    </a:stretch>
                  </pic:blipFill>
                  <pic:spPr>
                    <a:xfrm>
                      <a:off x="0" y="0"/>
                      <a:ext cx="5943600" cy="1124585"/>
                    </a:xfrm>
                    <a:prstGeom prst="rect">
                      <a:avLst/>
                    </a:prstGeom>
                  </pic:spPr>
                </pic:pic>
              </a:graphicData>
            </a:graphic>
          </wp:inline>
        </w:drawing>
      </w:r>
    </w:p>
    <w:p w14:paraId="212321EE" w14:textId="77777777" w:rsidR="004962E4" w:rsidRDefault="004962E4" w:rsidP="00BF048E">
      <w:pPr>
        <w:spacing w:after="0" w:line="276" w:lineRule="auto"/>
        <w:rPr>
          <w:rFonts w:ascii="Arial" w:hAnsi="Arial" w:cs="Arial"/>
          <w:sz w:val="24"/>
          <w:szCs w:val="24"/>
        </w:rPr>
      </w:pPr>
    </w:p>
    <w:p w14:paraId="66548433" w14:textId="5F998F81" w:rsidR="00BF048E" w:rsidRDefault="00BF048E" w:rsidP="00BF048E">
      <w:pPr>
        <w:spacing w:after="0" w:line="276" w:lineRule="auto"/>
        <w:rPr>
          <w:rFonts w:ascii="Arial" w:hAnsi="Arial" w:cs="Arial"/>
          <w:sz w:val="24"/>
          <w:szCs w:val="24"/>
        </w:rPr>
      </w:pPr>
      <w:r w:rsidRPr="00BF048E">
        <w:rPr>
          <w:rFonts w:ascii="Arial" w:hAnsi="Arial" w:cs="Arial"/>
          <w:sz w:val="24"/>
          <w:szCs w:val="24"/>
        </w:rPr>
        <w:t xml:space="preserve">Question: </w:t>
      </w:r>
    </w:p>
    <w:p w14:paraId="3E6B24E0" w14:textId="77777777" w:rsidR="004962E4" w:rsidRPr="00BF048E" w:rsidRDefault="004962E4" w:rsidP="00BF048E">
      <w:pPr>
        <w:spacing w:after="0" w:line="276" w:lineRule="auto"/>
        <w:rPr>
          <w:rFonts w:ascii="Arial" w:hAnsi="Arial" w:cs="Arial"/>
          <w:sz w:val="24"/>
          <w:szCs w:val="24"/>
        </w:rPr>
      </w:pPr>
    </w:p>
    <w:p w14:paraId="5360980E" w14:textId="3A4D68E3" w:rsidR="00BF048E" w:rsidRPr="004962E4" w:rsidRDefault="00BF048E" w:rsidP="004962E4">
      <w:pPr>
        <w:pStyle w:val="ListParagraph"/>
        <w:numPr>
          <w:ilvl w:val="0"/>
          <w:numId w:val="3"/>
        </w:numPr>
        <w:spacing w:after="0" w:line="276" w:lineRule="auto"/>
        <w:rPr>
          <w:rFonts w:ascii="Arial" w:hAnsi="Arial" w:cs="Arial"/>
          <w:bCs/>
          <w:sz w:val="24"/>
          <w:szCs w:val="24"/>
        </w:rPr>
      </w:pPr>
      <w:r w:rsidRPr="004962E4">
        <w:rPr>
          <w:rFonts w:ascii="Arial" w:hAnsi="Arial" w:cs="Arial"/>
          <w:bCs/>
          <w:sz w:val="24"/>
          <w:szCs w:val="24"/>
        </w:rPr>
        <w:t xml:space="preserve">Please confirm the accuracy of the Rate Generator update, as well as the accuracy of the resulting Retail Transmission Service Rates following these updates. </w:t>
      </w:r>
    </w:p>
    <w:p w14:paraId="183416B2" w14:textId="77777777" w:rsidR="0097687D" w:rsidRDefault="0097687D" w:rsidP="00BF048E">
      <w:pPr>
        <w:spacing w:after="0" w:line="276" w:lineRule="auto"/>
        <w:rPr>
          <w:rFonts w:ascii="Arial" w:hAnsi="Arial" w:cs="Arial"/>
          <w:sz w:val="24"/>
          <w:szCs w:val="24"/>
        </w:rPr>
      </w:pPr>
    </w:p>
    <w:p w14:paraId="36AA3454" w14:textId="77777777" w:rsidR="00E676BF" w:rsidRDefault="00E676BF" w:rsidP="00E676BF">
      <w:pPr>
        <w:spacing w:after="0" w:line="276" w:lineRule="auto"/>
        <w:rPr>
          <w:rFonts w:ascii="Arial" w:hAnsi="Arial" w:cs="Arial"/>
          <w:sz w:val="24"/>
          <w:szCs w:val="24"/>
        </w:rPr>
      </w:pPr>
    </w:p>
    <w:p w14:paraId="24E5ED6E" w14:textId="77777777" w:rsidR="00BE2ABD" w:rsidRDefault="00BE2ABD" w:rsidP="00E96617">
      <w:pPr>
        <w:spacing w:after="0" w:line="276" w:lineRule="auto"/>
        <w:rPr>
          <w:rFonts w:ascii="Arial" w:hAnsi="Arial" w:cs="Arial"/>
          <w:b/>
          <w:bCs/>
          <w:sz w:val="24"/>
          <w:szCs w:val="24"/>
        </w:rPr>
      </w:pPr>
    </w:p>
    <w:p w14:paraId="58D24F97" w14:textId="77777777" w:rsidR="00BE2ABD" w:rsidRDefault="00BE2ABD" w:rsidP="00E96617">
      <w:pPr>
        <w:spacing w:after="0" w:line="276" w:lineRule="auto"/>
        <w:rPr>
          <w:rFonts w:ascii="Arial" w:hAnsi="Arial" w:cs="Arial"/>
          <w:b/>
          <w:bCs/>
          <w:sz w:val="24"/>
          <w:szCs w:val="24"/>
        </w:rPr>
      </w:pPr>
    </w:p>
    <w:p w14:paraId="2DEA53B7" w14:textId="77777777" w:rsidR="00BE2ABD" w:rsidRDefault="00BE2ABD" w:rsidP="00E96617">
      <w:pPr>
        <w:spacing w:after="0" w:line="276" w:lineRule="auto"/>
        <w:rPr>
          <w:rFonts w:ascii="Arial" w:hAnsi="Arial" w:cs="Arial"/>
          <w:b/>
          <w:bCs/>
          <w:sz w:val="24"/>
          <w:szCs w:val="24"/>
        </w:rPr>
      </w:pPr>
    </w:p>
    <w:p w14:paraId="54E317C7" w14:textId="2A9F8E92"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lastRenderedPageBreak/>
        <w:t>Staff</w:t>
      </w:r>
      <w:r>
        <w:rPr>
          <w:rFonts w:ascii="Arial" w:hAnsi="Arial" w:cs="Arial"/>
          <w:b/>
          <w:bCs/>
          <w:color w:val="000000"/>
          <w:kern w:val="0"/>
          <w:sz w:val="24"/>
          <w:szCs w:val="24"/>
        </w:rPr>
        <w:t xml:space="preserve"> Questions</w:t>
      </w:r>
      <w:r w:rsidRPr="00E11150">
        <w:rPr>
          <w:rFonts w:ascii="Arial" w:hAnsi="Arial" w:cs="Arial"/>
          <w:b/>
          <w:bCs/>
          <w:color w:val="000000"/>
          <w:kern w:val="0"/>
          <w:sz w:val="24"/>
          <w:szCs w:val="24"/>
        </w:rPr>
        <w:t>-</w:t>
      </w:r>
      <w:r>
        <w:rPr>
          <w:rFonts w:ascii="Arial" w:hAnsi="Arial" w:cs="Arial"/>
          <w:b/>
          <w:bCs/>
          <w:color w:val="000000"/>
          <w:kern w:val="0"/>
          <w:sz w:val="24"/>
          <w:szCs w:val="24"/>
        </w:rPr>
        <w:t>3</w:t>
      </w:r>
    </w:p>
    <w:p w14:paraId="27141B11"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p>
    <w:p w14:paraId="495F129F"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Ref 1: Manager’s Summary, pages 19 &amp; 20, August 18, 2023</w:t>
      </w:r>
    </w:p>
    <w:p w14:paraId="5F5A477C"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Ref 2: EB-2022-0006, Kitchener-Wilmot Hydro Inc., Waterloo North Hydro Inc., Decision and Order, June 28, 2022, p. 32</w:t>
      </w:r>
    </w:p>
    <w:p w14:paraId="25754534" w14:textId="77777777" w:rsidR="00E11150" w:rsidRPr="00E11150" w:rsidRDefault="00E11150" w:rsidP="00E11150">
      <w:pPr>
        <w:autoSpaceDE w:val="0"/>
        <w:autoSpaceDN w:val="0"/>
        <w:adjustRightInd w:val="0"/>
        <w:spacing w:after="0" w:line="276" w:lineRule="auto"/>
        <w:rPr>
          <w:rFonts w:ascii="Arial" w:hAnsi="Arial" w:cs="Arial"/>
          <w:color w:val="000000"/>
          <w:kern w:val="0"/>
          <w:sz w:val="24"/>
          <w:szCs w:val="24"/>
        </w:rPr>
      </w:pPr>
    </w:p>
    <w:p w14:paraId="1EEC979C" w14:textId="77777777" w:rsidR="00E11150" w:rsidRPr="00E11150" w:rsidRDefault="00E11150" w:rsidP="00E11150">
      <w:pPr>
        <w:autoSpaceDE w:val="0"/>
        <w:autoSpaceDN w:val="0"/>
        <w:adjustRightInd w:val="0"/>
        <w:spacing w:after="0" w:line="276" w:lineRule="auto"/>
        <w:rPr>
          <w:rFonts w:ascii="Arial" w:hAnsi="Arial" w:cs="Arial"/>
          <w:color w:val="000000"/>
          <w:kern w:val="0"/>
          <w:sz w:val="24"/>
          <w:szCs w:val="24"/>
        </w:rPr>
      </w:pPr>
      <w:r w:rsidRPr="00E11150">
        <w:rPr>
          <w:rFonts w:ascii="Arial" w:hAnsi="Arial" w:cs="Arial"/>
          <w:color w:val="000000"/>
          <w:kern w:val="0"/>
          <w:sz w:val="24"/>
          <w:szCs w:val="24"/>
        </w:rPr>
        <w:t xml:space="preserve">Enova Power stated that as per the EB-2022-0006 decision relating to the merger of KWHI and WNHI, the effective date of Account 1508 – Other Regulatory Assets, Sub-Account Impact of Post-Merger Accounting Policy Changes is January 1, 2023. </w:t>
      </w:r>
    </w:p>
    <w:p w14:paraId="75810C97" w14:textId="77777777" w:rsidR="00E11150" w:rsidRPr="00E11150" w:rsidRDefault="00E11150" w:rsidP="00E11150">
      <w:pPr>
        <w:autoSpaceDE w:val="0"/>
        <w:autoSpaceDN w:val="0"/>
        <w:adjustRightInd w:val="0"/>
        <w:spacing w:after="0" w:line="276" w:lineRule="auto"/>
        <w:rPr>
          <w:rFonts w:ascii="Arial" w:hAnsi="Arial" w:cs="Arial"/>
          <w:color w:val="000000"/>
          <w:kern w:val="0"/>
          <w:sz w:val="24"/>
          <w:szCs w:val="24"/>
        </w:rPr>
      </w:pPr>
    </w:p>
    <w:p w14:paraId="72CD03A6" w14:textId="77777777" w:rsidR="00E11150" w:rsidRPr="00E11150" w:rsidRDefault="00E11150" w:rsidP="00E11150">
      <w:pPr>
        <w:autoSpaceDE w:val="0"/>
        <w:autoSpaceDN w:val="0"/>
        <w:adjustRightInd w:val="0"/>
        <w:spacing w:after="0" w:line="276" w:lineRule="auto"/>
        <w:rPr>
          <w:rFonts w:ascii="Arial" w:hAnsi="Arial" w:cs="Arial"/>
          <w:color w:val="000000"/>
          <w:kern w:val="0"/>
          <w:sz w:val="24"/>
          <w:szCs w:val="24"/>
        </w:rPr>
      </w:pPr>
      <w:r w:rsidRPr="00E11150">
        <w:rPr>
          <w:rFonts w:ascii="Arial" w:hAnsi="Arial" w:cs="Arial"/>
          <w:color w:val="000000"/>
          <w:kern w:val="0"/>
          <w:sz w:val="24"/>
          <w:szCs w:val="24"/>
        </w:rPr>
        <w:t xml:space="preserve">Enova Power has provided Table 11 in its application which demonstrates the value of the assets beginning in September 2022. Table 11 also shows the forecasted balance of a credit of $423,824 as </w:t>
      </w:r>
      <w:proofErr w:type="gramStart"/>
      <w:r w:rsidRPr="00E11150">
        <w:rPr>
          <w:rFonts w:ascii="Arial" w:hAnsi="Arial" w:cs="Arial"/>
          <w:color w:val="000000"/>
          <w:kern w:val="0"/>
          <w:sz w:val="24"/>
          <w:szCs w:val="24"/>
        </w:rPr>
        <w:t>at</w:t>
      </w:r>
      <w:proofErr w:type="gramEnd"/>
      <w:r w:rsidRPr="00E11150">
        <w:rPr>
          <w:rFonts w:ascii="Arial" w:hAnsi="Arial" w:cs="Arial"/>
          <w:color w:val="000000"/>
          <w:kern w:val="0"/>
          <w:sz w:val="24"/>
          <w:szCs w:val="24"/>
        </w:rPr>
        <w:t xml:space="preserve"> December 31, 2023 in Account 1508 – Other Regulatory Assets, Sub-Account Impact of Post-Merger Accounting Policy Changes.</w:t>
      </w:r>
    </w:p>
    <w:p w14:paraId="3E11EED1" w14:textId="77777777" w:rsidR="00E11150" w:rsidRPr="00E11150" w:rsidRDefault="00E11150" w:rsidP="00E11150">
      <w:pPr>
        <w:autoSpaceDE w:val="0"/>
        <w:autoSpaceDN w:val="0"/>
        <w:adjustRightInd w:val="0"/>
        <w:spacing w:after="0" w:line="276" w:lineRule="auto"/>
        <w:rPr>
          <w:rFonts w:ascii="Arial" w:hAnsi="Arial" w:cs="Arial"/>
          <w:color w:val="000000"/>
          <w:kern w:val="0"/>
          <w:sz w:val="24"/>
          <w:szCs w:val="24"/>
        </w:rPr>
      </w:pPr>
    </w:p>
    <w:p w14:paraId="510396F9"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 xml:space="preserve">Question(s): </w:t>
      </w:r>
    </w:p>
    <w:p w14:paraId="11C3C080" w14:textId="77777777" w:rsidR="00E11150" w:rsidRPr="00E11150" w:rsidRDefault="00E11150" w:rsidP="00E11150">
      <w:pPr>
        <w:autoSpaceDE w:val="0"/>
        <w:autoSpaceDN w:val="0"/>
        <w:adjustRightInd w:val="0"/>
        <w:spacing w:after="0" w:line="276" w:lineRule="auto"/>
        <w:rPr>
          <w:rFonts w:ascii="Arial" w:hAnsi="Arial" w:cs="Arial"/>
          <w:kern w:val="0"/>
          <w:sz w:val="24"/>
          <w:szCs w:val="24"/>
        </w:rPr>
      </w:pPr>
    </w:p>
    <w:p w14:paraId="1DBCB383"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t xml:space="preserve">Please explain why Enova Power has calculated the forecasted balance Account 1508 – Other Regulatory Assets, Sub-Account Impact of Post-Merger Accounting Policy Changes with a September 1, </w:t>
      </w:r>
      <w:proofErr w:type="gramStart"/>
      <w:r w:rsidRPr="00E11150">
        <w:rPr>
          <w:rFonts w:ascii="Arial" w:hAnsi="Arial" w:cs="Arial"/>
          <w:sz w:val="24"/>
          <w:szCs w:val="24"/>
        </w:rPr>
        <w:t>2022</w:t>
      </w:r>
      <w:proofErr w:type="gramEnd"/>
      <w:r w:rsidRPr="00E11150">
        <w:rPr>
          <w:rFonts w:ascii="Arial" w:hAnsi="Arial" w:cs="Arial"/>
          <w:sz w:val="24"/>
          <w:szCs w:val="24"/>
        </w:rPr>
        <w:t xml:space="preserve"> start date, as opposed to a January 1, 2023 start date, given the OEB EB-2022-0006 decision.</w:t>
      </w:r>
    </w:p>
    <w:p w14:paraId="6B3F673A" w14:textId="77777777" w:rsidR="00E11150" w:rsidRPr="00E11150" w:rsidRDefault="00E11150" w:rsidP="00E11150">
      <w:pPr>
        <w:spacing w:after="0" w:line="276" w:lineRule="auto"/>
        <w:ind w:left="720"/>
        <w:contextualSpacing/>
        <w:rPr>
          <w:rFonts w:ascii="Arial" w:hAnsi="Arial" w:cs="Arial"/>
          <w:sz w:val="24"/>
          <w:szCs w:val="24"/>
        </w:rPr>
      </w:pPr>
    </w:p>
    <w:p w14:paraId="7A681693"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t xml:space="preserve">Please explain why there are no capital additions forecasted for the 2023 calendar year (i.e., to December 31, 2023) which should show cumulative differences between the WNHI net property, plant and equipment (PP&amp;E) under the pre-merger capitalization policy and its net PP&amp;E under the post-merger capitalization policy. </w:t>
      </w:r>
    </w:p>
    <w:p w14:paraId="06370502" w14:textId="77777777" w:rsidR="00E11150" w:rsidRPr="00E11150" w:rsidRDefault="00E11150" w:rsidP="00E11150">
      <w:pPr>
        <w:spacing w:after="0" w:line="276" w:lineRule="auto"/>
        <w:ind w:left="720"/>
        <w:contextualSpacing/>
        <w:rPr>
          <w:rFonts w:ascii="Arial" w:hAnsi="Arial" w:cs="Arial"/>
          <w:sz w:val="24"/>
          <w:szCs w:val="24"/>
        </w:rPr>
      </w:pPr>
    </w:p>
    <w:p w14:paraId="07C7DE18"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t xml:space="preserve">Please confirm that the 2023 depreciation should also show cumulative differences between the WNHI net PP&amp;E under the pre-merger depreciation policy and its net PP&amp;E under the post-merger depreciation policy. </w:t>
      </w:r>
    </w:p>
    <w:p w14:paraId="199FF352" w14:textId="77777777" w:rsidR="00E11150" w:rsidRPr="00E11150" w:rsidRDefault="00E11150" w:rsidP="00E11150">
      <w:pPr>
        <w:spacing w:after="0" w:line="276" w:lineRule="auto"/>
        <w:ind w:left="720"/>
        <w:contextualSpacing/>
        <w:rPr>
          <w:rFonts w:ascii="Arial" w:hAnsi="Arial" w:cs="Arial"/>
          <w:sz w:val="24"/>
          <w:szCs w:val="24"/>
        </w:rPr>
      </w:pPr>
    </w:p>
    <w:p w14:paraId="284657E6"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t>Please confirm that deprecation has been forecasted to December 31, 2023.</w:t>
      </w:r>
    </w:p>
    <w:p w14:paraId="2DA6D47E" w14:textId="77777777" w:rsidR="00E11150" w:rsidRPr="00E11150" w:rsidRDefault="00E11150" w:rsidP="00E11150">
      <w:pPr>
        <w:spacing w:after="0" w:line="276" w:lineRule="auto"/>
        <w:ind w:left="720"/>
        <w:contextualSpacing/>
        <w:rPr>
          <w:rFonts w:ascii="Arial" w:hAnsi="Arial" w:cs="Arial"/>
          <w:sz w:val="24"/>
          <w:szCs w:val="24"/>
        </w:rPr>
      </w:pPr>
    </w:p>
    <w:p w14:paraId="7432B99E"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t>Please explain why the 2022 depreciation amounts in Table 11 are different (as opposed to the same values), given that the start date of the DVA is January 1, 2023, as per the OEB EB-2022-0006 decision.</w:t>
      </w:r>
    </w:p>
    <w:p w14:paraId="5907C60D" w14:textId="77777777" w:rsidR="00E11150" w:rsidRPr="00E11150" w:rsidRDefault="00E11150" w:rsidP="00E11150">
      <w:pPr>
        <w:spacing w:after="0" w:line="276" w:lineRule="auto"/>
        <w:ind w:left="720"/>
        <w:contextualSpacing/>
        <w:rPr>
          <w:rFonts w:ascii="Arial" w:hAnsi="Arial" w:cs="Arial"/>
          <w:sz w:val="24"/>
          <w:szCs w:val="24"/>
        </w:rPr>
      </w:pPr>
    </w:p>
    <w:p w14:paraId="1A45D10B" w14:textId="77777777" w:rsidR="00E11150" w:rsidRPr="00E11150" w:rsidRDefault="00E11150" w:rsidP="00E11150">
      <w:pPr>
        <w:numPr>
          <w:ilvl w:val="0"/>
          <w:numId w:val="10"/>
        </w:numPr>
        <w:spacing w:after="0" w:line="276" w:lineRule="auto"/>
        <w:contextualSpacing/>
        <w:rPr>
          <w:rFonts w:ascii="Arial" w:hAnsi="Arial" w:cs="Arial"/>
          <w:sz w:val="24"/>
          <w:szCs w:val="24"/>
        </w:rPr>
      </w:pPr>
      <w:r w:rsidRPr="00E11150">
        <w:rPr>
          <w:rFonts w:ascii="Arial" w:hAnsi="Arial" w:cs="Arial"/>
          <w:sz w:val="24"/>
          <w:szCs w:val="24"/>
        </w:rPr>
        <w:lastRenderedPageBreak/>
        <w:t xml:space="preserve">Please update Table 11 as applicable to reflect all of the above questions, including showing a revised December 31, </w:t>
      </w:r>
      <w:proofErr w:type="gramStart"/>
      <w:r w:rsidRPr="00E11150">
        <w:rPr>
          <w:rFonts w:ascii="Arial" w:hAnsi="Arial" w:cs="Arial"/>
          <w:sz w:val="24"/>
          <w:szCs w:val="24"/>
        </w:rPr>
        <w:t>2023</w:t>
      </w:r>
      <w:proofErr w:type="gramEnd"/>
      <w:r w:rsidRPr="00E11150">
        <w:rPr>
          <w:rFonts w:ascii="Arial" w:hAnsi="Arial" w:cs="Arial"/>
          <w:sz w:val="24"/>
          <w:szCs w:val="24"/>
        </w:rPr>
        <w:t xml:space="preserve"> forecasted balance in Account 1508 – Other Regulatory Assets, Sub-Account Impact of Post-Merger Accounting Policy Changes.</w:t>
      </w:r>
    </w:p>
    <w:p w14:paraId="03715131" w14:textId="77777777" w:rsidR="00E11150" w:rsidRDefault="00E11150" w:rsidP="00E11150">
      <w:pPr>
        <w:spacing w:after="0" w:line="276" w:lineRule="auto"/>
        <w:ind w:left="720"/>
        <w:contextualSpacing/>
        <w:rPr>
          <w:rFonts w:ascii="Arial" w:hAnsi="Arial" w:cs="Arial"/>
          <w:sz w:val="24"/>
          <w:szCs w:val="24"/>
        </w:rPr>
      </w:pPr>
    </w:p>
    <w:p w14:paraId="76D87AD7" w14:textId="77777777" w:rsidR="00E11150" w:rsidRDefault="00E11150" w:rsidP="00E11150">
      <w:pPr>
        <w:spacing w:after="0" w:line="276" w:lineRule="auto"/>
        <w:ind w:left="720"/>
        <w:contextualSpacing/>
        <w:rPr>
          <w:rFonts w:ascii="Arial" w:hAnsi="Arial" w:cs="Arial"/>
          <w:sz w:val="24"/>
          <w:szCs w:val="24"/>
        </w:rPr>
      </w:pPr>
    </w:p>
    <w:p w14:paraId="769802EB" w14:textId="77777777" w:rsidR="00E11150" w:rsidRPr="00E11150" w:rsidRDefault="00E11150" w:rsidP="00E11150">
      <w:pPr>
        <w:spacing w:after="0" w:line="276" w:lineRule="auto"/>
        <w:ind w:left="720"/>
        <w:contextualSpacing/>
        <w:rPr>
          <w:rFonts w:ascii="Arial" w:hAnsi="Arial" w:cs="Arial"/>
          <w:sz w:val="24"/>
          <w:szCs w:val="24"/>
        </w:rPr>
      </w:pPr>
    </w:p>
    <w:p w14:paraId="14E1C758" w14:textId="047C185E"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Staff Questions-</w:t>
      </w:r>
      <w:r>
        <w:rPr>
          <w:rFonts w:ascii="Arial" w:hAnsi="Arial" w:cs="Arial"/>
          <w:b/>
          <w:bCs/>
          <w:color w:val="000000"/>
          <w:kern w:val="0"/>
          <w:sz w:val="24"/>
          <w:szCs w:val="24"/>
        </w:rPr>
        <w:t>4</w:t>
      </w:r>
    </w:p>
    <w:p w14:paraId="35685D3E"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p>
    <w:p w14:paraId="7FCDF0F5"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Ref 1: EB-2022-0006, Kitchener-Wilmot Hydro Inc., Waterloo North Hydro Inc., Accounting Order, July 28, 2022</w:t>
      </w:r>
    </w:p>
    <w:p w14:paraId="1AA1D441"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Ref 2: EB-2022-0006, Kitchener-Wilmot Hydro Inc., Waterloo North Hydro Inc., Decision and Order, June 28, 2022, p. 32</w:t>
      </w:r>
    </w:p>
    <w:p w14:paraId="4D586ECB"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Ref 3: Manager’s Summary, pages 19 &amp; 20, August 18, 2023</w:t>
      </w:r>
    </w:p>
    <w:p w14:paraId="549F4FE4" w14:textId="77777777" w:rsidR="00E11150" w:rsidRPr="00E11150" w:rsidRDefault="00E11150" w:rsidP="00E11150">
      <w:pPr>
        <w:spacing w:after="0" w:line="276" w:lineRule="auto"/>
        <w:rPr>
          <w:rFonts w:ascii="Arial" w:hAnsi="Arial" w:cs="Arial"/>
          <w:sz w:val="24"/>
          <w:szCs w:val="24"/>
        </w:rPr>
      </w:pPr>
    </w:p>
    <w:p w14:paraId="7EC8B81D" w14:textId="77777777" w:rsidR="00E11150" w:rsidRPr="00E11150" w:rsidRDefault="00E11150" w:rsidP="00E11150">
      <w:pPr>
        <w:spacing w:after="0" w:line="276" w:lineRule="auto"/>
        <w:rPr>
          <w:rFonts w:ascii="Arial" w:hAnsi="Arial" w:cs="Arial"/>
          <w:sz w:val="24"/>
          <w:szCs w:val="24"/>
        </w:rPr>
      </w:pPr>
      <w:r w:rsidRPr="00E11150">
        <w:rPr>
          <w:rFonts w:ascii="Arial" w:hAnsi="Arial" w:cs="Arial"/>
          <w:sz w:val="24"/>
          <w:szCs w:val="24"/>
        </w:rPr>
        <w:t>The OEB’s EB-2022-0006 Accounting Order required Enova Power to establish and use Account 1508 Other Regulatory Assets, sub account Impact of Post-Merger Accounting Policy Changes to record the cumulative difference between WNHI net PP&amp;E under the pre-merger capitalization policy and pre-merger depreciation policy and its net PP&amp;E under the post-merger capitalization policy and post-merger depreciation policy.</w:t>
      </w:r>
    </w:p>
    <w:p w14:paraId="754C2C04" w14:textId="77777777" w:rsidR="00E11150" w:rsidRPr="00E11150" w:rsidRDefault="00E11150" w:rsidP="00E11150">
      <w:pPr>
        <w:spacing w:after="0" w:line="276" w:lineRule="auto"/>
        <w:rPr>
          <w:rFonts w:ascii="Arial" w:hAnsi="Arial" w:cs="Arial"/>
          <w:sz w:val="24"/>
          <w:szCs w:val="24"/>
        </w:rPr>
      </w:pPr>
    </w:p>
    <w:p w14:paraId="06417C7C" w14:textId="77777777" w:rsidR="00E11150" w:rsidRPr="00E11150" w:rsidRDefault="00E11150" w:rsidP="00E11150">
      <w:pPr>
        <w:spacing w:after="0" w:line="276" w:lineRule="auto"/>
        <w:rPr>
          <w:rFonts w:ascii="Arial" w:hAnsi="Arial" w:cs="Arial"/>
          <w:sz w:val="24"/>
          <w:szCs w:val="24"/>
        </w:rPr>
      </w:pPr>
      <w:r w:rsidRPr="00E11150">
        <w:rPr>
          <w:rFonts w:ascii="Arial" w:hAnsi="Arial" w:cs="Arial"/>
          <w:sz w:val="24"/>
          <w:szCs w:val="24"/>
        </w:rPr>
        <w:t>In its EB-2022-0006 decision and order, the OEB determined that the account will only reflect changes of WNHI adopting KWHI’s accounting policies (including depreciation estimates) and not capture impacts from both legacy distributors.</w:t>
      </w:r>
    </w:p>
    <w:p w14:paraId="19514B3C" w14:textId="77777777" w:rsidR="00E11150" w:rsidRPr="00E11150" w:rsidRDefault="00E11150" w:rsidP="00E11150">
      <w:pPr>
        <w:spacing w:after="0" w:line="276" w:lineRule="auto"/>
        <w:rPr>
          <w:rFonts w:ascii="Arial" w:hAnsi="Arial" w:cs="Arial"/>
          <w:sz w:val="24"/>
          <w:szCs w:val="24"/>
        </w:rPr>
      </w:pPr>
    </w:p>
    <w:p w14:paraId="5EBFFA63" w14:textId="77777777" w:rsidR="00E11150" w:rsidRPr="00E11150" w:rsidRDefault="00E11150" w:rsidP="00E11150">
      <w:pPr>
        <w:spacing w:after="0" w:line="276" w:lineRule="auto"/>
        <w:rPr>
          <w:rFonts w:ascii="Arial" w:hAnsi="Arial" w:cs="Arial"/>
          <w:sz w:val="24"/>
          <w:szCs w:val="24"/>
        </w:rPr>
      </w:pPr>
      <w:r w:rsidRPr="00E11150">
        <w:rPr>
          <w:rFonts w:ascii="Arial" w:hAnsi="Arial" w:cs="Arial"/>
          <w:sz w:val="24"/>
          <w:szCs w:val="24"/>
        </w:rPr>
        <w:t>Enova Power noted that all new assets are adopting Enova Power’s capitalization policy which is the same as the legacy utilities.</w:t>
      </w:r>
    </w:p>
    <w:p w14:paraId="05F58DA5" w14:textId="77777777" w:rsidR="00E11150" w:rsidRPr="00E11150" w:rsidRDefault="00E11150" w:rsidP="00E11150">
      <w:pPr>
        <w:spacing w:after="0" w:line="276" w:lineRule="auto"/>
        <w:rPr>
          <w:rFonts w:ascii="Arial" w:hAnsi="Arial" w:cs="Arial"/>
          <w:sz w:val="24"/>
          <w:szCs w:val="24"/>
        </w:rPr>
      </w:pPr>
    </w:p>
    <w:p w14:paraId="3847B913" w14:textId="77777777" w:rsidR="00E11150" w:rsidRPr="00E11150" w:rsidRDefault="00E11150" w:rsidP="00E11150">
      <w:pPr>
        <w:autoSpaceDE w:val="0"/>
        <w:autoSpaceDN w:val="0"/>
        <w:adjustRightInd w:val="0"/>
        <w:spacing w:after="0" w:line="276" w:lineRule="auto"/>
        <w:rPr>
          <w:rFonts w:ascii="Arial" w:hAnsi="Arial" w:cs="Arial"/>
          <w:b/>
          <w:bCs/>
          <w:color w:val="000000"/>
          <w:kern w:val="0"/>
          <w:sz w:val="24"/>
          <w:szCs w:val="24"/>
        </w:rPr>
      </w:pPr>
      <w:r w:rsidRPr="00E11150">
        <w:rPr>
          <w:rFonts w:ascii="Arial" w:hAnsi="Arial" w:cs="Arial"/>
          <w:b/>
          <w:bCs/>
          <w:color w:val="000000"/>
          <w:kern w:val="0"/>
          <w:sz w:val="24"/>
          <w:szCs w:val="24"/>
        </w:rPr>
        <w:t xml:space="preserve">Question(s): </w:t>
      </w:r>
    </w:p>
    <w:p w14:paraId="3293E858" w14:textId="77777777" w:rsidR="00E11150" w:rsidRPr="00E11150" w:rsidRDefault="00E11150" w:rsidP="00E11150">
      <w:pPr>
        <w:spacing w:after="0" w:line="276" w:lineRule="auto"/>
        <w:ind w:left="720"/>
        <w:contextualSpacing/>
        <w:rPr>
          <w:rFonts w:ascii="Arial" w:hAnsi="Arial" w:cs="Arial"/>
          <w:sz w:val="24"/>
          <w:szCs w:val="24"/>
        </w:rPr>
      </w:pPr>
    </w:p>
    <w:p w14:paraId="6F4534A8" w14:textId="77777777" w:rsidR="00E11150" w:rsidRPr="00E11150" w:rsidRDefault="00E11150" w:rsidP="00E11150">
      <w:pPr>
        <w:numPr>
          <w:ilvl w:val="0"/>
          <w:numId w:val="11"/>
        </w:numPr>
        <w:spacing w:after="0" w:line="276" w:lineRule="auto"/>
        <w:contextualSpacing/>
        <w:rPr>
          <w:rFonts w:ascii="Arial" w:hAnsi="Arial" w:cs="Arial"/>
          <w:sz w:val="24"/>
          <w:szCs w:val="24"/>
        </w:rPr>
      </w:pPr>
      <w:r w:rsidRPr="00E11150">
        <w:rPr>
          <w:rFonts w:ascii="Arial" w:hAnsi="Arial" w:cs="Arial"/>
          <w:sz w:val="24"/>
          <w:szCs w:val="24"/>
        </w:rPr>
        <w:t>Please confirm that the PP&amp;E amounts recorded in Account 1508 – Other Regulatory Assets, Sub-Account Impact of Post-Merger Accounting Policy Changes relate to PP&amp;E of the former WNHI and not both WNHI and KWHI.</w:t>
      </w:r>
    </w:p>
    <w:p w14:paraId="4D02162E" w14:textId="77777777" w:rsidR="00E11150" w:rsidRPr="00E11150" w:rsidRDefault="00E11150" w:rsidP="00E11150">
      <w:pPr>
        <w:spacing w:after="0" w:line="276" w:lineRule="auto"/>
        <w:ind w:left="720"/>
        <w:contextualSpacing/>
        <w:rPr>
          <w:rFonts w:ascii="Arial" w:hAnsi="Arial" w:cs="Arial"/>
          <w:sz w:val="24"/>
          <w:szCs w:val="24"/>
        </w:rPr>
      </w:pPr>
    </w:p>
    <w:p w14:paraId="6419B402" w14:textId="77777777" w:rsidR="00E11150" w:rsidRPr="00E11150" w:rsidRDefault="00E11150" w:rsidP="00E11150">
      <w:pPr>
        <w:numPr>
          <w:ilvl w:val="0"/>
          <w:numId w:val="11"/>
        </w:numPr>
        <w:spacing w:after="0" w:line="276" w:lineRule="auto"/>
        <w:contextualSpacing/>
        <w:rPr>
          <w:rFonts w:ascii="Arial" w:hAnsi="Arial" w:cs="Arial"/>
          <w:sz w:val="24"/>
          <w:szCs w:val="24"/>
        </w:rPr>
      </w:pPr>
      <w:r w:rsidRPr="00E11150">
        <w:rPr>
          <w:rFonts w:ascii="Arial" w:hAnsi="Arial" w:cs="Arial"/>
          <w:sz w:val="24"/>
          <w:szCs w:val="24"/>
        </w:rPr>
        <w:t>Please explain at a high level the drivers and the nature of significant amounts recorded in Account 1508 – Other Regulatory Assets, Sub-Account Impact of Post-Merger Accounting Policy Changes.</w:t>
      </w:r>
    </w:p>
    <w:p w14:paraId="491B8DA3" w14:textId="77777777" w:rsidR="00E11150" w:rsidRPr="00E11150" w:rsidRDefault="00E11150" w:rsidP="00E11150">
      <w:pPr>
        <w:spacing w:after="0" w:line="276" w:lineRule="auto"/>
        <w:ind w:left="720"/>
        <w:contextualSpacing/>
        <w:rPr>
          <w:rFonts w:ascii="Arial" w:hAnsi="Arial" w:cs="Arial"/>
          <w:sz w:val="24"/>
          <w:szCs w:val="24"/>
        </w:rPr>
      </w:pPr>
    </w:p>
    <w:p w14:paraId="4115890C" w14:textId="77777777" w:rsidR="00E11150" w:rsidRPr="00E11150" w:rsidRDefault="00E11150" w:rsidP="00E11150">
      <w:pPr>
        <w:numPr>
          <w:ilvl w:val="0"/>
          <w:numId w:val="11"/>
        </w:numPr>
        <w:spacing w:after="0" w:line="276" w:lineRule="auto"/>
        <w:contextualSpacing/>
        <w:rPr>
          <w:rFonts w:ascii="Arial" w:hAnsi="Arial" w:cs="Arial"/>
          <w:sz w:val="24"/>
          <w:szCs w:val="24"/>
        </w:rPr>
      </w:pPr>
      <w:r w:rsidRPr="00E11150">
        <w:rPr>
          <w:rFonts w:ascii="Arial" w:hAnsi="Arial" w:cs="Arial"/>
          <w:sz w:val="24"/>
          <w:szCs w:val="24"/>
        </w:rPr>
        <w:lastRenderedPageBreak/>
        <w:t>Please update Table 11 as applicable to reflect all of the above questions,</w:t>
      </w:r>
      <w:r w:rsidRPr="00E11150">
        <w:t xml:space="preserve"> </w:t>
      </w:r>
      <w:r w:rsidRPr="00E11150">
        <w:rPr>
          <w:rFonts w:ascii="Arial" w:hAnsi="Arial" w:cs="Arial"/>
          <w:sz w:val="24"/>
          <w:szCs w:val="24"/>
        </w:rPr>
        <w:t xml:space="preserve">including showing a revised December 31, </w:t>
      </w:r>
      <w:proofErr w:type="gramStart"/>
      <w:r w:rsidRPr="00E11150">
        <w:rPr>
          <w:rFonts w:ascii="Arial" w:hAnsi="Arial" w:cs="Arial"/>
          <w:sz w:val="24"/>
          <w:szCs w:val="24"/>
        </w:rPr>
        <w:t>2023</w:t>
      </w:r>
      <w:proofErr w:type="gramEnd"/>
      <w:r w:rsidRPr="00E11150">
        <w:rPr>
          <w:rFonts w:ascii="Arial" w:hAnsi="Arial" w:cs="Arial"/>
          <w:sz w:val="24"/>
          <w:szCs w:val="24"/>
        </w:rPr>
        <w:t xml:space="preserve"> forecasted balance in Account 1508 – Other Regulatory Assets, Sub-Account Impact of Post-Merger Accounting Policy Changes.</w:t>
      </w:r>
    </w:p>
    <w:p w14:paraId="72375B3C" w14:textId="77777777" w:rsidR="00E11150" w:rsidRPr="00E11150" w:rsidRDefault="00E11150" w:rsidP="00E11150">
      <w:pPr>
        <w:spacing w:line="256" w:lineRule="auto"/>
        <w:ind w:left="720"/>
        <w:contextualSpacing/>
        <w:rPr>
          <w:rFonts w:ascii="Arial" w:hAnsi="Arial" w:cs="Arial"/>
          <w:sz w:val="24"/>
          <w:szCs w:val="24"/>
        </w:rPr>
      </w:pPr>
    </w:p>
    <w:p w14:paraId="50B410BF" w14:textId="77777777" w:rsidR="00E11150" w:rsidRPr="00E11150" w:rsidRDefault="00E11150" w:rsidP="00E11150">
      <w:pPr>
        <w:spacing w:line="256" w:lineRule="auto"/>
        <w:ind w:left="720"/>
        <w:contextualSpacing/>
        <w:rPr>
          <w:rFonts w:ascii="Arial" w:hAnsi="Arial" w:cs="Arial"/>
          <w:sz w:val="24"/>
          <w:szCs w:val="24"/>
        </w:rPr>
      </w:pPr>
    </w:p>
    <w:p w14:paraId="570B9205" w14:textId="77777777" w:rsidR="00E11150" w:rsidRDefault="00E11150" w:rsidP="00E96617">
      <w:pPr>
        <w:spacing w:after="0" w:line="276" w:lineRule="auto"/>
        <w:rPr>
          <w:rFonts w:ascii="Arial" w:hAnsi="Arial" w:cs="Arial"/>
          <w:b/>
          <w:bCs/>
          <w:sz w:val="24"/>
          <w:szCs w:val="24"/>
        </w:rPr>
      </w:pPr>
    </w:p>
    <w:p w14:paraId="5E43A85C" w14:textId="13F87984" w:rsidR="004869ED" w:rsidRPr="00E96617" w:rsidRDefault="004869ED" w:rsidP="00E96617">
      <w:pPr>
        <w:spacing w:after="0" w:line="276" w:lineRule="auto"/>
        <w:rPr>
          <w:rFonts w:ascii="Arial" w:hAnsi="Arial" w:cs="Arial"/>
          <w:sz w:val="24"/>
          <w:szCs w:val="24"/>
        </w:rPr>
      </w:pPr>
      <w:r w:rsidRPr="00E96617">
        <w:rPr>
          <w:rFonts w:ascii="Arial" w:hAnsi="Arial" w:cs="Arial"/>
          <w:b/>
          <w:bCs/>
          <w:sz w:val="24"/>
          <w:szCs w:val="24"/>
        </w:rPr>
        <w:t>Staff Question</w:t>
      </w:r>
      <w:r w:rsidR="00F70CBB">
        <w:rPr>
          <w:rFonts w:ascii="Arial" w:hAnsi="Arial" w:cs="Arial"/>
          <w:b/>
          <w:bCs/>
          <w:sz w:val="24"/>
          <w:szCs w:val="24"/>
        </w:rPr>
        <w:t>-</w:t>
      </w:r>
      <w:r w:rsidR="00276E08">
        <w:rPr>
          <w:rFonts w:ascii="Arial" w:hAnsi="Arial" w:cs="Arial"/>
          <w:b/>
          <w:bCs/>
          <w:sz w:val="24"/>
          <w:szCs w:val="24"/>
        </w:rPr>
        <w:t>5</w:t>
      </w:r>
    </w:p>
    <w:p w14:paraId="649EB081" w14:textId="77777777" w:rsidR="004869ED" w:rsidRPr="004869ED" w:rsidRDefault="004869ED" w:rsidP="004869ED">
      <w:pPr>
        <w:spacing w:after="0" w:line="276" w:lineRule="auto"/>
        <w:rPr>
          <w:rFonts w:ascii="Arial" w:hAnsi="Arial" w:cs="Arial"/>
          <w:b/>
          <w:bCs/>
          <w:sz w:val="24"/>
          <w:szCs w:val="24"/>
        </w:rPr>
      </w:pPr>
    </w:p>
    <w:p w14:paraId="778E6F0D" w14:textId="4F13B94C" w:rsidR="00FE51CB" w:rsidRDefault="00FE51CB" w:rsidP="00463C8A">
      <w:pPr>
        <w:spacing w:after="0" w:line="276" w:lineRule="auto"/>
        <w:rPr>
          <w:rFonts w:ascii="Arial" w:hAnsi="Arial" w:cs="Arial"/>
          <w:b/>
          <w:bCs/>
          <w:sz w:val="24"/>
          <w:szCs w:val="24"/>
        </w:rPr>
      </w:pPr>
      <w:bookmarkStart w:id="4" w:name="_Hlk147188909"/>
      <w:r>
        <w:rPr>
          <w:rFonts w:ascii="Arial" w:hAnsi="Arial" w:cs="Arial"/>
          <w:b/>
          <w:bCs/>
          <w:sz w:val="24"/>
          <w:szCs w:val="24"/>
        </w:rPr>
        <w:t xml:space="preserve">Ref 1: </w:t>
      </w:r>
      <w:r w:rsidR="00E73C60" w:rsidRPr="004869ED">
        <w:rPr>
          <w:rFonts w:ascii="Arial" w:hAnsi="Arial" w:cs="Arial"/>
          <w:b/>
          <w:bCs/>
          <w:sz w:val="24"/>
          <w:szCs w:val="24"/>
        </w:rPr>
        <w:t xml:space="preserve">2024 </w:t>
      </w:r>
      <w:r w:rsidR="00E73C60" w:rsidRPr="00E73C60">
        <w:rPr>
          <w:rFonts w:ascii="Arial" w:hAnsi="Arial" w:cs="Arial"/>
          <w:b/>
          <w:bCs/>
          <w:sz w:val="24"/>
          <w:szCs w:val="24"/>
        </w:rPr>
        <w:t xml:space="preserve">WNRZ </w:t>
      </w:r>
      <w:r w:rsidR="00E73C60" w:rsidRPr="004869ED">
        <w:rPr>
          <w:rFonts w:ascii="Arial" w:hAnsi="Arial" w:cs="Arial"/>
          <w:b/>
          <w:bCs/>
          <w:sz w:val="24"/>
          <w:szCs w:val="24"/>
        </w:rPr>
        <w:t>IRM Rate Generator</w:t>
      </w:r>
      <w:r w:rsidR="00E73C60">
        <w:rPr>
          <w:rFonts w:ascii="Arial" w:hAnsi="Arial" w:cs="Arial"/>
          <w:b/>
          <w:bCs/>
          <w:sz w:val="24"/>
          <w:szCs w:val="24"/>
        </w:rPr>
        <w:t>, Tab 1</w:t>
      </w:r>
      <w:bookmarkEnd w:id="4"/>
      <w:r w:rsidR="00E73C60">
        <w:rPr>
          <w:rFonts w:ascii="Arial" w:hAnsi="Arial" w:cs="Arial"/>
          <w:b/>
          <w:bCs/>
          <w:sz w:val="24"/>
          <w:szCs w:val="24"/>
        </w:rPr>
        <w:t>, Information Sheet</w:t>
      </w:r>
    </w:p>
    <w:p w14:paraId="5A2EAC35" w14:textId="04DEEF49" w:rsidR="00463C8A" w:rsidRDefault="004869ED" w:rsidP="00463C8A">
      <w:pPr>
        <w:spacing w:after="0" w:line="276" w:lineRule="auto"/>
        <w:rPr>
          <w:rFonts w:ascii="Arial" w:hAnsi="Arial" w:cs="Arial"/>
          <w:b/>
          <w:bCs/>
          <w:sz w:val="24"/>
          <w:szCs w:val="24"/>
        </w:rPr>
      </w:pPr>
      <w:bookmarkStart w:id="5" w:name="_Hlk147321356"/>
      <w:r w:rsidRPr="004869ED">
        <w:rPr>
          <w:rFonts w:ascii="Arial" w:hAnsi="Arial" w:cs="Arial"/>
          <w:b/>
          <w:bCs/>
          <w:sz w:val="24"/>
          <w:szCs w:val="24"/>
        </w:rPr>
        <w:t>Ref</w:t>
      </w:r>
      <w:r w:rsidR="00DA644F">
        <w:rPr>
          <w:rFonts w:ascii="Arial" w:hAnsi="Arial" w:cs="Arial"/>
          <w:b/>
          <w:bCs/>
          <w:sz w:val="24"/>
          <w:szCs w:val="24"/>
        </w:rPr>
        <w:t xml:space="preserve"> </w:t>
      </w:r>
      <w:r w:rsidR="00FE51CB">
        <w:rPr>
          <w:rFonts w:ascii="Arial" w:hAnsi="Arial" w:cs="Arial"/>
          <w:b/>
          <w:bCs/>
          <w:sz w:val="24"/>
          <w:szCs w:val="24"/>
        </w:rPr>
        <w:t>2</w:t>
      </w:r>
      <w:r w:rsidRPr="004869ED">
        <w:rPr>
          <w:rFonts w:ascii="Arial" w:hAnsi="Arial" w:cs="Arial"/>
          <w:b/>
          <w:bCs/>
          <w:sz w:val="24"/>
          <w:szCs w:val="24"/>
        </w:rPr>
        <w:t xml:space="preserve">: 2024 </w:t>
      </w:r>
      <w:r w:rsidR="00D8312B">
        <w:rPr>
          <w:rFonts w:ascii="Arial" w:hAnsi="Arial" w:cs="Arial"/>
          <w:b/>
          <w:bCs/>
          <w:sz w:val="24"/>
          <w:szCs w:val="24"/>
        </w:rPr>
        <w:t xml:space="preserve">WNRZ </w:t>
      </w:r>
      <w:r w:rsidRPr="004869ED">
        <w:rPr>
          <w:rFonts w:ascii="Arial" w:hAnsi="Arial" w:cs="Arial"/>
          <w:b/>
          <w:bCs/>
          <w:sz w:val="24"/>
          <w:szCs w:val="24"/>
        </w:rPr>
        <w:t xml:space="preserve">IRM Rate Generator, Tab </w:t>
      </w:r>
      <w:bookmarkEnd w:id="5"/>
      <w:r w:rsidR="00DA644F">
        <w:rPr>
          <w:rFonts w:ascii="Arial" w:hAnsi="Arial" w:cs="Arial"/>
          <w:b/>
          <w:bCs/>
          <w:sz w:val="24"/>
          <w:szCs w:val="24"/>
        </w:rPr>
        <w:t>16.1, 16.2</w:t>
      </w:r>
    </w:p>
    <w:p w14:paraId="6BB10117" w14:textId="10C46528" w:rsidR="007F0BB3" w:rsidRDefault="007F0BB3" w:rsidP="00463C8A">
      <w:pPr>
        <w:spacing w:after="0" w:line="276" w:lineRule="auto"/>
        <w:rPr>
          <w:rFonts w:ascii="Arial" w:hAnsi="Arial" w:cs="Arial"/>
          <w:b/>
          <w:bCs/>
          <w:sz w:val="24"/>
          <w:szCs w:val="24"/>
        </w:rPr>
      </w:pPr>
      <w:r w:rsidRPr="004869ED">
        <w:rPr>
          <w:rFonts w:ascii="Arial" w:hAnsi="Arial" w:cs="Arial"/>
          <w:b/>
          <w:bCs/>
          <w:sz w:val="24"/>
          <w:szCs w:val="24"/>
        </w:rPr>
        <w:t>Ref</w:t>
      </w:r>
      <w:r w:rsidRPr="007F0BB3">
        <w:rPr>
          <w:rFonts w:ascii="Arial" w:hAnsi="Arial" w:cs="Arial"/>
          <w:b/>
          <w:bCs/>
          <w:sz w:val="24"/>
          <w:szCs w:val="24"/>
        </w:rPr>
        <w:t xml:space="preserve"> </w:t>
      </w:r>
      <w:r>
        <w:rPr>
          <w:rFonts w:ascii="Arial" w:hAnsi="Arial" w:cs="Arial"/>
          <w:b/>
          <w:bCs/>
          <w:sz w:val="24"/>
          <w:szCs w:val="24"/>
        </w:rPr>
        <w:t>3</w:t>
      </w:r>
      <w:r w:rsidRPr="004869ED">
        <w:rPr>
          <w:rFonts w:ascii="Arial" w:hAnsi="Arial" w:cs="Arial"/>
          <w:b/>
          <w:bCs/>
          <w:sz w:val="24"/>
          <w:szCs w:val="24"/>
        </w:rPr>
        <w:t xml:space="preserve">: 2024 </w:t>
      </w:r>
      <w:r w:rsidRPr="007F0BB3">
        <w:rPr>
          <w:rFonts w:ascii="Arial" w:hAnsi="Arial" w:cs="Arial"/>
          <w:b/>
          <w:bCs/>
          <w:sz w:val="24"/>
          <w:szCs w:val="24"/>
        </w:rPr>
        <w:t xml:space="preserve">WNRZ </w:t>
      </w:r>
      <w:r w:rsidRPr="004869ED">
        <w:rPr>
          <w:rFonts w:ascii="Arial" w:hAnsi="Arial" w:cs="Arial"/>
          <w:b/>
          <w:bCs/>
          <w:sz w:val="24"/>
          <w:szCs w:val="24"/>
        </w:rPr>
        <w:t>IRM Rate Generator, Tab</w:t>
      </w:r>
      <w:r>
        <w:rPr>
          <w:rFonts w:ascii="Arial" w:hAnsi="Arial" w:cs="Arial"/>
          <w:b/>
          <w:bCs/>
          <w:sz w:val="24"/>
          <w:szCs w:val="24"/>
        </w:rPr>
        <w:t xml:space="preserve"> 11</w:t>
      </w:r>
      <w:r w:rsidR="00927132">
        <w:rPr>
          <w:rFonts w:ascii="Arial" w:hAnsi="Arial" w:cs="Arial"/>
          <w:b/>
          <w:bCs/>
          <w:sz w:val="24"/>
          <w:szCs w:val="24"/>
        </w:rPr>
        <w:t>, Row 44&amp; 59</w:t>
      </w:r>
    </w:p>
    <w:p w14:paraId="59574F7C" w14:textId="7E4B2190" w:rsidR="006E38C3" w:rsidRDefault="00DA644F" w:rsidP="00463C8A">
      <w:pPr>
        <w:spacing w:after="0" w:line="276" w:lineRule="auto"/>
        <w:rPr>
          <w:rFonts w:ascii="Arial" w:hAnsi="Arial" w:cs="Arial"/>
          <w:b/>
          <w:bCs/>
          <w:sz w:val="24"/>
          <w:szCs w:val="24"/>
        </w:rPr>
      </w:pPr>
      <w:r>
        <w:rPr>
          <w:rFonts w:ascii="Arial" w:hAnsi="Arial" w:cs="Arial"/>
          <w:b/>
          <w:bCs/>
          <w:sz w:val="24"/>
          <w:szCs w:val="24"/>
        </w:rPr>
        <w:t xml:space="preserve">Ref </w:t>
      </w:r>
      <w:r w:rsidR="007F0BB3">
        <w:rPr>
          <w:rFonts w:ascii="Arial" w:hAnsi="Arial" w:cs="Arial"/>
          <w:b/>
          <w:bCs/>
          <w:sz w:val="24"/>
          <w:szCs w:val="24"/>
        </w:rPr>
        <w:t>4</w:t>
      </w:r>
      <w:r>
        <w:rPr>
          <w:rFonts w:ascii="Arial" w:hAnsi="Arial" w:cs="Arial"/>
          <w:b/>
          <w:bCs/>
          <w:sz w:val="24"/>
          <w:szCs w:val="24"/>
        </w:rPr>
        <w:t xml:space="preserve">: </w:t>
      </w:r>
      <w:r w:rsidR="00250A39">
        <w:rPr>
          <w:rFonts w:ascii="Arial" w:hAnsi="Arial" w:cs="Arial"/>
          <w:b/>
          <w:bCs/>
          <w:sz w:val="24"/>
          <w:szCs w:val="24"/>
        </w:rPr>
        <w:t>2024 ENOVA Application</w:t>
      </w:r>
      <w:r w:rsidR="00033736">
        <w:rPr>
          <w:rFonts w:ascii="Arial" w:hAnsi="Arial" w:cs="Arial"/>
          <w:b/>
          <w:bCs/>
          <w:sz w:val="24"/>
          <w:szCs w:val="24"/>
        </w:rPr>
        <w:t xml:space="preserve">, </w:t>
      </w:r>
      <w:r w:rsidR="00B96134">
        <w:rPr>
          <w:rFonts w:ascii="Arial" w:hAnsi="Arial" w:cs="Arial"/>
          <w:b/>
          <w:bCs/>
          <w:sz w:val="24"/>
          <w:szCs w:val="24"/>
        </w:rPr>
        <w:t>Low Voltage Service Rates, Page 16</w:t>
      </w:r>
    </w:p>
    <w:p w14:paraId="224BB26D" w14:textId="77777777" w:rsidR="006753AB" w:rsidRPr="00B52F7F" w:rsidRDefault="006753AB" w:rsidP="00463C8A">
      <w:pPr>
        <w:spacing w:after="0" w:line="276" w:lineRule="auto"/>
        <w:rPr>
          <w:rFonts w:ascii="Arial" w:hAnsi="Arial" w:cs="Arial"/>
          <w:b/>
          <w:bCs/>
          <w:sz w:val="24"/>
          <w:szCs w:val="24"/>
        </w:rPr>
      </w:pPr>
    </w:p>
    <w:p w14:paraId="126AEFCB" w14:textId="77777777" w:rsidR="00927132" w:rsidRDefault="005752B0" w:rsidP="00463C8A">
      <w:pPr>
        <w:spacing w:after="0" w:line="276" w:lineRule="auto"/>
        <w:rPr>
          <w:rFonts w:ascii="Arial" w:hAnsi="Arial" w:cs="Arial"/>
          <w:sz w:val="24"/>
          <w:szCs w:val="24"/>
        </w:rPr>
      </w:pPr>
      <w:r w:rsidRPr="005752B0">
        <w:rPr>
          <w:rFonts w:ascii="Arial" w:hAnsi="Arial" w:cs="Arial"/>
          <w:sz w:val="24"/>
          <w:szCs w:val="24"/>
        </w:rPr>
        <w:t>In WNRZ Rate Generator’s information sheet, Waterloo North Rate Zone is selected as “Transmission Connected”.</w:t>
      </w:r>
      <w:r w:rsidR="00F82785">
        <w:rPr>
          <w:rFonts w:ascii="Arial" w:hAnsi="Arial" w:cs="Arial"/>
          <w:sz w:val="24"/>
          <w:szCs w:val="24"/>
        </w:rPr>
        <w:t xml:space="preserve"> </w:t>
      </w:r>
    </w:p>
    <w:p w14:paraId="78AE6F2E" w14:textId="60B4C809" w:rsidR="005752B0" w:rsidRDefault="00F82785" w:rsidP="00463C8A">
      <w:pPr>
        <w:spacing w:after="0" w:line="276" w:lineRule="auto"/>
        <w:rPr>
          <w:rFonts w:ascii="Arial" w:hAnsi="Arial" w:cs="Arial"/>
          <w:sz w:val="24"/>
          <w:szCs w:val="24"/>
        </w:rPr>
      </w:pPr>
      <w:r w:rsidRPr="00F82785">
        <w:rPr>
          <w:rFonts w:ascii="Arial" w:hAnsi="Arial" w:cs="Arial"/>
          <w:sz w:val="24"/>
          <w:szCs w:val="24"/>
        </w:rPr>
        <w:t>Tab 16.1-</w:t>
      </w:r>
      <w:r w:rsidR="00E41AC8">
        <w:rPr>
          <w:rFonts w:ascii="Arial" w:hAnsi="Arial" w:cs="Arial"/>
          <w:sz w:val="24"/>
          <w:szCs w:val="24"/>
        </w:rPr>
        <w:t xml:space="preserve"> </w:t>
      </w:r>
      <w:r w:rsidRPr="00F82785">
        <w:rPr>
          <w:rFonts w:ascii="Arial" w:hAnsi="Arial" w:cs="Arial"/>
          <w:sz w:val="24"/>
          <w:szCs w:val="24"/>
        </w:rPr>
        <w:t>LV Expense shows that WNRZ is connected to different service points with different low voltage rates.</w:t>
      </w:r>
    </w:p>
    <w:p w14:paraId="3CF6771A" w14:textId="77777777" w:rsidR="005752B0" w:rsidRDefault="005752B0" w:rsidP="00463C8A">
      <w:pPr>
        <w:spacing w:after="0" w:line="276" w:lineRule="auto"/>
        <w:rPr>
          <w:rFonts w:ascii="Arial" w:hAnsi="Arial" w:cs="Arial"/>
          <w:sz w:val="24"/>
          <w:szCs w:val="24"/>
        </w:rPr>
      </w:pPr>
    </w:p>
    <w:p w14:paraId="1866DAB7" w14:textId="56EC293A" w:rsidR="004357B0" w:rsidRDefault="004357B0" w:rsidP="00463C8A">
      <w:pPr>
        <w:spacing w:after="0" w:line="276" w:lineRule="auto"/>
        <w:rPr>
          <w:rFonts w:ascii="Arial" w:hAnsi="Arial" w:cs="Arial"/>
          <w:sz w:val="24"/>
          <w:szCs w:val="24"/>
        </w:rPr>
      </w:pPr>
      <w:r>
        <w:rPr>
          <w:rFonts w:ascii="Arial" w:hAnsi="Arial" w:cs="Arial"/>
          <w:sz w:val="24"/>
          <w:szCs w:val="24"/>
        </w:rPr>
        <w:t>Question:</w:t>
      </w:r>
    </w:p>
    <w:p w14:paraId="26E1A6A6" w14:textId="77777777" w:rsidR="008C2DD6" w:rsidRDefault="008C2DD6" w:rsidP="00463C8A">
      <w:pPr>
        <w:spacing w:after="0" w:line="276" w:lineRule="auto"/>
        <w:rPr>
          <w:rFonts w:ascii="Arial" w:hAnsi="Arial" w:cs="Arial"/>
          <w:sz w:val="24"/>
          <w:szCs w:val="24"/>
        </w:rPr>
      </w:pPr>
    </w:p>
    <w:p w14:paraId="5FC3B63C" w14:textId="59D57848" w:rsidR="00D8312B" w:rsidRDefault="006474C2" w:rsidP="00D8312B">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Please </w:t>
      </w:r>
      <w:r w:rsidR="00CC3F7F">
        <w:rPr>
          <w:rFonts w:ascii="Arial" w:hAnsi="Arial" w:cs="Arial"/>
          <w:sz w:val="24"/>
          <w:szCs w:val="24"/>
        </w:rPr>
        <w:t xml:space="preserve">explain the reason why WNRZ </w:t>
      </w:r>
      <w:r w:rsidR="00E35087">
        <w:rPr>
          <w:rFonts w:ascii="Arial" w:hAnsi="Arial" w:cs="Arial"/>
          <w:sz w:val="24"/>
          <w:szCs w:val="24"/>
        </w:rPr>
        <w:t>selected Transmission Connected while charged by Low Voltage Rates.</w:t>
      </w:r>
    </w:p>
    <w:p w14:paraId="0A7D88E8" w14:textId="64C305A8" w:rsidR="00D55751" w:rsidRDefault="007E0040" w:rsidP="00641B96">
      <w:pPr>
        <w:pStyle w:val="ListParagraph"/>
        <w:numPr>
          <w:ilvl w:val="0"/>
          <w:numId w:val="5"/>
        </w:numPr>
        <w:spacing w:after="0" w:line="276" w:lineRule="auto"/>
        <w:rPr>
          <w:rFonts w:ascii="Arial" w:hAnsi="Arial" w:cs="Arial"/>
          <w:sz w:val="24"/>
          <w:szCs w:val="24"/>
        </w:rPr>
      </w:pPr>
      <w:r>
        <w:rPr>
          <w:rFonts w:ascii="Arial" w:hAnsi="Arial" w:cs="Arial"/>
          <w:sz w:val="24"/>
          <w:szCs w:val="24"/>
        </w:rPr>
        <w:t xml:space="preserve">Please </w:t>
      </w:r>
      <w:r w:rsidR="00794011">
        <w:rPr>
          <w:rFonts w:ascii="Arial" w:hAnsi="Arial" w:cs="Arial"/>
          <w:sz w:val="24"/>
          <w:szCs w:val="24"/>
        </w:rPr>
        <w:t xml:space="preserve">provide </w:t>
      </w:r>
      <w:r w:rsidR="002D6ACB">
        <w:rPr>
          <w:rFonts w:ascii="Arial" w:hAnsi="Arial" w:cs="Arial"/>
          <w:sz w:val="24"/>
          <w:szCs w:val="24"/>
        </w:rPr>
        <w:t xml:space="preserve">a </w:t>
      </w:r>
      <w:r w:rsidR="00794011">
        <w:rPr>
          <w:rFonts w:ascii="Arial" w:hAnsi="Arial" w:cs="Arial"/>
          <w:sz w:val="24"/>
          <w:szCs w:val="24"/>
        </w:rPr>
        <w:t xml:space="preserve">description of ENOVA’s system, </w:t>
      </w:r>
      <w:r w:rsidR="00F3128A">
        <w:rPr>
          <w:rFonts w:ascii="Arial" w:hAnsi="Arial" w:cs="Arial"/>
          <w:sz w:val="24"/>
          <w:szCs w:val="24"/>
        </w:rPr>
        <w:t>explaining</w:t>
      </w:r>
      <w:r w:rsidR="00A31BF3">
        <w:rPr>
          <w:rFonts w:ascii="Arial" w:hAnsi="Arial" w:cs="Arial"/>
          <w:sz w:val="24"/>
          <w:szCs w:val="24"/>
        </w:rPr>
        <w:t xml:space="preserve"> </w:t>
      </w:r>
      <w:r w:rsidR="00937A9B">
        <w:rPr>
          <w:rFonts w:ascii="Arial" w:hAnsi="Arial" w:cs="Arial"/>
          <w:sz w:val="24"/>
          <w:szCs w:val="24"/>
        </w:rPr>
        <w:t>how W</w:t>
      </w:r>
      <w:r w:rsidR="00246470">
        <w:rPr>
          <w:rFonts w:ascii="Arial" w:hAnsi="Arial" w:cs="Arial"/>
          <w:sz w:val="24"/>
          <w:szCs w:val="24"/>
        </w:rPr>
        <w:t>NRZ</w:t>
      </w:r>
      <w:r w:rsidR="00DE19E6">
        <w:rPr>
          <w:rFonts w:ascii="Arial" w:hAnsi="Arial" w:cs="Arial"/>
          <w:sz w:val="24"/>
          <w:szCs w:val="24"/>
        </w:rPr>
        <w:t xml:space="preserve"> and KW</w:t>
      </w:r>
      <w:r w:rsidR="006266DD">
        <w:rPr>
          <w:rFonts w:ascii="Arial" w:hAnsi="Arial" w:cs="Arial"/>
          <w:sz w:val="24"/>
          <w:szCs w:val="24"/>
        </w:rPr>
        <w:t>RZ</w:t>
      </w:r>
      <w:r w:rsidR="00246470">
        <w:rPr>
          <w:rFonts w:ascii="Arial" w:hAnsi="Arial" w:cs="Arial"/>
          <w:sz w:val="24"/>
          <w:szCs w:val="24"/>
        </w:rPr>
        <w:t xml:space="preserve"> </w:t>
      </w:r>
      <w:r w:rsidR="006266DD">
        <w:rPr>
          <w:rFonts w:ascii="Arial" w:hAnsi="Arial" w:cs="Arial"/>
          <w:sz w:val="24"/>
          <w:szCs w:val="24"/>
        </w:rPr>
        <w:t>are</w:t>
      </w:r>
      <w:r w:rsidR="00246470">
        <w:rPr>
          <w:rFonts w:ascii="Arial" w:hAnsi="Arial" w:cs="Arial"/>
          <w:sz w:val="24"/>
          <w:szCs w:val="24"/>
        </w:rPr>
        <w:t xml:space="preserve"> embedded with</w:t>
      </w:r>
      <w:r w:rsidR="0001018C">
        <w:rPr>
          <w:rFonts w:ascii="Arial" w:hAnsi="Arial" w:cs="Arial"/>
          <w:sz w:val="24"/>
          <w:szCs w:val="24"/>
        </w:rPr>
        <w:t>in</w:t>
      </w:r>
      <w:r w:rsidR="00246470">
        <w:rPr>
          <w:rFonts w:ascii="Arial" w:hAnsi="Arial" w:cs="Arial"/>
          <w:sz w:val="24"/>
          <w:szCs w:val="24"/>
        </w:rPr>
        <w:t xml:space="preserve"> </w:t>
      </w:r>
      <w:r w:rsidR="00AC247E">
        <w:rPr>
          <w:rFonts w:ascii="Arial" w:hAnsi="Arial" w:cs="Arial"/>
          <w:sz w:val="24"/>
          <w:szCs w:val="24"/>
        </w:rPr>
        <w:t xml:space="preserve">each other as well as </w:t>
      </w:r>
      <w:r w:rsidR="008A324E">
        <w:rPr>
          <w:rFonts w:ascii="Arial" w:hAnsi="Arial" w:cs="Arial"/>
          <w:sz w:val="24"/>
          <w:szCs w:val="24"/>
        </w:rPr>
        <w:t>different</w:t>
      </w:r>
      <w:r w:rsidR="00246470">
        <w:rPr>
          <w:rFonts w:ascii="Arial" w:hAnsi="Arial" w:cs="Arial"/>
          <w:sz w:val="24"/>
          <w:szCs w:val="24"/>
        </w:rPr>
        <w:t xml:space="preserve"> </w:t>
      </w:r>
      <w:r w:rsidR="0089303F">
        <w:rPr>
          <w:rFonts w:ascii="Arial" w:hAnsi="Arial" w:cs="Arial"/>
          <w:sz w:val="24"/>
          <w:szCs w:val="24"/>
        </w:rPr>
        <w:t xml:space="preserve">host </w:t>
      </w:r>
      <w:r w:rsidR="000D76C2">
        <w:rPr>
          <w:rFonts w:ascii="Arial" w:hAnsi="Arial" w:cs="Arial"/>
          <w:sz w:val="24"/>
          <w:szCs w:val="24"/>
        </w:rPr>
        <w:t>distributors</w:t>
      </w:r>
      <w:r w:rsidR="008A324E">
        <w:rPr>
          <w:rFonts w:ascii="Arial" w:hAnsi="Arial" w:cs="Arial"/>
          <w:sz w:val="24"/>
          <w:szCs w:val="24"/>
        </w:rPr>
        <w:t>.</w:t>
      </w:r>
      <w:r w:rsidR="00965431">
        <w:rPr>
          <w:rFonts w:ascii="Arial" w:hAnsi="Arial" w:cs="Arial"/>
          <w:sz w:val="24"/>
          <w:szCs w:val="24"/>
        </w:rPr>
        <w:t xml:space="preserve"> </w:t>
      </w:r>
    </w:p>
    <w:p w14:paraId="097B1106" w14:textId="12F20466" w:rsidR="006D0B0D" w:rsidRPr="006D0B0D" w:rsidRDefault="00A9779B" w:rsidP="006D0B0D">
      <w:pPr>
        <w:pStyle w:val="ListParagraph"/>
        <w:numPr>
          <w:ilvl w:val="0"/>
          <w:numId w:val="5"/>
        </w:numPr>
        <w:spacing w:after="0" w:line="276" w:lineRule="auto"/>
        <w:rPr>
          <w:rFonts w:ascii="Arial" w:hAnsi="Arial" w:cs="Arial"/>
          <w:sz w:val="24"/>
          <w:szCs w:val="24"/>
        </w:rPr>
      </w:pPr>
      <w:r>
        <w:rPr>
          <w:rFonts w:ascii="Arial" w:hAnsi="Arial" w:cs="Arial"/>
          <w:sz w:val="24"/>
          <w:szCs w:val="24"/>
        </w:rPr>
        <w:t>Please confirm</w:t>
      </w:r>
      <w:r w:rsidR="000C31CE">
        <w:rPr>
          <w:rFonts w:ascii="Arial" w:hAnsi="Arial" w:cs="Arial"/>
          <w:sz w:val="24"/>
          <w:szCs w:val="24"/>
        </w:rPr>
        <w:t xml:space="preserve"> </w:t>
      </w:r>
      <w:r w:rsidR="00926946">
        <w:rPr>
          <w:rFonts w:ascii="Arial" w:hAnsi="Arial" w:cs="Arial"/>
          <w:sz w:val="24"/>
          <w:szCs w:val="24"/>
        </w:rPr>
        <w:t>if</w:t>
      </w:r>
      <w:r w:rsidR="003D25F4">
        <w:rPr>
          <w:rFonts w:ascii="Arial" w:hAnsi="Arial" w:cs="Arial"/>
          <w:sz w:val="24"/>
          <w:szCs w:val="24"/>
        </w:rPr>
        <w:t xml:space="preserve"> the host distributor for </w:t>
      </w:r>
      <w:r w:rsidR="00C04711">
        <w:rPr>
          <w:rFonts w:ascii="Arial" w:hAnsi="Arial" w:cs="Arial"/>
          <w:sz w:val="24"/>
          <w:szCs w:val="24"/>
        </w:rPr>
        <w:t xml:space="preserve">3567 Nafziger Rd, </w:t>
      </w:r>
      <w:r w:rsidR="00926946">
        <w:rPr>
          <w:rFonts w:ascii="Arial" w:hAnsi="Arial" w:cs="Arial"/>
          <w:sz w:val="24"/>
          <w:szCs w:val="24"/>
        </w:rPr>
        <w:t>Fou</w:t>
      </w:r>
      <w:r w:rsidR="00C35EE9">
        <w:rPr>
          <w:rFonts w:ascii="Arial" w:hAnsi="Arial" w:cs="Arial"/>
          <w:sz w:val="24"/>
          <w:szCs w:val="24"/>
        </w:rPr>
        <w:t>nt</w:t>
      </w:r>
      <w:r w:rsidR="00C04711">
        <w:rPr>
          <w:rFonts w:ascii="Arial" w:hAnsi="Arial" w:cs="Arial"/>
          <w:sz w:val="24"/>
          <w:szCs w:val="24"/>
        </w:rPr>
        <w:t xml:space="preserve">ain St N, Elmira, </w:t>
      </w:r>
      <w:r w:rsidR="00260EA7">
        <w:rPr>
          <w:rFonts w:ascii="Arial" w:hAnsi="Arial" w:cs="Arial"/>
          <w:sz w:val="24"/>
          <w:szCs w:val="24"/>
        </w:rPr>
        <w:t xml:space="preserve">and </w:t>
      </w:r>
      <w:r w:rsidR="00C04711">
        <w:rPr>
          <w:rFonts w:ascii="Arial" w:hAnsi="Arial" w:cs="Arial"/>
          <w:sz w:val="24"/>
          <w:szCs w:val="24"/>
        </w:rPr>
        <w:t>Pentland</w:t>
      </w:r>
      <w:r w:rsidR="00260EA7">
        <w:rPr>
          <w:rFonts w:ascii="Arial" w:hAnsi="Arial" w:cs="Arial"/>
          <w:sz w:val="24"/>
          <w:szCs w:val="24"/>
        </w:rPr>
        <w:t xml:space="preserve"> respectively </w:t>
      </w:r>
      <w:r w:rsidR="00846FF6">
        <w:rPr>
          <w:rFonts w:ascii="Arial" w:hAnsi="Arial" w:cs="Arial"/>
          <w:sz w:val="24"/>
          <w:szCs w:val="24"/>
        </w:rPr>
        <w:t xml:space="preserve">belongs to </w:t>
      </w:r>
      <w:r w:rsidR="00AC247E">
        <w:rPr>
          <w:rFonts w:ascii="Arial" w:hAnsi="Arial" w:cs="Arial"/>
          <w:sz w:val="24"/>
          <w:szCs w:val="24"/>
        </w:rPr>
        <w:t xml:space="preserve">the former </w:t>
      </w:r>
      <w:r w:rsidR="00260EA7">
        <w:rPr>
          <w:rFonts w:ascii="Arial" w:hAnsi="Arial" w:cs="Arial"/>
          <w:sz w:val="24"/>
          <w:szCs w:val="24"/>
        </w:rPr>
        <w:t>Kitchener</w:t>
      </w:r>
      <w:r w:rsidR="00D55751">
        <w:rPr>
          <w:rFonts w:ascii="Arial" w:hAnsi="Arial" w:cs="Arial"/>
          <w:sz w:val="24"/>
          <w:szCs w:val="24"/>
        </w:rPr>
        <w:t xml:space="preserve"> Hydro, </w:t>
      </w:r>
      <w:r w:rsidR="007D5A45">
        <w:rPr>
          <w:rFonts w:ascii="Arial" w:hAnsi="Arial" w:cs="Arial"/>
          <w:sz w:val="24"/>
          <w:szCs w:val="24"/>
        </w:rPr>
        <w:t>Energy+, Hydro One</w:t>
      </w:r>
      <w:r w:rsidR="00AC247E">
        <w:rPr>
          <w:rFonts w:ascii="Arial" w:hAnsi="Arial" w:cs="Arial"/>
          <w:sz w:val="24"/>
          <w:szCs w:val="24"/>
        </w:rPr>
        <w:t xml:space="preserve"> legacy rate zones</w:t>
      </w:r>
      <w:r w:rsidR="007D5A45">
        <w:rPr>
          <w:rFonts w:ascii="Arial" w:hAnsi="Arial" w:cs="Arial"/>
          <w:sz w:val="24"/>
          <w:szCs w:val="24"/>
        </w:rPr>
        <w:t xml:space="preserve"> and Hydro One.</w:t>
      </w:r>
    </w:p>
    <w:p w14:paraId="58988F80" w14:textId="7C985358" w:rsidR="0097687D" w:rsidRPr="00794AC4" w:rsidRDefault="006E38C3" w:rsidP="006D0B0D">
      <w:pPr>
        <w:pStyle w:val="ListParagraph"/>
        <w:numPr>
          <w:ilvl w:val="0"/>
          <w:numId w:val="5"/>
        </w:numPr>
        <w:spacing w:after="0" w:line="276" w:lineRule="auto"/>
        <w:rPr>
          <w:rFonts w:ascii="Arial" w:hAnsi="Arial" w:cs="Arial"/>
          <w:sz w:val="24"/>
          <w:szCs w:val="24"/>
        </w:rPr>
      </w:pPr>
      <w:r w:rsidRPr="006D0B0D">
        <w:rPr>
          <w:rFonts w:ascii="Arial" w:hAnsi="Arial" w:cs="Arial"/>
          <w:sz w:val="24"/>
          <w:szCs w:val="24"/>
        </w:rPr>
        <w:t xml:space="preserve">ENOVA </w:t>
      </w:r>
      <w:r w:rsidR="009F49BB" w:rsidRPr="006D0B0D">
        <w:rPr>
          <w:rFonts w:ascii="Arial" w:hAnsi="Arial" w:cs="Arial"/>
          <w:sz w:val="24"/>
          <w:szCs w:val="24"/>
        </w:rPr>
        <w:t>states</w:t>
      </w:r>
      <w:r w:rsidRPr="006D0B0D">
        <w:rPr>
          <w:rFonts w:ascii="Arial" w:hAnsi="Arial" w:cs="Arial"/>
          <w:sz w:val="24"/>
          <w:szCs w:val="24"/>
        </w:rPr>
        <w:t xml:space="preserve"> in the application </w:t>
      </w:r>
      <w:r w:rsidR="006D0B0D" w:rsidRPr="006D0B0D">
        <w:rPr>
          <w:rFonts w:ascii="Arial" w:hAnsi="Arial" w:cs="Arial"/>
          <w:sz w:val="24"/>
          <w:szCs w:val="24"/>
        </w:rPr>
        <w:t xml:space="preserve">that the </w:t>
      </w:r>
      <w:r w:rsidR="006D0B0D" w:rsidRPr="006D0B0D">
        <w:rPr>
          <w:rFonts w:ascii="Arial" w:hAnsi="Arial" w:cs="Arial"/>
          <w:sz w:val="24"/>
          <w:szCs w:val="24"/>
        </w:rPr>
        <w:tab/>
        <w:t xml:space="preserve">IRM rate generator for WNRZ did not correctly calculate the Low Voltage Service rate for the GS&gt;50 rate class. OEB staff has updated the rate generator. Please confirm the updated LV rates are correct in the attached WNRZ model. </w:t>
      </w:r>
    </w:p>
    <w:p w14:paraId="14343B0C" w14:textId="6B375179" w:rsidR="006C360A" w:rsidRDefault="006C360A" w:rsidP="009D513A">
      <w:pPr>
        <w:spacing w:after="0" w:line="276" w:lineRule="auto"/>
        <w:rPr>
          <w:rFonts w:ascii="Arial" w:hAnsi="Arial" w:cs="Arial"/>
          <w:sz w:val="24"/>
          <w:szCs w:val="24"/>
        </w:rPr>
      </w:pPr>
    </w:p>
    <w:p w14:paraId="443D6F8A" w14:textId="03ECE039" w:rsidR="00F70CBB" w:rsidRDefault="00F70CBB" w:rsidP="009D513A">
      <w:pPr>
        <w:spacing w:after="0" w:line="276" w:lineRule="auto"/>
        <w:rPr>
          <w:rFonts w:ascii="Arial" w:hAnsi="Arial" w:cs="Arial"/>
          <w:sz w:val="24"/>
          <w:szCs w:val="24"/>
        </w:rPr>
      </w:pPr>
    </w:p>
    <w:p w14:paraId="552E1511" w14:textId="77777777" w:rsidR="00E11150" w:rsidRDefault="00E11150" w:rsidP="009D513A">
      <w:pPr>
        <w:spacing w:after="0" w:line="276" w:lineRule="auto"/>
        <w:rPr>
          <w:rFonts w:ascii="Arial" w:hAnsi="Arial" w:cs="Arial"/>
          <w:sz w:val="24"/>
          <w:szCs w:val="24"/>
        </w:rPr>
      </w:pPr>
    </w:p>
    <w:p w14:paraId="4E756837" w14:textId="77777777" w:rsidR="00E11150" w:rsidRDefault="00E11150" w:rsidP="009D513A">
      <w:pPr>
        <w:spacing w:after="0" w:line="276" w:lineRule="auto"/>
        <w:rPr>
          <w:rFonts w:ascii="Arial" w:hAnsi="Arial" w:cs="Arial"/>
          <w:sz w:val="24"/>
          <w:szCs w:val="24"/>
        </w:rPr>
      </w:pPr>
    </w:p>
    <w:p w14:paraId="725EB6A8" w14:textId="77777777" w:rsidR="00E11150" w:rsidRDefault="00E11150" w:rsidP="009D513A">
      <w:pPr>
        <w:spacing w:after="0" w:line="276" w:lineRule="auto"/>
        <w:rPr>
          <w:rFonts w:ascii="Arial" w:hAnsi="Arial" w:cs="Arial"/>
          <w:sz w:val="24"/>
          <w:szCs w:val="24"/>
        </w:rPr>
      </w:pPr>
    </w:p>
    <w:p w14:paraId="259F2BA5" w14:textId="77777777" w:rsidR="00E11150" w:rsidRDefault="00E11150" w:rsidP="009D513A">
      <w:pPr>
        <w:spacing w:after="0" w:line="276" w:lineRule="auto"/>
        <w:rPr>
          <w:rFonts w:ascii="Arial" w:hAnsi="Arial" w:cs="Arial"/>
          <w:sz w:val="24"/>
          <w:szCs w:val="24"/>
        </w:rPr>
      </w:pPr>
    </w:p>
    <w:p w14:paraId="31628B14" w14:textId="77777777" w:rsidR="00F70CBB" w:rsidRDefault="00F70CBB" w:rsidP="009D513A">
      <w:pPr>
        <w:spacing w:after="0" w:line="276" w:lineRule="auto"/>
        <w:rPr>
          <w:rFonts w:ascii="Arial" w:hAnsi="Arial" w:cs="Arial"/>
          <w:sz w:val="24"/>
          <w:szCs w:val="24"/>
        </w:rPr>
      </w:pPr>
    </w:p>
    <w:p w14:paraId="4EF6B7F3" w14:textId="2F21F76D" w:rsidR="00781D8B" w:rsidRDefault="00781D8B" w:rsidP="006C360A">
      <w:pPr>
        <w:spacing w:after="0" w:line="276" w:lineRule="auto"/>
        <w:rPr>
          <w:rFonts w:ascii="Arial" w:hAnsi="Arial" w:cs="Arial"/>
          <w:b/>
          <w:bCs/>
          <w:sz w:val="24"/>
          <w:szCs w:val="24"/>
        </w:rPr>
      </w:pPr>
      <w:r w:rsidRPr="006C360A">
        <w:rPr>
          <w:rFonts w:ascii="Arial" w:hAnsi="Arial" w:cs="Arial"/>
          <w:b/>
          <w:bCs/>
          <w:sz w:val="24"/>
          <w:szCs w:val="24"/>
        </w:rPr>
        <w:lastRenderedPageBreak/>
        <w:t>Staff Question-</w:t>
      </w:r>
      <w:r w:rsidR="00276E08">
        <w:rPr>
          <w:rFonts w:ascii="Arial" w:hAnsi="Arial" w:cs="Arial"/>
          <w:b/>
          <w:bCs/>
          <w:sz w:val="24"/>
          <w:szCs w:val="24"/>
        </w:rPr>
        <w:t>6</w:t>
      </w:r>
    </w:p>
    <w:p w14:paraId="11AD3BB5" w14:textId="14BFDFFB" w:rsidR="00155688" w:rsidRDefault="002C67BC" w:rsidP="006C360A">
      <w:pPr>
        <w:spacing w:after="0" w:line="276" w:lineRule="auto"/>
        <w:rPr>
          <w:rFonts w:ascii="Arial" w:hAnsi="Arial" w:cs="Arial"/>
          <w:b/>
          <w:bCs/>
          <w:sz w:val="24"/>
          <w:szCs w:val="24"/>
        </w:rPr>
      </w:pPr>
      <w:r w:rsidRPr="002C67BC">
        <w:rPr>
          <w:rFonts w:ascii="Arial" w:hAnsi="Arial" w:cs="Arial"/>
          <w:b/>
          <w:bCs/>
          <w:sz w:val="24"/>
          <w:szCs w:val="24"/>
        </w:rPr>
        <w:t xml:space="preserve">Ref 1: </w:t>
      </w:r>
      <w:r w:rsidRPr="004869ED">
        <w:rPr>
          <w:rFonts w:ascii="Arial" w:hAnsi="Arial" w:cs="Arial"/>
          <w:b/>
          <w:bCs/>
          <w:sz w:val="24"/>
          <w:szCs w:val="24"/>
        </w:rPr>
        <w:t xml:space="preserve">2024 </w:t>
      </w:r>
      <w:r>
        <w:rPr>
          <w:rFonts w:ascii="Arial" w:hAnsi="Arial" w:cs="Arial"/>
          <w:b/>
          <w:bCs/>
          <w:sz w:val="24"/>
          <w:szCs w:val="24"/>
        </w:rPr>
        <w:t>W</w:t>
      </w:r>
      <w:r w:rsidR="00AC51F1">
        <w:rPr>
          <w:rFonts w:ascii="Arial" w:hAnsi="Arial" w:cs="Arial"/>
          <w:b/>
          <w:bCs/>
          <w:sz w:val="24"/>
          <w:szCs w:val="24"/>
        </w:rPr>
        <w:t>NR</w:t>
      </w:r>
      <w:r>
        <w:rPr>
          <w:rFonts w:ascii="Arial" w:hAnsi="Arial" w:cs="Arial"/>
          <w:b/>
          <w:bCs/>
          <w:sz w:val="24"/>
          <w:szCs w:val="24"/>
        </w:rPr>
        <w:t>Z</w:t>
      </w:r>
      <w:r w:rsidRPr="002C67BC">
        <w:rPr>
          <w:rFonts w:ascii="Arial" w:hAnsi="Arial" w:cs="Arial"/>
          <w:b/>
          <w:bCs/>
          <w:sz w:val="24"/>
          <w:szCs w:val="24"/>
        </w:rPr>
        <w:t xml:space="preserve"> </w:t>
      </w:r>
      <w:r w:rsidRPr="004869ED">
        <w:rPr>
          <w:rFonts w:ascii="Arial" w:hAnsi="Arial" w:cs="Arial"/>
          <w:b/>
          <w:bCs/>
          <w:sz w:val="24"/>
          <w:szCs w:val="24"/>
        </w:rPr>
        <w:t>IRM Rate Generator</w:t>
      </w:r>
      <w:r w:rsidRPr="002C67BC">
        <w:rPr>
          <w:rFonts w:ascii="Arial" w:hAnsi="Arial" w:cs="Arial"/>
          <w:b/>
          <w:bCs/>
          <w:sz w:val="24"/>
          <w:szCs w:val="24"/>
        </w:rPr>
        <w:t>, Tab 3, Continuity Schedule</w:t>
      </w:r>
    </w:p>
    <w:p w14:paraId="08E732EF" w14:textId="08727589" w:rsidR="006C360A" w:rsidRPr="006C360A" w:rsidRDefault="002C67BC" w:rsidP="006C360A">
      <w:pPr>
        <w:spacing w:after="0" w:line="276" w:lineRule="auto"/>
        <w:rPr>
          <w:rFonts w:ascii="Arial" w:hAnsi="Arial" w:cs="Arial"/>
          <w:b/>
          <w:bCs/>
          <w:sz w:val="24"/>
          <w:szCs w:val="24"/>
        </w:rPr>
      </w:pPr>
      <w:r>
        <w:rPr>
          <w:rFonts w:ascii="Arial" w:hAnsi="Arial" w:cs="Arial"/>
          <w:b/>
          <w:bCs/>
          <w:sz w:val="24"/>
          <w:szCs w:val="24"/>
        </w:rPr>
        <w:t xml:space="preserve">Ref 2: 2024 </w:t>
      </w:r>
      <w:r w:rsidR="00BB436B">
        <w:rPr>
          <w:rFonts w:ascii="Arial" w:hAnsi="Arial" w:cs="Arial"/>
          <w:b/>
          <w:bCs/>
          <w:sz w:val="24"/>
          <w:szCs w:val="24"/>
        </w:rPr>
        <w:t xml:space="preserve">KWRZ </w:t>
      </w:r>
      <w:r w:rsidR="00BB436B" w:rsidRPr="004869ED">
        <w:rPr>
          <w:rFonts w:ascii="Arial" w:hAnsi="Arial" w:cs="Arial"/>
          <w:b/>
          <w:bCs/>
          <w:sz w:val="24"/>
          <w:szCs w:val="24"/>
        </w:rPr>
        <w:t>IRM Rate Generator</w:t>
      </w:r>
      <w:r w:rsidR="00BB436B" w:rsidRPr="00BB436B">
        <w:rPr>
          <w:rFonts w:ascii="Arial" w:hAnsi="Arial" w:cs="Arial"/>
          <w:b/>
          <w:bCs/>
          <w:sz w:val="24"/>
          <w:szCs w:val="24"/>
        </w:rPr>
        <w:t>, Tab 3, Continuity Schedule</w:t>
      </w:r>
    </w:p>
    <w:p w14:paraId="0C907B03" w14:textId="008B140E" w:rsidR="006C360A" w:rsidRDefault="006C360A" w:rsidP="009D513A">
      <w:pPr>
        <w:spacing w:after="0" w:line="276" w:lineRule="auto"/>
        <w:rPr>
          <w:rFonts w:ascii="Arial" w:hAnsi="Arial" w:cs="Arial"/>
          <w:sz w:val="24"/>
          <w:szCs w:val="24"/>
        </w:rPr>
      </w:pPr>
    </w:p>
    <w:p w14:paraId="2E0DE64F" w14:textId="349F20F6" w:rsidR="00FA39B9" w:rsidRDefault="00FA39B9" w:rsidP="00FA39B9">
      <w:pPr>
        <w:spacing w:after="0" w:line="276" w:lineRule="auto"/>
        <w:rPr>
          <w:rFonts w:ascii="Arial" w:hAnsi="Arial" w:cs="Arial"/>
          <w:sz w:val="24"/>
          <w:szCs w:val="24"/>
        </w:rPr>
      </w:pPr>
      <w:r w:rsidRPr="00FA39B9">
        <w:rPr>
          <w:rFonts w:ascii="Arial" w:hAnsi="Arial" w:cs="Arial"/>
          <w:sz w:val="24"/>
          <w:szCs w:val="24"/>
        </w:rPr>
        <w:t>OEB staff has compiled table</w:t>
      </w:r>
      <w:r w:rsidR="00E82621">
        <w:rPr>
          <w:rFonts w:ascii="Arial" w:hAnsi="Arial" w:cs="Arial"/>
          <w:sz w:val="24"/>
          <w:szCs w:val="24"/>
        </w:rPr>
        <w:t>s</w:t>
      </w:r>
      <w:r w:rsidRPr="00FA39B9">
        <w:rPr>
          <w:rFonts w:ascii="Arial" w:hAnsi="Arial" w:cs="Arial"/>
          <w:sz w:val="24"/>
          <w:szCs w:val="24"/>
        </w:rPr>
        <w:t xml:space="preserve"> below comparing </w:t>
      </w:r>
      <w:r w:rsidR="00E82621">
        <w:rPr>
          <w:rFonts w:ascii="Arial" w:hAnsi="Arial" w:cs="Arial"/>
          <w:sz w:val="24"/>
          <w:szCs w:val="24"/>
        </w:rPr>
        <w:t>W</w:t>
      </w:r>
      <w:r w:rsidR="00AC51F1">
        <w:rPr>
          <w:rFonts w:ascii="Arial" w:hAnsi="Arial" w:cs="Arial"/>
          <w:sz w:val="24"/>
          <w:szCs w:val="24"/>
        </w:rPr>
        <w:t>NR</w:t>
      </w:r>
      <w:r w:rsidR="00E82621">
        <w:rPr>
          <w:rFonts w:ascii="Arial" w:hAnsi="Arial" w:cs="Arial"/>
          <w:sz w:val="24"/>
          <w:szCs w:val="24"/>
        </w:rPr>
        <w:t>Z and KWRZ’s</w:t>
      </w:r>
      <w:r w:rsidRPr="00FA39B9">
        <w:rPr>
          <w:rFonts w:ascii="Arial" w:hAnsi="Arial" w:cs="Arial"/>
          <w:sz w:val="24"/>
          <w:szCs w:val="24"/>
        </w:rPr>
        <w:t xml:space="preserve"> continuity balances from the 2023 rate application and the 2024 rate application. </w:t>
      </w:r>
    </w:p>
    <w:p w14:paraId="5431B8D0" w14:textId="77777777" w:rsidR="00D378D8" w:rsidRPr="00FA39B9" w:rsidRDefault="00D378D8" w:rsidP="00FA39B9">
      <w:pPr>
        <w:spacing w:after="0" w:line="276" w:lineRule="auto"/>
        <w:rPr>
          <w:rFonts w:ascii="Arial" w:hAnsi="Arial" w:cs="Arial"/>
          <w:sz w:val="24"/>
          <w:szCs w:val="24"/>
        </w:rPr>
      </w:pPr>
    </w:p>
    <w:p w14:paraId="38A403B4" w14:textId="5B30BC8F" w:rsidR="00BB436B" w:rsidRDefault="00D22BB1" w:rsidP="009D513A">
      <w:pPr>
        <w:spacing w:after="0" w:line="276" w:lineRule="auto"/>
        <w:rPr>
          <w:rFonts w:ascii="Arial" w:hAnsi="Arial" w:cs="Arial"/>
          <w:sz w:val="24"/>
          <w:szCs w:val="24"/>
        </w:rPr>
      </w:pPr>
      <w:r w:rsidRPr="00D22BB1">
        <w:rPr>
          <w:rFonts w:ascii="Arial" w:hAnsi="Arial" w:cs="Arial"/>
          <w:noProof/>
          <w:sz w:val="24"/>
          <w:szCs w:val="24"/>
        </w:rPr>
        <w:drawing>
          <wp:inline distT="0" distB="0" distL="0" distR="0" wp14:anchorId="77BE8DCA" wp14:editId="0F49D16F">
            <wp:extent cx="629322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03833" cy="1831883"/>
                    </a:xfrm>
                    <a:prstGeom prst="rect">
                      <a:avLst/>
                    </a:prstGeom>
                  </pic:spPr>
                </pic:pic>
              </a:graphicData>
            </a:graphic>
          </wp:inline>
        </w:drawing>
      </w:r>
    </w:p>
    <w:p w14:paraId="7883E6D0" w14:textId="77777777" w:rsidR="00A05627" w:rsidRDefault="00A05627" w:rsidP="009D513A">
      <w:pPr>
        <w:spacing w:after="0" w:line="276" w:lineRule="auto"/>
        <w:rPr>
          <w:rFonts w:ascii="Arial" w:hAnsi="Arial" w:cs="Arial"/>
          <w:sz w:val="24"/>
          <w:szCs w:val="24"/>
        </w:rPr>
      </w:pPr>
    </w:p>
    <w:p w14:paraId="23909EF8" w14:textId="27974D13" w:rsidR="00A05627" w:rsidRDefault="00D378D8" w:rsidP="009D513A">
      <w:pPr>
        <w:spacing w:after="0" w:line="276" w:lineRule="auto"/>
        <w:rPr>
          <w:rFonts w:ascii="Arial" w:hAnsi="Arial" w:cs="Arial"/>
          <w:sz w:val="24"/>
          <w:szCs w:val="24"/>
        </w:rPr>
      </w:pPr>
      <w:r w:rsidRPr="00D378D8">
        <w:rPr>
          <w:rFonts w:ascii="Arial" w:hAnsi="Arial" w:cs="Arial"/>
          <w:noProof/>
          <w:sz w:val="24"/>
          <w:szCs w:val="24"/>
        </w:rPr>
        <w:drawing>
          <wp:inline distT="0" distB="0" distL="0" distR="0" wp14:anchorId="72749D34" wp14:editId="56DC5A41">
            <wp:extent cx="6276599" cy="1819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82161" cy="1820887"/>
                    </a:xfrm>
                    <a:prstGeom prst="rect">
                      <a:avLst/>
                    </a:prstGeom>
                  </pic:spPr>
                </pic:pic>
              </a:graphicData>
            </a:graphic>
          </wp:inline>
        </w:drawing>
      </w:r>
    </w:p>
    <w:p w14:paraId="5EC0B181" w14:textId="77777777" w:rsidR="00FA39B9" w:rsidRDefault="00FA39B9" w:rsidP="009D513A">
      <w:pPr>
        <w:spacing w:after="0" w:line="276" w:lineRule="auto"/>
        <w:rPr>
          <w:rFonts w:ascii="Arial" w:hAnsi="Arial" w:cs="Arial"/>
          <w:sz w:val="24"/>
          <w:szCs w:val="24"/>
        </w:rPr>
      </w:pPr>
    </w:p>
    <w:p w14:paraId="33FC2565" w14:textId="5504363B" w:rsidR="00D378D8" w:rsidRDefault="00D378D8" w:rsidP="009D513A">
      <w:pPr>
        <w:spacing w:after="0" w:line="276" w:lineRule="auto"/>
        <w:rPr>
          <w:rFonts w:ascii="Arial" w:hAnsi="Arial" w:cs="Arial"/>
          <w:sz w:val="24"/>
          <w:szCs w:val="24"/>
        </w:rPr>
      </w:pPr>
      <w:r>
        <w:rPr>
          <w:rFonts w:ascii="Arial" w:hAnsi="Arial" w:cs="Arial"/>
          <w:sz w:val="24"/>
          <w:szCs w:val="24"/>
        </w:rPr>
        <w:t>Questions:</w:t>
      </w:r>
    </w:p>
    <w:p w14:paraId="54397642" w14:textId="77777777" w:rsidR="00D378D8" w:rsidRDefault="00D378D8" w:rsidP="009D513A">
      <w:pPr>
        <w:spacing w:after="0" w:line="276" w:lineRule="auto"/>
        <w:rPr>
          <w:rFonts w:ascii="Arial" w:hAnsi="Arial" w:cs="Arial"/>
          <w:sz w:val="24"/>
          <w:szCs w:val="24"/>
        </w:rPr>
      </w:pPr>
    </w:p>
    <w:p w14:paraId="2A1343A6" w14:textId="416088D8" w:rsidR="00E667DD" w:rsidRPr="00E667DD" w:rsidRDefault="00E667DD" w:rsidP="00E667DD">
      <w:pPr>
        <w:pStyle w:val="ListParagraph"/>
        <w:numPr>
          <w:ilvl w:val="0"/>
          <w:numId w:val="13"/>
        </w:numPr>
        <w:rPr>
          <w:rFonts w:ascii="Arial" w:hAnsi="Arial" w:cs="Arial"/>
          <w:sz w:val="24"/>
          <w:szCs w:val="24"/>
        </w:rPr>
      </w:pPr>
      <w:r w:rsidRPr="00E667DD">
        <w:rPr>
          <w:rFonts w:ascii="Arial" w:hAnsi="Arial" w:cs="Arial"/>
          <w:sz w:val="24"/>
          <w:szCs w:val="24"/>
        </w:rPr>
        <w:t xml:space="preserve">Please explain the difference in </w:t>
      </w:r>
      <w:r w:rsidR="00F87769">
        <w:rPr>
          <w:rFonts w:ascii="Arial" w:hAnsi="Arial" w:cs="Arial"/>
          <w:sz w:val="24"/>
          <w:szCs w:val="24"/>
        </w:rPr>
        <w:t>W</w:t>
      </w:r>
      <w:r w:rsidR="00AC51F1">
        <w:rPr>
          <w:rFonts w:ascii="Arial" w:hAnsi="Arial" w:cs="Arial"/>
          <w:sz w:val="24"/>
          <w:szCs w:val="24"/>
        </w:rPr>
        <w:t xml:space="preserve">NRZ’s </w:t>
      </w:r>
      <w:r w:rsidRPr="00E667DD">
        <w:rPr>
          <w:rFonts w:ascii="Arial" w:hAnsi="Arial" w:cs="Arial"/>
          <w:sz w:val="24"/>
          <w:szCs w:val="24"/>
        </w:rPr>
        <w:t>Account 1595 (201</w:t>
      </w:r>
      <w:r w:rsidR="005E1217">
        <w:rPr>
          <w:rFonts w:ascii="Arial" w:hAnsi="Arial" w:cs="Arial"/>
          <w:sz w:val="24"/>
          <w:szCs w:val="24"/>
        </w:rPr>
        <w:t>7)</w:t>
      </w:r>
      <w:r w:rsidR="00F87769">
        <w:rPr>
          <w:rFonts w:ascii="Arial" w:hAnsi="Arial" w:cs="Arial"/>
          <w:sz w:val="24"/>
          <w:szCs w:val="24"/>
        </w:rPr>
        <w:t>, Account 1595 (2018),</w:t>
      </w:r>
      <w:r w:rsidR="005E1217">
        <w:rPr>
          <w:rFonts w:ascii="Arial" w:hAnsi="Arial" w:cs="Arial"/>
          <w:sz w:val="24"/>
          <w:szCs w:val="24"/>
        </w:rPr>
        <w:t xml:space="preserve"> </w:t>
      </w:r>
      <w:r w:rsidRPr="00E667DD">
        <w:rPr>
          <w:rFonts w:ascii="Arial" w:hAnsi="Arial" w:cs="Arial"/>
          <w:sz w:val="24"/>
          <w:szCs w:val="24"/>
        </w:rPr>
        <w:t>and Account 1595 (201</w:t>
      </w:r>
      <w:r w:rsidR="00F87769">
        <w:rPr>
          <w:rFonts w:ascii="Arial" w:hAnsi="Arial" w:cs="Arial"/>
          <w:sz w:val="24"/>
          <w:szCs w:val="24"/>
        </w:rPr>
        <w:t>9</w:t>
      </w:r>
      <w:r w:rsidRPr="00E667DD">
        <w:rPr>
          <w:rFonts w:ascii="Arial" w:hAnsi="Arial" w:cs="Arial"/>
          <w:sz w:val="24"/>
          <w:szCs w:val="24"/>
        </w:rPr>
        <w:t xml:space="preserve">) between the two IRM </w:t>
      </w:r>
      <w:r w:rsidR="005E1217">
        <w:rPr>
          <w:rFonts w:ascii="Arial" w:hAnsi="Arial" w:cs="Arial"/>
          <w:sz w:val="24"/>
          <w:szCs w:val="24"/>
        </w:rPr>
        <w:t>applications</w:t>
      </w:r>
      <w:r w:rsidRPr="00E667DD">
        <w:rPr>
          <w:rFonts w:ascii="Arial" w:hAnsi="Arial" w:cs="Arial"/>
          <w:sz w:val="24"/>
          <w:szCs w:val="24"/>
        </w:rPr>
        <w:t>.</w:t>
      </w:r>
    </w:p>
    <w:p w14:paraId="6D02ACB4" w14:textId="6F305F4E" w:rsidR="00D378D8" w:rsidRPr="00D378D8" w:rsidRDefault="00152C69" w:rsidP="00D378D8">
      <w:pPr>
        <w:pStyle w:val="ListParagraph"/>
        <w:numPr>
          <w:ilvl w:val="0"/>
          <w:numId w:val="13"/>
        </w:numPr>
        <w:spacing w:after="0" w:line="276" w:lineRule="auto"/>
        <w:rPr>
          <w:rFonts w:ascii="Arial" w:hAnsi="Arial" w:cs="Arial"/>
          <w:sz w:val="24"/>
          <w:szCs w:val="24"/>
        </w:rPr>
      </w:pPr>
      <w:r w:rsidRPr="00E667DD">
        <w:rPr>
          <w:rFonts w:ascii="Arial" w:hAnsi="Arial" w:cs="Arial"/>
          <w:sz w:val="24"/>
          <w:szCs w:val="24"/>
        </w:rPr>
        <w:t xml:space="preserve">Please explain the difference in </w:t>
      </w:r>
      <w:r w:rsidRPr="00152C69">
        <w:rPr>
          <w:rFonts w:ascii="Arial" w:hAnsi="Arial" w:cs="Arial"/>
          <w:sz w:val="24"/>
          <w:szCs w:val="24"/>
        </w:rPr>
        <w:t xml:space="preserve">WNRZ’s </w:t>
      </w:r>
      <w:r w:rsidRPr="00E667DD">
        <w:rPr>
          <w:rFonts w:ascii="Arial" w:hAnsi="Arial" w:cs="Arial"/>
          <w:sz w:val="24"/>
          <w:szCs w:val="24"/>
        </w:rPr>
        <w:t>Account 1595 (201</w:t>
      </w:r>
      <w:r>
        <w:rPr>
          <w:rFonts w:ascii="Arial" w:hAnsi="Arial" w:cs="Arial"/>
          <w:sz w:val="24"/>
          <w:szCs w:val="24"/>
        </w:rPr>
        <w:t>8</w:t>
      </w:r>
      <w:r w:rsidRPr="00152C69">
        <w:rPr>
          <w:rFonts w:ascii="Arial" w:hAnsi="Arial" w:cs="Arial"/>
          <w:sz w:val="24"/>
          <w:szCs w:val="24"/>
        </w:rPr>
        <w:t xml:space="preserve">), </w:t>
      </w:r>
      <w:r w:rsidRPr="00E667DD">
        <w:rPr>
          <w:rFonts w:ascii="Arial" w:hAnsi="Arial" w:cs="Arial"/>
          <w:sz w:val="24"/>
          <w:szCs w:val="24"/>
        </w:rPr>
        <w:t>and Account 1595 (201</w:t>
      </w:r>
      <w:r w:rsidRPr="00152C69">
        <w:rPr>
          <w:rFonts w:ascii="Arial" w:hAnsi="Arial" w:cs="Arial"/>
          <w:sz w:val="24"/>
          <w:szCs w:val="24"/>
        </w:rPr>
        <w:t>9</w:t>
      </w:r>
      <w:r w:rsidRPr="00E667DD">
        <w:rPr>
          <w:rFonts w:ascii="Arial" w:hAnsi="Arial" w:cs="Arial"/>
          <w:sz w:val="24"/>
          <w:szCs w:val="24"/>
        </w:rPr>
        <w:t xml:space="preserve">) between the two IRM </w:t>
      </w:r>
      <w:r w:rsidRPr="00152C69">
        <w:rPr>
          <w:rFonts w:ascii="Arial" w:hAnsi="Arial" w:cs="Arial"/>
          <w:sz w:val="24"/>
          <w:szCs w:val="24"/>
        </w:rPr>
        <w:t>applications</w:t>
      </w:r>
      <w:r>
        <w:rPr>
          <w:rFonts w:ascii="Arial" w:hAnsi="Arial" w:cs="Arial"/>
          <w:sz w:val="24"/>
          <w:szCs w:val="24"/>
        </w:rPr>
        <w:t>.</w:t>
      </w:r>
    </w:p>
    <w:p w14:paraId="7830A5AF" w14:textId="77777777" w:rsidR="00FA39B9" w:rsidRDefault="00FA39B9" w:rsidP="009D513A">
      <w:pPr>
        <w:spacing w:after="0" w:line="276" w:lineRule="auto"/>
        <w:rPr>
          <w:rFonts w:ascii="Arial" w:hAnsi="Arial" w:cs="Arial"/>
          <w:sz w:val="24"/>
          <w:szCs w:val="24"/>
        </w:rPr>
      </w:pPr>
    </w:p>
    <w:p w14:paraId="03BB492B" w14:textId="77777777" w:rsidR="004A646C" w:rsidRDefault="004A646C" w:rsidP="009D513A">
      <w:pPr>
        <w:spacing w:after="0" w:line="276" w:lineRule="auto"/>
        <w:rPr>
          <w:rFonts w:ascii="Arial" w:hAnsi="Arial" w:cs="Arial"/>
          <w:b/>
          <w:bCs/>
          <w:sz w:val="24"/>
          <w:szCs w:val="24"/>
        </w:rPr>
      </w:pPr>
    </w:p>
    <w:p w14:paraId="7377071D" w14:textId="77777777" w:rsidR="004A646C" w:rsidRDefault="004A646C" w:rsidP="009D513A">
      <w:pPr>
        <w:spacing w:after="0" w:line="276" w:lineRule="auto"/>
        <w:rPr>
          <w:rFonts w:ascii="Arial" w:hAnsi="Arial" w:cs="Arial"/>
          <w:b/>
          <w:bCs/>
          <w:sz w:val="24"/>
          <w:szCs w:val="24"/>
        </w:rPr>
      </w:pPr>
    </w:p>
    <w:p w14:paraId="413D486A" w14:textId="77777777" w:rsidR="004A646C" w:rsidRDefault="004A646C" w:rsidP="009D513A">
      <w:pPr>
        <w:spacing w:after="0" w:line="276" w:lineRule="auto"/>
        <w:rPr>
          <w:rFonts w:ascii="Arial" w:hAnsi="Arial" w:cs="Arial"/>
          <w:b/>
          <w:bCs/>
          <w:sz w:val="24"/>
          <w:szCs w:val="24"/>
        </w:rPr>
      </w:pPr>
    </w:p>
    <w:p w14:paraId="6525B99E" w14:textId="77777777" w:rsidR="004A646C" w:rsidRDefault="004A646C" w:rsidP="009D513A">
      <w:pPr>
        <w:spacing w:after="0" w:line="276" w:lineRule="auto"/>
        <w:rPr>
          <w:rFonts w:ascii="Arial" w:hAnsi="Arial" w:cs="Arial"/>
          <w:b/>
          <w:bCs/>
          <w:sz w:val="24"/>
          <w:szCs w:val="24"/>
        </w:rPr>
      </w:pPr>
    </w:p>
    <w:p w14:paraId="4E49B203" w14:textId="77777777" w:rsidR="005441F5" w:rsidRPr="005441F5" w:rsidRDefault="005441F5" w:rsidP="008C7E6A">
      <w:pPr>
        <w:spacing w:after="0" w:line="276" w:lineRule="auto"/>
        <w:rPr>
          <w:rFonts w:ascii="Arial" w:hAnsi="Arial" w:cs="Arial"/>
          <w:sz w:val="24"/>
          <w:szCs w:val="24"/>
        </w:rPr>
      </w:pPr>
    </w:p>
    <w:sectPr w:rsidR="005441F5" w:rsidRPr="005441F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153A" w14:textId="77777777" w:rsidR="005866BB" w:rsidRDefault="005866BB" w:rsidP="00BF048E">
      <w:pPr>
        <w:spacing w:after="0" w:line="240" w:lineRule="auto"/>
      </w:pPr>
      <w:r>
        <w:separator/>
      </w:r>
    </w:p>
  </w:endnote>
  <w:endnote w:type="continuationSeparator" w:id="0">
    <w:p w14:paraId="72C2DBA9" w14:textId="77777777" w:rsidR="005866BB" w:rsidRDefault="005866BB" w:rsidP="00BF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1609" w14:textId="77777777" w:rsidR="005866BB" w:rsidRDefault="005866BB" w:rsidP="00BF048E">
      <w:pPr>
        <w:spacing w:after="0" w:line="240" w:lineRule="auto"/>
      </w:pPr>
      <w:r>
        <w:separator/>
      </w:r>
    </w:p>
  </w:footnote>
  <w:footnote w:type="continuationSeparator" w:id="0">
    <w:p w14:paraId="190A640B" w14:textId="77777777" w:rsidR="005866BB" w:rsidRDefault="005866BB" w:rsidP="00BF048E">
      <w:pPr>
        <w:spacing w:after="0" w:line="240" w:lineRule="auto"/>
      </w:pPr>
      <w:r>
        <w:continuationSeparator/>
      </w:r>
    </w:p>
  </w:footnote>
  <w:footnote w:id="1">
    <w:p w14:paraId="4C41D54B" w14:textId="77777777" w:rsidR="00BF048E" w:rsidRDefault="00BF048E" w:rsidP="00BF048E">
      <w:pPr>
        <w:pStyle w:val="FootnoteText"/>
      </w:pPr>
      <w:r w:rsidRPr="00EB7625">
        <w:rPr>
          <w:rStyle w:val="FootnoteReference"/>
          <w:rFonts w:ascii="Arial" w:hAnsi="Arial" w:cs="Arial"/>
        </w:rPr>
        <w:footnoteRef/>
      </w:r>
      <w:r>
        <w:t xml:space="preserve"> OEB Letter, </w:t>
      </w:r>
      <w:r w:rsidRPr="00EB7625">
        <w:rPr>
          <w:bCs/>
          <w:lang w:val="en-CA"/>
        </w:rPr>
        <w:t>EB-2023-0222</w:t>
      </w:r>
      <w:r>
        <w:rPr>
          <w:bCs/>
          <w:lang w:val="en-CA"/>
        </w:rPr>
        <w:t xml:space="preserve">, </w:t>
      </w:r>
      <w:r w:rsidRPr="00EB7625">
        <w:rPr>
          <w:bCs/>
          <w:lang w:val="en-CA"/>
        </w:rPr>
        <w:t>2024 Preliminary Uniform Transmission Rates and Hydro One Sub-Transmission Rates</w:t>
      </w:r>
      <w:r>
        <w:rPr>
          <w:bCs/>
          <w:lang w:val="en-CA"/>
        </w:rPr>
        <w:t>, issued September 28,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3CBE" w14:textId="4657313C" w:rsidR="002D573A" w:rsidRDefault="002D573A" w:rsidP="002D573A">
    <w:pPr>
      <w:pStyle w:val="Header"/>
    </w:pPr>
    <w:r>
      <w:tab/>
    </w:r>
    <w:r>
      <w:tab/>
    </w:r>
    <w:r w:rsidR="000A001D" w:rsidRPr="000A001D">
      <w:t>Enova Power Corp.</w:t>
    </w:r>
  </w:p>
  <w:p w14:paraId="067D2430" w14:textId="77777777" w:rsidR="002D573A" w:rsidRDefault="002D573A" w:rsidP="002D573A">
    <w:pPr>
      <w:pStyle w:val="Header"/>
    </w:pPr>
    <w:r>
      <w:tab/>
    </w:r>
    <w:r>
      <w:tab/>
      <w:t>OEB Staff Questions</w:t>
    </w:r>
  </w:p>
  <w:p w14:paraId="38399663" w14:textId="6B49D4F2" w:rsidR="002D573A" w:rsidRDefault="002D573A" w:rsidP="002D573A">
    <w:pPr>
      <w:pStyle w:val="Header"/>
    </w:pPr>
    <w:r>
      <w:tab/>
    </w:r>
    <w:r>
      <w:tab/>
      <w:t>EB-2023-0015</w:t>
    </w:r>
  </w:p>
  <w:p w14:paraId="0A7B44AC" w14:textId="77777777" w:rsidR="00695F74" w:rsidRDefault="00695F74" w:rsidP="002D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D59"/>
    <w:multiLevelType w:val="hybridMultilevel"/>
    <w:tmpl w:val="E58E0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0FE9"/>
    <w:multiLevelType w:val="hybridMultilevel"/>
    <w:tmpl w:val="0804D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43879"/>
    <w:multiLevelType w:val="hybridMultilevel"/>
    <w:tmpl w:val="26E46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F75E6"/>
    <w:multiLevelType w:val="hybridMultilevel"/>
    <w:tmpl w:val="08ACF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70601"/>
    <w:multiLevelType w:val="hybridMultilevel"/>
    <w:tmpl w:val="FF0CF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2BA7"/>
    <w:multiLevelType w:val="hybridMultilevel"/>
    <w:tmpl w:val="BEA8C1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9D6BAA"/>
    <w:multiLevelType w:val="hybridMultilevel"/>
    <w:tmpl w:val="AECC7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674D9"/>
    <w:multiLevelType w:val="hybridMultilevel"/>
    <w:tmpl w:val="F39091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BF46CF3"/>
    <w:multiLevelType w:val="hybridMultilevel"/>
    <w:tmpl w:val="844A9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640DF"/>
    <w:multiLevelType w:val="hybridMultilevel"/>
    <w:tmpl w:val="A038F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021B3"/>
    <w:multiLevelType w:val="hybridMultilevel"/>
    <w:tmpl w:val="3146B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825BA8"/>
    <w:multiLevelType w:val="hybridMultilevel"/>
    <w:tmpl w:val="15E8C7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019750">
    <w:abstractNumId w:val="9"/>
  </w:num>
  <w:num w:numId="2" w16cid:durableId="1826821577">
    <w:abstractNumId w:val="4"/>
  </w:num>
  <w:num w:numId="3" w16cid:durableId="106236014">
    <w:abstractNumId w:val="11"/>
  </w:num>
  <w:num w:numId="4" w16cid:durableId="633026036">
    <w:abstractNumId w:val="1"/>
  </w:num>
  <w:num w:numId="5" w16cid:durableId="1889141706">
    <w:abstractNumId w:val="2"/>
  </w:num>
  <w:num w:numId="6" w16cid:durableId="703746455">
    <w:abstractNumId w:val="10"/>
  </w:num>
  <w:num w:numId="7" w16cid:durableId="1273168695">
    <w:abstractNumId w:val="3"/>
  </w:num>
  <w:num w:numId="8" w16cid:durableId="1427001855">
    <w:abstractNumId w:val="6"/>
  </w:num>
  <w:num w:numId="9" w16cid:durableId="1006321547">
    <w:abstractNumId w:val="12"/>
  </w:num>
  <w:num w:numId="10" w16cid:durableId="1713111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263073">
    <w:abstractNumId w:val="7"/>
  </w:num>
  <w:num w:numId="12" w16cid:durableId="1690839040">
    <w:abstractNumId w:val="8"/>
  </w:num>
  <w:num w:numId="13" w16cid:durableId="719325066">
    <w:abstractNumId w:val="0"/>
  </w:num>
  <w:num w:numId="14" w16cid:durableId="2122188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6B"/>
    <w:rsid w:val="0001018C"/>
    <w:rsid w:val="000130F7"/>
    <w:rsid w:val="00023045"/>
    <w:rsid w:val="00033736"/>
    <w:rsid w:val="00043431"/>
    <w:rsid w:val="00067B44"/>
    <w:rsid w:val="00067E89"/>
    <w:rsid w:val="0008059E"/>
    <w:rsid w:val="00080DD7"/>
    <w:rsid w:val="0009127B"/>
    <w:rsid w:val="00092BB8"/>
    <w:rsid w:val="0009715D"/>
    <w:rsid w:val="000A001D"/>
    <w:rsid w:val="000A16B2"/>
    <w:rsid w:val="000C31CE"/>
    <w:rsid w:val="000D76C2"/>
    <w:rsid w:val="000F4798"/>
    <w:rsid w:val="00100746"/>
    <w:rsid w:val="00107797"/>
    <w:rsid w:val="00110EAE"/>
    <w:rsid w:val="00125ADB"/>
    <w:rsid w:val="00126DC1"/>
    <w:rsid w:val="00152C69"/>
    <w:rsid w:val="00155688"/>
    <w:rsid w:val="00176264"/>
    <w:rsid w:val="00186169"/>
    <w:rsid w:val="001A7568"/>
    <w:rsid w:val="001B00B5"/>
    <w:rsid w:val="001B43CC"/>
    <w:rsid w:val="001C0622"/>
    <w:rsid w:val="001E138C"/>
    <w:rsid w:val="002000F3"/>
    <w:rsid w:val="002055A6"/>
    <w:rsid w:val="0022246A"/>
    <w:rsid w:val="00226C3F"/>
    <w:rsid w:val="00246470"/>
    <w:rsid w:val="00250A39"/>
    <w:rsid w:val="00253724"/>
    <w:rsid w:val="002557AD"/>
    <w:rsid w:val="00257391"/>
    <w:rsid w:val="00260EA7"/>
    <w:rsid w:val="002666A2"/>
    <w:rsid w:val="0027141E"/>
    <w:rsid w:val="00276E08"/>
    <w:rsid w:val="00281E94"/>
    <w:rsid w:val="002860CA"/>
    <w:rsid w:val="00292191"/>
    <w:rsid w:val="002A620D"/>
    <w:rsid w:val="002C60D6"/>
    <w:rsid w:val="002C67BC"/>
    <w:rsid w:val="002D0929"/>
    <w:rsid w:val="002D573A"/>
    <w:rsid w:val="002D66B5"/>
    <w:rsid w:val="002D6ACB"/>
    <w:rsid w:val="002E17A8"/>
    <w:rsid w:val="002F4AA3"/>
    <w:rsid w:val="0030607A"/>
    <w:rsid w:val="0031000E"/>
    <w:rsid w:val="0031110E"/>
    <w:rsid w:val="00333661"/>
    <w:rsid w:val="0033743E"/>
    <w:rsid w:val="00347725"/>
    <w:rsid w:val="00353449"/>
    <w:rsid w:val="00377E22"/>
    <w:rsid w:val="003802CE"/>
    <w:rsid w:val="00384B68"/>
    <w:rsid w:val="00392644"/>
    <w:rsid w:val="003A0D42"/>
    <w:rsid w:val="003A1CBE"/>
    <w:rsid w:val="003D109B"/>
    <w:rsid w:val="003D20D7"/>
    <w:rsid w:val="003D25F4"/>
    <w:rsid w:val="00400837"/>
    <w:rsid w:val="00431251"/>
    <w:rsid w:val="004357B0"/>
    <w:rsid w:val="00440BDA"/>
    <w:rsid w:val="00462DD9"/>
    <w:rsid w:val="00463C8A"/>
    <w:rsid w:val="00464D50"/>
    <w:rsid w:val="00466A08"/>
    <w:rsid w:val="004869ED"/>
    <w:rsid w:val="004962E4"/>
    <w:rsid w:val="004A017B"/>
    <w:rsid w:val="004A09C8"/>
    <w:rsid w:val="004A646C"/>
    <w:rsid w:val="004A7F8F"/>
    <w:rsid w:val="004C7371"/>
    <w:rsid w:val="004D16D5"/>
    <w:rsid w:val="004E3248"/>
    <w:rsid w:val="004F0063"/>
    <w:rsid w:val="00504721"/>
    <w:rsid w:val="00530909"/>
    <w:rsid w:val="005441F5"/>
    <w:rsid w:val="00550B8F"/>
    <w:rsid w:val="00552517"/>
    <w:rsid w:val="005545B4"/>
    <w:rsid w:val="005553C1"/>
    <w:rsid w:val="0057290F"/>
    <w:rsid w:val="005752B0"/>
    <w:rsid w:val="00582114"/>
    <w:rsid w:val="0058532F"/>
    <w:rsid w:val="005866BB"/>
    <w:rsid w:val="005977C7"/>
    <w:rsid w:val="005B396B"/>
    <w:rsid w:val="005E1217"/>
    <w:rsid w:val="005F7672"/>
    <w:rsid w:val="00600148"/>
    <w:rsid w:val="00601419"/>
    <w:rsid w:val="00605F1E"/>
    <w:rsid w:val="00617D37"/>
    <w:rsid w:val="006266DD"/>
    <w:rsid w:val="00641B96"/>
    <w:rsid w:val="006452CF"/>
    <w:rsid w:val="006468AA"/>
    <w:rsid w:val="006474C2"/>
    <w:rsid w:val="006638E6"/>
    <w:rsid w:val="00671B0A"/>
    <w:rsid w:val="006753AB"/>
    <w:rsid w:val="00676A22"/>
    <w:rsid w:val="006938DB"/>
    <w:rsid w:val="00695F74"/>
    <w:rsid w:val="006A1AFF"/>
    <w:rsid w:val="006B469B"/>
    <w:rsid w:val="006C360A"/>
    <w:rsid w:val="006C7353"/>
    <w:rsid w:val="006D0B0D"/>
    <w:rsid w:val="006D5735"/>
    <w:rsid w:val="006E38C3"/>
    <w:rsid w:val="007613EA"/>
    <w:rsid w:val="0077073A"/>
    <w:rsid w:val="00781D8B"/>
    <w:rsid w:val="00787C72"/>
    <w:rsid w:val="00791DB2"/>
    <w:rsid w:val="00794011"/>
    <w:rsid w:val="00794AC4"/>
    <w:rsid w:val="00797CD3"/>
    <w:rsid w:val="007B50EC"/>
    <w:rsid w:val="007B717F"/>
    <w:rsid w:val="007D5A45"/>
    <w:rsid w:val="007D644A"/>
    <w:rsid w:val="007D6EB7"/>
    <w:rsid w:val="007E0040"/>
    <w:rsid w:val="007E168B"/>
    <w:rsid w:val="007E16B0"/>
    <w:rsid w:val="007E2846"/>
    <w:rsid w:val="007F0BB3"/>
    <w:rsid w:val="008076B1"/>
    <w:rsid w:val="008156F9"/>
    <w:rsid w:val="00817754"/>
    <w:rsid w:val="0082766C"/>
    <w:rsid w:val="008436FB"/>
    <w:rsid w:val="00846FF6"/>
    <w:rsid w:val="008642B0"/>
    <w:rsid w:val="00872615"/>
    <w:rsid w:val="0089303F"/>
    <w:rsid w:val="008A324E"/>
    <w:rsid w:val="008B565F"/>
    <w:rsid w:val="008B584D"/>
    <w:rsid w:val="008B7DB6"/>
    <w:rsid w:val="008C2DD6"/>
    <w:rsid w:val="008C7887"/>
    <w:rsid w:val="008C7E6A"/>
    <w:rsid w:val="008D12DB"/>
    <w:rsid w:val="008D5388"/>
    <w:rsid w:val="008F5C3E"/>
    <w:rsid w:val="00920211"/>
    <w:rsid w:val="00926946"/>
    <w:rsid w:val="00927132"/>
    <w:rsid w:val="00937A9B"/>
    <w:rsid w:val="00953978"/>
    <w:rsid w:val="00956D97"/>
    <w:rsid w:val="00957B2A"/>
    <w:rsid w:val="00965431"/>
    <w:rsid w:val="0097687D"/>
    <w:rsid w:val="00984EC3"/>
    <w:rsid w:val="00997045"/>
    <w:rsid w:val="00997685"/>
    <w:rsid w:val="009A60DD"/>
    <w:rsid w:val="009A6489"/>
    <w:rsid w:val="009A7C1E"/>
    <w:rsid w:val="009C018C"/>
    <w:rsid w:val="009D513A"/>
    <w:rsid w:val="009F318C"/>
    <w:rsid w:val="009F49BB"/>
    <w:rsid w:val="00A01436"/>
    <w:rsid w:val="00A05627"/>
    <w:rsid w:val="00A05C89"/>
    <w:rsid w:val="00A12579"/>
    <w:rsid w:val="00A15A93"/>
    <w:rsid w:val="00A27565"/>
    <w:rsid w:val="00A31BF3"/>
    <w:rsid w:val="00A421EF"/>
    <w:rsid w:val="00A63D5F"/>
    <w:rsid w:val="00A67881"/>
    <w:rsid w:val="00A82687"/>
    <w:rsid w:val="00A85CA3"/>
    <w:rsid w:val="00A87340"/>
    <w:rsid w:val="00A94298"/>
    <w:rsid w:val="00A9779B"/>
    <w:rsid w:val="00AA3E69"/>
    <w:rsid w:val="00AA581B"/>
    <w:rsid w:val="00AA6437"/>
    <w:rsid w:val="00AC247E"/>
    <w:rsid w:val="00AC51F1"/>
    <w:rsid w:val="00AC7572"/>
    <w:rsid w:val="00AF037F"/>
    <w:rsid w:val="00B07841"/>
    <w:rsid w:val="00B2020A"/>
    <w:rsid w:val="00B20F72"/>
    <w:rsid w:val="00B234C4"/>
    <w:rsid w:val="00B33140"/>
    <w:rsid w:val="00B37F1B"/>
    <w:rsid w:val="00B4520F"/>
    <w:rsid w:val="00B52F7F"/>
    <w:rsid w:val="00B7020D"/>
    <w:rsid w:val="00B96134"/>
    <w:rsid w:val="00BA0996"/>
    <w:rsid w:val="00BB3673"/>
    <w:rsid w:val="00BB436B"/>
    <w:rsid w:val="00BD4BE6"/>
    <w:rsid w:val="00BE2ABD"/>
    <w:rsid w:val="00BF048E"/>
    <w:rsid w:val="00C04711"/>
    <w:rsid w:val="00C35EE9"/>
    <w:rsid w:val="00C362AB"/>
    <w:rsid w:val="00C4341A"/>
    <w:rsid w:val="00C814D4"/>
    <w:rsid w:val="00C91288"/>
    <w:rsid w:val="00C9537D"/>
    <w:rsid w:val="00CA2779"/>
    <w:rsid w:val="00CA2DAF"/>
    <w:rsid w:val="00CC3F7F"/>
    <w:rsid w:val="00CC7A76"/>
    <w:rsid w:val="00CD267B"/>
    <w:rsid w:val="00CD3482"/>
    <w:rsid w:val="00CE7C5C"/>
    <w:rsid w:val="00CF16FA"/>
    <w:rsid w:val="00CF2767"/>
    <w:rsid w:val="00CF7110"/>
    <w:rsid w:val="00D175EE"/>
    <w:rsid w:val="00D22BB1"/>
    <w:rsid w:val="00D27433"/>
    <w:rsid w:val="00D3337E"/>
    <w:rsid w:val="00D34BA3"/>
    <w:rsid w:val="00D378D8"/>
    <w:rsid w:val="00D55751"/>
    <w:rsid w:val="00D775D7"/>
    <w:rsid w:val="00D776E3"/>
    <w:rsid w:val="00D80524"/>
    <w:rsid w:val="00D82125"/>
    <w:rsid w:val="00D8312B"/>
    <w:rsid w:val="00DA644F"/>
    <w:rsid w:val="00DC1F65"/>
    <w:rsid w:val="00DD730E"/>
    <w:rsid w:val="00DE19E6"/>
    <w:rsid w:val="00DE728B"/>
    <w:rsid w:val="00E11150"/>
    <w:rsid w:val="00E15CBF"/>
    <w:rsid w:val="00E17F95"/>
    <w:rsid w:val="00E35087"/>
    <w:rsid w:val="00E41AC8"/>
    <w:rsid w:val="00E52A52"/>
    <w:rsid w:val="00E667DD"/>
    <w:rsid w:val="00E676BF"/>
    <w:rsid w:val="00E73C60"/>
    <w:rsid w:val="00E82621"/>
    <w:rsid w:val="00E91A51"/>
    <w:rsid w:val="00E96617"/>
    <w:rsid w:val="00EC459D"/>
    <w:rsid w:val="00ED2B2D"/>
    <w:rsid w:val="00EE1BC3"/>
    <w:rsid w:val="00F04425"/>
    <w:rsid w:val="00F24B86"/>
    <w:rsid w:val="00F3128A"/>
    <w:rsid w:val="00F53442"/>
    <w:rsid w:val="00F70CBB"/>
    <w:rsid w:val="00F71376"/>
    <w:rsid w:val="00F71A41"/>
    <w:rsid w:val="00F77287"/>
    <w:rsid w:val="00F82785"/>
    <w:rsid w:val="00F828CE"/>
    <w:rsid w:val="00F85764"/>
    <w:rsid w:val="00F85C7A"/>
    <w:rsid w:val="00F87769"/>
    <w:rsid w:val="00FA39B9"/>
    <w:rsid w:val="00FB0757"/>
    <w:rsid w:val="00FB0790"/>
    <w:rsid w:val="00FB11FD"/>
    <w:rsid w:val="00FB4B5D"/>
    <w:rsid w:val="00FB7FAA"/>
    <w:rsid w:val="00FD5C41"/>
    <w:rsid w:val="00FE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24009"/>
  <w15:chartTrackingRefBased/>
  <w15:docId w15:val="{77D3A466-75CD-4CC4-B8A1-CACEEE0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52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D80524"/>
    <w:pPr>
      <w:ind w:left="720"/>
      <w:contextualSpacing/>
    </w:pPr>
  </w:style>
  <w:style w:type="character" w:styleId="Hyperlink">
    <w:name w:val="Hyperlink"/>
    <w:basedOn w:val="DefaultParagraphFont"/>
    <w:uiPriority w:val="99"/>
    <w:unhideWhenUsed/>
    <w:rsid w:val="009D513A"/>
    <w:rPr>
      <w:color w:val="0563C1" w:themeColor="hyperlink"/>
      <w:u w:val="single"/>
    </w:rPr>
  </w:style>
  <w:style w:type="paragraph" w:styleId="FootnoteText">
    <w:name w:val="footnote text"/>
    <w:basedOn w:val="Normal"/>
    <w:link w:val="FootnoteTextChar"/>
    <w:uiPriority w:val="99"/>
    <w:semiHidden/>
    <w:unhideWhenUsed/>
    <w:rsid w:val="00BF0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8E"/>
    <w:rPr>
      <w:sz w:val="20"/>
      <w:szCs w:val="20"/>
    </w:rPr>
  </w:style>
  <w:style w:type="character" w:styleId="FootnoteReference">
    <w:name w:val="footnote reference"/>
    <w:basedOn w:val="DefaultParagraphFont"/>
    <w:uiPriority w:val="99"/>
    <w:semiHidden/>
    <w:unhideWhenUsed/>
    <w:rsid w:val="00BF048E"/>
    <w:rPr>
      <w:vertAlign w:val="superscript"/>
    </w:rPr>
  </w:style>
  <w:style w:type="character" w:styleId="CommentReference">
    <w:name w:val="annotation reference"/>
    <w:basedOn w:val="DefaultParagraphFont"/>
    <w:uiPriority w:val="99"/>
    <w:semiHidden/>
    <w:unhideWhenUsed/>
    <w:rsid w:val="00A63D5F"/>
    <w:rPr>
      <w:sz w:val="16"/>
      <w:szCs w:val="16"/>
    </w:rPr>
  </w:style>
  <w:style w:type="paragraph" w:styleId="CommentText">
    <w:name w:val="annotation text"/>
    <w:basedOn w:val="Normal"/>
    <w:link w:val="CommentTextChar"/>
    <w:uiPriority w:val="99"/>
    <w:unhideWhenUsed/>
    <w:rsid w:val="00A63D5F"/>
    <w:pPr>
      <w:spacing w:line="240" w:lineRule="auto"/>
    </w:pPr>
    <w:rPr>
      <w:sz w:val="20"/>
      <w:szCs w:val="20"/>
    </w:rPr>
  </w:style>
  <w:style w:type="character" w:customStyle="1" w:styleId="CommentTextChar">
    <w:name w:val="Comment Text Char"/>
    <w:basedOn w:val="DefaultParagraphFont"/>
    <w:link w:val="CommentText"/>
    <w:uiPriority w:val="99"/>
    <w:rsid w:val="00A63D5F"/>
    <w:rPr>
      <w:sz w:val="20"/>
      <w:szCs w:val="20"/>
    </w:rPr>
  </w:style>
  <w:style w:type="paragraph" w:styleId="CommentSubject">
    <w:name w:val="annotation subject"/>
    <w:basedOn w:val="CommentText"/>
    <w:next w:val="CommentText"/>
    <w:link w:val="CommentSubjectChar"/>
    <w:uiPriority w:val="99"/>
    <w:semiHidden/>
    <w:unhideWhenUsed/>
    <w:rsid w:val="00126DC1"/>
    <w:rPr>
      <w:b/>
      <w:bCs/>
    </w:rPr>
  </w:style>
  <w:style w:type="character" w:customStyle="1" w:styleId="CommentSubjectChar">
    <w:name w:val="Comment Subject Char"/>
    <w:basedOn w:val="CommentTextChar"/>
    <w:link w:val="CommentSubject"/>
    <w:uiPriority w:val="99"/>
    <w:semiHidden/>
    <w:rsid w:val="00126DC1"/>
    <w:rPr>
      <w:b/>
      <w:bCs/>
      <w:sz w:val="20"/>
      <w:szCs w:val="20"/>
    </w:rPr>
  </w:style>
  <w:style w:type="paragraph" w:styleId="Revision">
    <w:name w:val="Revision"/>
    <w:hidden/>
    <w:uiPriority w:val="99"/>
    <w:semiHidden/>
    <w:rsid w:val="002E17A8"/>
    <w:pPr>
      <w:spacing w:after="0" w:line="240" w:lineRule="auto"/>
    </w:pPr>
  </w:style>
  <w:style w:type="paragraph" w:styleId="Header">
    <w:name w:val="header"/>
    <w:basedOn w:val="Normal"/>
    <w:link w:val="HeaderChar"/>
    <w:uiPriority w:val="99"/>
    <w:unhideWhenUsed/>
    <w:rsid w:val="002D5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3A"/>
  </w:style>
  <w:style w:type="paragraph" w:styleId="Footer">
    <w:name w:val="footer"/>
    <w:basedOn w:val="Normal"/>
    <w:link w:val="FooterChar"/>
    <w:uiPriority w:val="99"/>
    <w:unhideWhenUsed/>
    <w:rsid w:val="002D5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224539">
      <w:bodyDiv w:val="1"/>
      <w:marLeft w:val="0"/>
      <w:marRight w:val="0"/>
      <w:marTop w:val="0"/>
      <w:marBottom w:val="0"/>
      <w:divBdr>
        <w:top w:val="none" w:sz="0" w:space="0" w:color="auto"/>
        <w:left w:val="none" w:sz="0" w:space="0" w:color="auto"/>
        <w:bottom w:val="none" w:sz="0" w:space="0" w:color="auto"/>
        <w:right w:val="none" w:sz="0" w:space="0" w:color="auto"/>
      </w:divBdr>
    </w:div>
    <w:div w:id="16630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1201</Words>
  <Characters>6659</Characters>
  <Application>Microsoft Office Word</Application>
  <DocSecurity>0</DocSecurity>
  <Lines>204</Lines>
  <Paragraphs>60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Lizzie Zhang</cp:lastModifiedBy>
  <cp:revision>15</cp:revision>
  <dcterms:created xsi:type="dcterms:W3CDTF">2023-10-06T15:45:00Z</dcterms:created>
  <dcterms:modified xsi:type="dcterms:W3CDTF">2023-10-06T16:15:00Z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6e53978c9c3d27a431735d6f9ec133c1f733d4088693bf40c2b29fd2034e35dd</vt:lpwstr>
  </property>
</Properties>
</file>