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1C30A" w14:textId="77777777" w:rsidR="005F39FA" w:rsidRDefault="005F39FA">
      <w:pPr>
        <w:pStyle w:val="BodyText"/>
        <w:rPr>
          <w:rFonts w:ascii="Times New Roman"/>
          <w:sz w:val="20"/>
        </w:rPr>
      </w:pPr>
    </w:p>
    <w:p w14:paraId="6E243D48" w14:textId="77777777" w:rsidR="005F39FA" w:rsidRDefault="005F39FA">
      <w:pPr>
        <w:pStyle w:val="BodyText"/>
        <w:rPr>
          <w:rFonts w:ascii="Times New Roman"/>
          <w:sz w:val="20"/>
        </w:rPr>
      </w:pPr>
    </w:p>
    <w:p w14:paraId="7F4FED83" w14:textId="77777777" w:rsidR="005F39FA" w:rsidRDefault="005F39FA">
      <w:pPr>
        <w:pStyle w:val="BodyText"/>
        <w:rPr>
          <w:rFonts w:ascii="Times New Roman"/>
          <w:sz w:val="20"/>
        </w:rPr>
      </w:pPr>
    </w:p>
    <w:p w14:paraId="3857AC42" w14:textId="77777777" w:rsidR="005F39FA" w:rsidRDefault="005F39FA">
      <w:pPr>
        <w:pStyle w:val="BodyText"/>
        <w:rPr>
          <w:rFonts w:ascii="Times New Roman"/>
          <w:sz w:val="20"/>
        </w:rPr>
      </w:pPr>
    </w:p>
    <w:p w14:paraId="16782896" w14:textId="77777777" w:rsidR="005F39FA" w:rsidRDefault="005F39FA">
      <w:pPr>
        <w:pStyle w:val="BodyText"/>
        <w:rPr>
          <w:rFonts w:ascii="Times New Roman"/>
          <w:sz w:val="20"/>
        </w:rPr>
      </w:pPr>
    </w:p>
    <w:p w14:paraId="1AB9B658" w14:textId="77777777" w:rsidR="005F39FA" w:rsidRDefault="005F39FA">
      <w:pPr>
        <w:pStyle w:val="BodyText"/>
        <w:rPr>
          <w:rFonts w:ascii="Times New Roman"/>
          <w:sz w:val="20"/>
        </w:rPr>
      </w:pPr>
    </w:p>
    <w:p w14:paraId="61951C1E" w14:textId="77777777" w:rsidR="005F39FA" w:rsidRDefault="005F39FA">
      <w:pPr>
        <w:pStyle w:val="BodyText"/>
        <w:rPr>
          <w:rFonts w:ascii="Times New Roman"/>
          <w:sz w:val="20"/>
        </w:rPr>
      </w:pPr>
    </w:p>
    <w:p w14:paraId="3064960C" w14:textId="77777777" w:rsidR="005F39FA" w:rsidRDefault="005F39FA">
      <w:pPr>
        <w:pStyle w:val="BodyText"/>
        <w:spacing w:before="10"/>
        <w:rPr>
          <w:rFonts w:ascii="Times New Roman"/>
          <w:sz w:val="15"/>
        </w:rPr>
      </w:pPr>
    </w:p>
    <w:p w14:paraId="1DDD1A76" w14:textId="0ABC20C3" w:rsidR="005F39FA" w:rsidRDefault="008253E6" w:rsidP="007723FE">
      <w:pPr>
        <w:pStyle w:val="BodyText"/>
        <w:ind w:left="1440"/>
      </w:pPr>
      <w:r>
        <w:rPr>
          <w:noProof/>
        </w:rPr>
        <w:drawing>
          <wp:anchor distT="0" distB="0" distL="0" distR="0" simplePos="0" relativeHeight="15729152" behindDoc="0" locked="0" layoutInCell="1" allowOverlap="1" wp14:anchorId="17C8D69B" wp14:editId="0EDDAFFC">
            <wp:simplePos x="0" y="0"/>
            <wp:positionH relativeFrom="page">
              <wp:posOffset>13968</wp:posOffset>
            </wp:positionH>
            <wp:positionV relativeFrom="paragraph">
              <wp:posOffset>-1137402</wp:posOffset>
            </wp:positionV>
            <wp:extent cx="7758430" cy="100244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7758430" cy="1002447"/>
                    </a:xfrm>
                    <a:prstGeom prst="rect">
                      <a:avLst/>
                    </a:prstGeom>
                  </pic:spPr>
                </pic:pic>
              </a:graphicData>
            </a:graphic>
          </wp:anchor>
        </w:drawing>
      </w:r>
      <w:r w:rsidR="001E7610">
        <w:t>November 9, 2023</w:t>
      </w:r>
    </w:p>
    <w:p w14:paraId="464CDB03" w14:textId="77777777" w:rsidR="005F39FA" w:rsidRDefault="005F39FA" w:rsidP="007723FE">
      <w:pPr>
        <w:pStyle w:val="BodyText"/>
      </w:pPr>
    </w:p>
    <w:p w14:paraId="0D7ADA22" w14:textId="2ADD819A" w:rsidR="005F39FA" w:rsidRDefault="007723FE" w:rsidP="007723FE">
      <w:pPr>
        <w:pStyle w:val="BodyText"/>
        <w:ind w:left="1440"/>
      </w:pPr>
      <w:r>
        <w:t>Ontario Energy Board</w:t>
      </w:r>
    </w:p>
    <w:p w14:paraId="3D0F0E3D" w14:textId="77777777" w:rsidR="005F39FA" w:rsidRDefault="005F39FA" w:rsidP="007723FE">
      <w:pPr>
        <w:pStyle w:val="BodyText"/>
        <w:rPr>
          <w:sz w:val="21"/>
        </w:rPr>
      </w:pPr>
    </w:p>
    <w:p w14:paraId="05A2035E" w14:textId="6E32C88C" w:rsidR="005F39FA" w:rsidRDefault="008253E6" w:rsidP="007723FE">
      <w:pPr>
        <w:ind w:left="1440"/>
        <w:rPr>
          <w:i/>
        </w:rPr>
      </w:pPr>
      <w:r>
        <w:rPr>
          <w:i/>
        </w:rPr>
        <w:t>Sent</w:t>
      </w:r>
      <w:r>
        <w:rPr>
          <w:i/>
          <w:spacing w:val="-5"/>
        </w:rPr>
        <w:t xml:space="preserve"> </w:t>
      </w:r>
      <w:r>
        <w:rPr>
          <w:i/>
        </w:rPr>
        <w:t>via</w:t>
      </w:r>
      <w:r>
        <w:rPr>
          <w:i/>
          <w:spacing w:val="-3"/>
        </w:rPr>
        <w:t xml:space="preserve"> </w:t>
      </w:r>
      <w:r>
        <w:rPr>
          <w:i/>
        </w:rPr>
        <w:t>email</w:t>
      </w:r>
      <w:r>
        <w:rPr>
          <w:i/>
          <w:spacing w:val="-3"/>
        </w:rPr>
        <w:t xml:space="preserve"> </w:t>
      </w:r>
      <w:hyperlink r:id="rId7" w:history="1">
        <w:r w:rsidR="007723FE">
          <w:rPr>
            <w:rStyle w:val="Hyperlink"/>
            <w:rFonts w:ascii="Segoe UI" w:hAnsi="Segoe UI" w:cs="Segoe UI"/>
          </w:rPr>
          <w:t>zora.crnojacki@oeb.ca</w:t>
        </w:r>
      </w:hyperlink>
      <w:r w:rsidR="007723FE">
        <w:rPr>
          <w:rFonts w:ascii="Segoe UI" w:hAnsi="Segoe UI" w:cs="Segoe UI"/>
          <w:color w:val="2F5496"/>
        </w:rPr>
        <w:t xml:space="preserve">; </w:t>
      </w:r>
      <w:hyperlink r:id="rId8" w:history="1">
        <w:r w:rsidR="007723FE">
          <w:rPr>
            <w:rStyle w:val="Hyperlink"/>
            <w:rFonts w:ascii="Segoe UI" w:hAnsi="Segoe UI" w:cs="Segoe UI"/>
          </w:rPr>
          <w:t>registrar@oeb.ca</w:t>
        </w:r>
      </w:hyperlink>
    </w:p>
    <w:p w14:paraId="3367F262" w14:textId="77777777" w:rsidR="005F39FA" w:rsidRDefault="005F39FA" w:rsidP="007723FE">
      <w:pPr>
        <w:pStyle w:val="BodyText"/>
        <w:rPr>
          <w:i/>
          <w:sz w:val="17"/>
        </w:rPr>
      </w:pPr>
    </w:p>
    <w:p w14:paraId="20BEBC70" w14:textId="78906194" w:rsidR="007723FE" w:rsidRDefault="00B70FC8" w:rsidP="00B70FC8">
      <w:pPr>
        <w:pStyle w:val="BodyText"/>
        <w:spacing w:line="480" w:lineRule="auto"/>
        <w:ind w:left="1304" w:right="4093"/>
      </w:pPr>
      <w:r>
        <w:t xml:space="preserve">  </w:t>
      </w:r>
      <w:r w:rsidR="008253E6">
        <w:t>RE:</w:t>
      </w:r>
      <w:r w:rsidR="008253E6">
        <w:rPr>
          <w:spacing w:val="40"/>
        </w:rPr>
        <w:t xml:space="preserve"> </w:t>
      </w:r>
      <w:r w:rsidR="008253E6">
        <w:t>Panhandle</w:t>
      </w:r>
      <w:r w:rsidR="008253E6">
        <w:rPr>
          <w:spacing w:val="-4"/>
        </w:rPr>
        <w:t xml:space="preserve"> </w:t>
      </w:r>
      <w:r w:rsidR="008253E6">
        <w:t>Regional</w:t>
      </w:r>
      <w:r w:rsidR="008253E6">
        <w:rPr>
          <w:spacing w:val="-4"/>
        </w:rPr>
        <w:t xml:space="preserve"> </w:t>
      </w:r>
      <w:r w:rsidR="008253E6">
        <w:t>Expansion</w:t>
      </w:r>
      <w:r w:rsidR="008253E6">
        <w:rPr>
          <w:spacing w:val="-6"/>
        </w:rPr>
        <w:t xml:space="preserve"> </w:t>
      </w:r>
      <w:r w:rsidR="008253E6">
        <w:t>Project,</w:t>
      </w:r>
      <w:r w:rsidR="008253E6">
        <w:rPr>
          <w:spacing w:val="-4"/>
        </w:rPr>
        <w:t xml:space="preserve"> </w:t>
      </w:r>
      <w:r w:rsidR="008253E6">
        <w:t>Enbridge</w:t>
      </w:r>
      <w:r w:rsidR="008253E6">
        <w:rPr>
          <w:spacing w:val="-4"/>
        </w:rPr>
        <w:t xml:space="preserve"> </w:t>
      </w:r>
      <w:r w:rsidR="008253E6">
        <w:t>Gas</w:t>
      </w:r>
      <w:r w:rsidR="008253E6">
        <w:rPr>
          <w:spacing w:val="-4"/>
        </w:rPr>
        <w:t xml:space="preserve"> </w:t>
      </w:r>
      <w:r w:rsidR="008253E6">
        <w:t xml:space="preserve">Inc. </w:t>
      </w:r>
      <w:r w:rsidR="007723FE">
        <w:t>EB-2022-0157</w:t>
      </w:r>
    </w:p>
    <w:p w14:paraId="31CA1296" w14:textId="1E6AF067" w:rsidR="005F39FA" w:rsidRDefault="008253E6" w:rsidP="00B70FC8">
      <w:pPr>
        <w:pStyle w:val="BodyText"/>
        <w:spacing w:before="2"/>
        <w:ind w:left="1440" w:right="1417"/>
      </w:pPr>
      <w:r>
        <w:t>On</w:t>
      </w:r>
      <w:r>
        <w:rPr>
          <w:spacing w:val="-2"/>
        </w:rPr>
        <w:t xml:space="preserve"> </w:t>
      </w:r>
      <w:r>
        <w:t>behalf</w:t>
      </w:r>
      <w:r>
        <w:rPr>
          <w:spacing w:val="-2"/>
        </w:rPr>
        <w:t xml:space="preserve"> </w:t>
      </w:r>
      <w:r>
        <w:t>of</w:t>
      </w:r>
      <w:r>
        <w:rPr>
          <w:spacing w:val="-5"/>
        </w:rPr>
        <w:t xml:space="preserve"> </w:t>
      </w:r>
      <w:r>
        <w:t>Invest</w:t>
      </w:r>
      <w:r>
        <w:rPr>
          <w:spacing w:val="-4"/>
        </w:rPr>
        <w:t xml:space="preserve"> </w:t>
      </w:r>
      <w:proofErr w:type="spellStart"/>
      <w:r>
        <w:t>WindsorEssex</w:t>
      </w:r>
      <w:proofErr w:type="spellEnd"/>
      <w:r>
        <w:rPr>
          <w:spacing w:val="-5"/>
        </w:rPr>
        <w:t xml:space="preserve"> </w:t>
      </w:r>
      <w:r w:rsidR="00E014DD">
        <w:rPr>
          <w:spacing w:val="-5"/>
        </w:rPr>
        <w:t xml:space="preserve">and </w:t>
      </w:r>
      <w:proofErr w:type="gramStart"/>
      <w:r w:rsidR="00E014DD">
        <w:rPr>
          <w:spacing w:val="-5"/>
        </w:rPr>
        <w:t>in light of</w:t>
      </w:r>
      <w:proofErr w:type="gramEnd"/>
      <w:r w:rsidR="00E014DD">
        <w:rPr>
          <w:spacing w:val="-5"/>
        </w:rPr>
        <w:t xml:space="preserve"> current critical and time-sensitive Foreign Direct Investment that hinges on the approval of the </w:t>
      </w:r>
      <w:r>
        <w:t>proposed Panhandle Regional Expansion Project, with Enbridge Gas Inc.</w:t>
      </w:r>
      <w:r w:rsidR="00E014DD">
        <w:t>, I feel compelled to provide this additional information in support of the application. (please refer to details on page 2).</w:t>
      </w:r>
    </w:p>
    <w:p w14:paraId="3037DEC8" w14:textId="77777777" w:rsidR="005F39FA" w:rsidRDefault="005F39FA">
      <w:pPr>
        <w:pStyle w:val="BodyText"/>
        <w:spacing w:before="10"/>
        <w:rPr>
          <w:sz w:val="21"/>
        </w:rPr>
      </w:pPr>
    </w:p>
    <w:p w14:paraId="6A6A73C6" w14:textId="77777777" w:rsidR="005F39FA" w:rsidRDefault="008253E6">
      <w:pPr>
        <w:pStyle w:val="BodyText"/>
        <w:ind w:left="1440" w:right="1550"/>
      </w:pPr>
      <w:r>
        <w:t>As the leading economic development agency in Windsor and Essex County responsible for advancing economic development in the region, we know that an important part of this practice is ensuring that key</w:t>
      </w:r>
      <w:r>
        <w:rPr>
          <w:spacing w:val="-1"/>
        </w:rPr>
        <w:t xml:space="preserve"> </w:t>
      </w:r>
      <w:r>
        <w:t>infrastructure</w:t>
      </w:r>
      <w:r>
        <w:rPr>
          <w:spacing w:val="-1"/>
        </w:rPr>
        <w:t xml:space="preserve"> </w:t>
      </w:r>
      <w:r>
        <w:t>enhancements</w:t>
      </w:r>
      <w:r>
        <w:rPr>
          <w:spacing w:val="-4"/>
        </w:rPr>
        <w:t xml:space="preserve"> </w:t>
      </w:r>
      <w:r>
        <w:t>are in</w:t>
      </w:r>
      <w:r>
        <w:rPr>
          <w:spacing w:val="-5"/>
        </w:rPr>
        <w:t xml:space="preserve"> </w:t>
      </w:r>
      <w:r>
        <w:t>place</w:t>
      </w:r>
      <w:r>
        <w:rPr>
          <w:spacing w:val="-3"/>
        </w:rPr>
        <w:t xml:space="preserve"> </w:t>
      </w:r>
      <w:r>
        <w:t>to</w:t>
      </w:r>
      <w:r>
        <w:rPr>
          <w:spacing w:val="-2"/>
        </w:rPr>
        <w:t xml:space="preserve"> </w:t>
      </w:r>
      <w:r>
        <w:t>meet</w:t>
      </w:r>
      <w:r>
        <w:rPr>
          <w:spacing w:val="-5"/>
        </w:rPr>
        <w:t xml:space="preserve"> </w:t>
      </w:r>
      <w:r>
        <w:t>the</w:t>
      </w:r>
      <w:r>
        <w:rPr>
          <w:spacing w:val="-1"/>
        </w:rPr>
        <w:t xml:space="preserve"> </w:t>
      </w:r>
      <w:r>
        <w:t>ongoing</w:t>
      </w:r>
      <w:r>
        <w:rPr>
          <w:spacing w:val="-2"/>
        </w:rPr>
        <w:t xml:space="preserve"> </w:t>
      </w:r>
      <w:r>
        <w:t>needs</w:t>
      </w:r>
      <w:r>
        <w:rPr>
          <w:spacing w:val="-4"/>
        </w:rPr>
        <w:t xml:space="preserve"> </w:t>
      </w:r>
      <w:r>
        <w:t>of</w:t>
      </w:r>
      <w:r>
        <w:rPr>
          <w:spacing w:val="-4"/>
        </w:rPr>
        <w:t xml:space="preserve"> </w:t>
      </w:r>
      <w:r>
        <w:t>longstanding</w:t>
      </w:r>
      <w:r>
        <w:rPr>
          <w:spacing w:val="-2"/>
        </w:rPr>
        <w:t xml:space="preserve"> </w:t>
      </w:r>
      <w:r>
        <w:t>businesses</w:t>
      </w:r>
      <w:r>
        <w:rPr>
          <w:spacing w:val="-1"/>
        </w:rPr>
        <w:t xml:space="preserve"> </w:t>
      </w:r>
      <w:r>
        <w:t>in key industry sectors, and new and future investments.</w:t>
      </w:r>
      <w:r>
        <w:rPr>
          <w:spacing w:val="40"/>
        </w:rPr>
        <w:t xml:space="preserve"> </w:t>
      </w:r>
      <w:r>
        <w:t xml:space="preserve">The Panhandle Expansion Project is critical to guaranteeing increased access to reliable and sustainable energy for all current and future </w:t>
      </w:r>
      <w:proofErr w:type="gramStart"/>
      <w:r>
        <w:t>business</w:t>
      </w:r>
      <w:proofErr w:type="gramEnd"/>
      <w:r>
        <w:t xml:space="preserve"> in our region and supporting the prosperity of our local economy.</w:t>
      </w:r>
    </w:p>
    <w:p w14:paraId="10E859F6" w14:textId="77777777" w:rsidR="005F39FA" w:rsidRDefault="005F39FA">
      <w:pPr>
        <w:pStyle w:val="BodyText"/>
        <w:spacing w:before="2"/>
      </w:pPr>
    </w:p>
    <w:p w14:paraId="3CCFDC7A" w14:textId="77777777" w:rsidR="005F39FA" w:rsidRDefault="008253E6">
      <w:pPr>
        <w:pStyle w:val="BodyText"/>
        <w:ind w:left="1440" w:right="1550"/>
      </w:pPr>
      <w:r>
        <w:t>This</w:t>
      </w:r>
      <w:r>
        <w:rPr>
          <w:spacing w:val="-2"/>
        </w:rPr>
        <w:t xml:space="preserve"> </w:t>
      </w:r>
      <w:r>
        <w:t>key</w:t>
      </w:r>
      <w:r>
        <w:rPr>
          <w:spacing w:val="-2"/>
        </w:rPr>
        <w:t xml:space="preserve"> </w:t>
      </w:r>
      <w:r>
        <w:t>energy</w:t>
      </w:r>
      <w:r>
        <w:rPr>
          <w:spacing w:val="-2"/>
        </w:rPr>
        <w:t xml:space="preserve"> </w:t>
      </w:r>
      <w:r>
        <w:t>infrastructure</w:t>
      </w:r>
      <w:r>
        <w:rPr>
          <w:spacing w:val="-2"/>
        </w:rPr>
        <w:t xml:space="preserve"> </w:t>
      </w:r>
      <w:r>
        <w:t>expansion</w:t>
      </w:r>
      <w:r>
        <w:rPr>
          <w:spacing w:val="-3"/>
        </w:rPr>
        <w:t xml:space="preserve"> </w:t>
      </w:r>
      <w:r>
        <w:t>will</w:t>
      </w:r>
      <w:r>
        <w:rPr>
          <w:spacing w:val="-4"/>
        </w:rPr>
        <w:t xml:space="preserve"> </w:t>
      </w:r>
      <w:r>
        <w:t>ensure</w:t>
      </w:r>
      <w:r>
        <w:rPr>
          <w:spacing w:val="-4"/>
        </w:rPr>
        <w:t xml:space="preserve"> </w:t>
      </w:r>
      <w:r>
        <w:t>that</w:t>
      </w:r>
      <w:r>
        <w:rPr>
          <w:spacing w:val="-2"/>
        </w:rPr>
        <w:t xml:space="preserve"> </w:t>
      </w:r>
      <w:r>
        <w:t>we</w:t>
      </w:r>
      <w:r>
        <w:rPr>
          <w:spacing w:val="-4"/>
        </w:rPr>
        <w:t xml:space="preserve"> </w:t>
      </w:r>
      <w:r>
        <w:t>meet</w:t>
      </w:r>
      <w:r>
        <w:rPr>
          <w:spacing w:val="-4"/>
        </w:rPr>
        <w:t xml:space="preserve"> </w:t>
      </w:r>
      <w:r>
        <w:t>the</w:t>
      </w:r>
      <w:r>
        <w:rPr>
          <w:spacing w:val="-4"/>
        </w:rPr>
        <w:t xml:space="preserve"> </w:t>
      </w:r>
      <w:r>
        <w:t>needs</w:t>
      </w:r>
      <w:r>
        <w:rPr>
          <w:spacing w:val="-4"/>
        </w:rPr>
        <w:t xml:space="preserve"> </w:t>
      </w:r>
      <w:r>
        <w:t>of</w:t>
      </w:r>
      <w:r>
        <w:rPr>
          <w:spacing w:val="-4"/>
        </w:rPr>
        <w:t xml:space="preserve"> </w:t>
      </w:r>
      <w:r>
        <w:t>our</w:t>
      </w:r>
      <w:r>
        <w:rPr>
          <w:spacing w:val="-2"/>
        </w:rPr>
        <w:t xml:space="preserve"> </w:t>
      </w:r>
      <w:r>
        <w:t>growing</w:t>
      </w:r>
      <w:r>
        <w:rPr>
          <w:spacing w:val="-4"/>
        </w:rPr>
        <w:t xml:space="preserve"> </w:t>
      </w:r>
      <w:r>
        <w:t>key</w:t>
      </w:r>
      <w:r>
        <w:rPr>
          <w:spacing w:val="-2"/>
        </w:rPr>
        <w:t xml:space="preserve"> </w:t>
      </w:r>
      <w:r>
        <w:t>sector industries and their emergence into new and innovative economies with a reliable and sustainable natural gas supply. This</w:t>
      </w:r>
      <w:r>
        <w:rPr>
          <w:spacing w:val="-2"/>
        </w:rPr>
        <w:t xml:space="preserve"> </w:t>
      </w:r>
      <w:r>
        <w:t>project is</w:t>
      </w:r>
      <w:r>
        <w:rPr>
          <w:spacing w:val="-2"/>
        </w:rPr>
        <w:t xml:space="preserve"> </w:t>
      </w:r>
      <w:r>
        <w:t>essential to our region and</w:t>
      </w:r>
      <w:r>
        <w:rPr>
          <w:spacing w:val="-1"/>
        </w:rPr>
        <w:t xml:space="preserve"> </w:t>
      </w:r>
      <w:r>
        <w:t>the strategic</w:t>
      </w:r>
      <w:r>
        <w:rPr>
          <w:spacing w:val="-2"/>
        </w:rPr>
        <w:t xml:space="preserve"> </w:t>
      </w:r>
      <w:r>
        <w:t>401</w:t>
      </w:r>
      <w:r>
        <w:rPr>
          <w:spacing w:val="-1"/>
        </w:rPr>
        <w:t xml:space="preserve"> </w:t>
      </w:r>
      <w:r>
        <w:t>corridor as</w:t>
      </w:r>
      <w:r>
        <w:rPr>
          <w:spacing w:val="-1"/>
        </w:rPr>
        <w:t xml:space="preserve"> </w:t>
      </w:r>
      <w:r>
        <w:t>we</w:t>
      </w:r>
      <w:r>
        <w:rPr>
          <w:spacing w:val="-1"/>
        </w:rPr>
        <w:t xml:space="preserve"> </w:t>
      </w:r>
      <w:r>
        <w:t>continue to work towards developing a solid base for local and global investment.</w:t>
      </w:r>
    </w:p>
    <w:p w14:paraId="0D4A114F" w14:textId="77777777" w:rsidR="005F39FA" w:rsidRDefault="005F39FA">
      <w:pPr>
        <w:pStyle w:val="BodyText"/>
        <w:spacing w:before="11"/>
        <w:rPr>
          <w:sz w:val="21"/>
        </w:rPr>
      </w:pPr>
    </w:p>
    <w:p w14:paraId="66924F79" w14:textId="2AA733E4" w:rsidR="005F39FA" w:rsidRDefault="008253E6" w:rsidP="00960C26">
      <w:pPr>
        <w:pStyle w:val="BodyText"/>
        <w:ind w:left="1440" w:right="1522"/>
        <w:jc w:val="both"/>
      </w:pPr>
      <w:r>
        <w:t>The Windsor-Essex region</w:t>
      </w:r>
      <w:r>
        <w:rPr>
          <w:spacing w:val="-1"/>
        </w:rPr>
        <w:t xml:space="preserve"> </w:t>
      </w:r>
      <w:r>
        <w:t xml:space="preserve">is </w:t>
      </w:r>
      <w:r w:rsidR="00960C26">
        <w:t>experiencing</w:t>
      </w:r>
      <w:r>
        <w:rPr>
          <w:spacing w:val="-2"/>
        </w:rPr>
        <w:t xml:space="preserve"> </w:t>
      </w:r>
      <w:r w:rsidR="00960C26">
        <w:rPr>
          <w:spacing w:val="-2"/>
        </w:rPr>
        <w:t>s</w:t>
      </w:r>
      <w:r>
        <w:t>ignificant</w:t>
      </w:r>
      <w:r>
        <w:rPr>
          <w:spacing w:val="-4"/>
        </w:rPr>
        <w:t xml:space="preserve"> </w:t>
      </w:r>
      <w:r>
        <w:t>investment</w:t>
      </w:r>
      <w:r>
        <w:rPr>
          <w:spacing w:val="-5"/>
        </w:rPr>
        <w:t xml:space="preserve"> </w:t>
      </w:r>
      <w:r>
        <w:t>and</w:t>
      </w:r>
      <w:r>
        <w:rPr>
          <w:spacing w:val="-4"/>
        </w:rPr>
        <w:t xml:space="preserve"> </w:t>
      </w:r>
      <w:r>
        <w:t>transformative</w:t>
      </w:r>
      <w:r>
        <w:rPr>
          <w:spacing w:val="-2"/>
        </w:rPr>
        <w:t xml:space="preserve"> </w:t>
      </w:r>
      <w:r>
        <w:t>innovation</w:t>
      </w:r>
      <w:r>
        <w:rPr>
          <w:spacing w:val="-3"/>
        </w:rPr>
        <w:t xml:space="preserve"> </w:t>
      </w:r>
      <w:r>
        <w:t>that</w:t>
      </w:r>
      <w:r>
        <w:rPr>
          <w:spacing w:val="-2"/>
        </w:rPr>
        <w:t xml:space="preserve"> </w:t>
      </w:r>
      <w:r>
        <w:t>will</w:t>
      </w:r>
      <w:r>
        <w:rPr>
          <w:spacing w:val="-2"/>
        </w:rPr>
        <w:t xml:space="preserve"> </w:t>
      </w:r>
      <w:r>
        <w:t>drive the</w:t>
      </w:r>
      <w:r>
        <w:rPr>
          <w:spacing w:val="-1"/>
        </w:rPr>
        <w:t xml:space="preserve"> </w:t>
      </w:r>
      <w:r>
        <w:t>economic</w:t>
      </w:r>
      <w:r>
        <w:rPr>
          <w:spacing w:val="-1"/>
        </w:rPr>
        <w:t xml:space="preserve"> </w:t>
      </w:r>
      <w:r>
        <w:t>prosperity</w:t>
      </w:r>
      <w:r>
        <w:rPr>
          <w:spacing w:val="-3"/>
        </w:rPr>
        <w:t xml:space="preserve"> </w:t>
      </w:r>
      <w:r>
        <w:t>of</w:t>
      </w:r>
      <w:r>
        <w:rPr>
          <w:spacing w:val="-4"/>
        </w:rPr>
        <w:t xml:space="preserve"> </w:t>
      </w:r>
      <w:r>
        <w:t>the</w:t>
      </w:r>
      <w:r>
        <w:rPr>
          <w:spacing w:val="-1"/>
        </w:rPr>
        <w:t xml:space="preserve"> </w:t>
      </w:r>
      <w:r>
        <w:t>region</w:t>
      </w:r>
      <w:r>
        <w:rPr>
          <w:spacing w:val="-2"/>
        </w:rPr>
        <w:t xml:space="preserve"> </w:t>
      </w:r>
      <w:r>
        <w:t>and</w:t>
      </w:r>
      <w:r>
        <w:rPr>
          <w:spacing w:val="-3"/>
        </w:rPr>
        <w:t xml:space="preserve"> </w:t>
      </w:r>
      <w:r>
        <w:t>the</w:t>
      </w:r>
      <w:r>
        <w:rPr>
          <w:spacing w:val="-3"/>
        </w:rPr>
        <w:t xml:space="preserve"> </w:t>
      </w:r>
      <w:proofErr w:type="gramStart"/>
      <w:r>
        <w:t>Province</w:t>
      </w:r>
      <w:proofErr w:type="gramEnd"/>
      <w:r w:rsidR="00960C26">
        <w:t xml:space="preserve"> for at least a generation.</w:t>
      </w:r>
      <w:r>
        <w:t xml:space="preserve"> </w:t>
      </w:r>
    </w:p>
    <w:p w14:paraId="6D1D9AB1" w14:textId="77777777" w:rsidR="00960C26" w:rsidRDefault="00960C26" w:rsidP="00960C26">
      <w:pPr>
        <w:pStyle w:val="BodyText"/>
        <w:ind w:left="1440" w:right="1522"/>
        <w:jc w:val="both"/>
      </w:pPr>
    </w:p>
    <w:p w14:paraId="15FFB2FF" w14:textId="77777777" w:rsidR="005F39FA" w:rsidRDefault="008253E6">
      <w:pPr>
        <w:pStyle w:val="BodyText"/>
        <w:ind w:left="1440" w:right="1550"/>
      </w:pPr>
      <w:r>
        <w:t>The</w:t>
      </w:r>
      <w:r>
        <w:rPr>
          <w:spacing w:val="-3"/>
        </w:rPr>
        <w:t xml:space="preserve"> </w:t>
      </w:r>
      <w:r>
        <w:t>following</w:t>
      </w:r>
      <w:r>
        <w:rPr>
          <w:spacing w:val="-4"/>
        </w:rPr>
        <w:t xml:space="preserve"> </w:t>
      </w:r>
      <w:r>
        <w:t>announcements</w:t>
      </w:r>
      <w:r>
        <w:rPr>
          <w:spacing w:val="-2"/>
        </w:rPr>
        <w:t xml:space="preserve"> </w:t>
      </w:r>
      <w:r>
        <w:t>are</w:t>
      </w:r>
      <w:r>
        <w:rPr>
          <w:spacing w:val="-3"/>
        </w:rPr>
        <w:t xml:space="preserve"> </w:t>
      </w:r>
      <w:r>
        <w:t>just</w:t>
      </w:r>
      <w:r>
        <w:rPr>
          <w:spacing w:val="-3"/>
        </w:rPr>
        <w:t xml:space="preserve"> </w:t>
      </w:r>
      <w:r>
        <w:t>a</w:t>
      </w:r>
      <w:r>
        <w:rPr>
          <w:spacing w:val="-3"/>
        </w:rPr>
        <w:t xml:space="preserve"> </w:t>
      </w:r>
      <w:r>
        <w:t>sampling</w:t>
      </w:r>
      <w:r>
        <w:rPr>
          <w:spacing w:val="-5"/>
        </w:rPr>
        <w:t xml:space="preserve"> </w:t>
      </w:r>
      <w:r>
        <w:t>of</w:t>
      </w:r>
      <w:r>
        <w:rPr>
          <w:spacing w:val="-2"/>
        </w:rPr>
        <w:t xml:space="preserve"> </w:t>
      </w:r>
      <w:r>
        <w:t>the</w:t>
      </w:r>
      <w:r>
        <w:rPr>
          <w:spacing w:val="-3"/>
        </w:rPr>
        <w:t xml:space="preserve"> </w:t>
      </w:r>
      <w:r>
        <w:t>large</w:t>
      </w:r>
      <w:r>
        <w:rPr>
          <w:spacing w:val="-3"/>
        </w:rPr>
        <w:t xml:space="preserve"> </w:t>
      </w:r>
      <w:r>
        <w:t>infrastructure</w:t>
      </w:r>
      <w:r>
        <w:rPr>
          <w:spacing w:val="-3"/>
        </w:rPr>
        <w:t xml:space="preserve"> </w:t>
      </w:r>
      <w:r>
        <w:t>projects</w:t>
      </w:r>
      <w:r>
        <w:rPr>
          <w:spacing w:val="-4"/>
        </w:rPr>
        <w:t xml:space="preserve"> </w:t>
      </w:r>
      <w:r>
        <w:t>that</w:t>
      </w:r>
      <w:r>
        <w:rPr>
          <w:spacing w:val="-3"/>
        </w:rPr>
        <w:t xml:space="preserve"> </w:t>
      </w:r>
      <w:r>
        <w:t>have</w:t>
      </w:r>
      <w:r>
        <w:rPr>
          <w:spacing w:val="-3"/>
        </w:rPr>
        <w:t xml:space="preserve"> </w:t>
      </w:r>
      <w:r>
        <w:t>been made public:</w:t>
      </w:r>
    </w:p>
    <w:p w14:paraId="0D82928B" w14:textId="77777777" w:rsidR="005F39FA" w:rsidRDefault="008253E6">
      <w:pPr>
        <w:pStyle w:val="ListParagraph"/>
        <w:numPr>
          <w:ilvl w:val="0"/>
          <w:numId w:val="1"/>
        </w:numPr>
        <w:tabs>
          <w:tab w:val="left" w:pos="1800"/>
        </w:tabs>
        <w:ind w:right="1709"/>
      </w:pPr>
      <w:r>
        <w:t>The</w:t>
      </w:r>
      <w:r>
        <w:rPr>
          <w:spacing w:val="-2"/>
        </w:rPr>
        <w:t xml:space="preserve"> </w:t>
      </w:r>
      <w:proofErr w:type="spellStart"/>
      <w:r>
        <w:t>Stellantis</w:t>
      </w:r>
      <w:proofErr w:type="spellEnd"/>
      <w:r>
        <w:t>-LG</w:t>
      </w:r>
      <w:r>
        <w:rPr>
          <w:spacing w:val="-4"/>
        </w:rPr>
        <w:t xml:space="preserve"> </w:t>
      </w:r>
      <w:r>
        <w:t>Energy</w:t>
      </w:r>
      <w:r>
        <w:rPr>
          <w:spacing w:val="-4"/>
        </w:rPr>
        <w:t xml:space="preserve"> </w:t>
      </w:r>
      <w:r>
        <w:t>Solutions</w:t>
      </w:r>
      <w:r>
        <w:rPr>
          <w:spacing w:val="-1"/>
        </w:rPr>
        <w:t xml:space="preserve"> </w:t>
      </w:r>
      <w:r>
        <w:t>joint</w:t>
      </w:r>
      <w:r>
        <w:rPr>
          <w:spacing w:val="-4"/>
        </w:rPr>
        <w:t xml:space="preserve"> </w:t>
      </w:r>
      <w:r>
        <w:t>venture,</w:t>
      </w:r>
      <w:r>
        <w:rPr>
          <w:spacing w:val="-2"/>
        </w:rPr>
        <w:t xml:space="preserve"> </w:t>
      </w:r>
      <w:r>
        <w:t>battery</w:t>
      </w:r>
      <w:r>
        <w:rPr>
          <w:spacing w:val="-1"/>
        </w:rPr>
        <w:t xml:space="preserve"> </w:t>
      </w:r>
      <w:r>
        <w:t>plant</w:t>
      </w:r>
      <w:r>
        <w:rPr>
          <w:spacing w:val="-2"/>
        </w:rPr>
        <w:t xml:space="preserve"> </w:t>
      </w:r>
      <w:r>
        <w:t>investment</w:t>
      </w:r>
      <w:r>
        <w:rPr>
          <w:spacing w:val="-1"/>
        </w:rPr>
        <w:t xml:space="preserve"> </w:t>
      </w:r>
      <w:r>
        <w:t>in</w:t>
      </w:r>
      <w:r>
        <w:rPr>
          <w:spacing w:val="-4"/>
        </w:rPr>
        <w:t xml:space="preserve"> </w:t>
      </w:r>
      <w:r>
        <w:t>Windsor</w:t>
      </w:r>
      <w:r>
        <w:rPr>
          <w:spacing w:val="-3"/>
        </w:rPr>
        <w:t xml:space="preserve"> </w:t>
      </w:r>
      <w:r>
        <w:t>of</w:t>
      </w:r>
      <w:r>
        <w:rPr>
          <w:spacing w:val="-4"/>
        </w:rPr>
        <w:t xml:space="preserve"> </w:t>
      </w:r>
      <w:r>
        <w:t>over</w:t>
      </w:r>
      <w:r>
        <w:rPr>
          <w:spacing w:val="-2"/>
        </w:rPr>
        <w:t xml:space="preserve"> </w:t>
      </w:r>
      <w:r>
        <w:t>$5B, with the prospect of approx. 2,500 jobs</w:t>
      </w:r>
    </w:p>
    <w:p w14:paraId="653C90EC" w14:textId="77777777" w:rsidR="005F39FA" w:rsidRDefault="008253E6">
      <w:pPr>
        <w:pStyle w:val="ListParagraph"/>
        <w:numPr>
          <w:ilvl w:val="0"/>
          <w:numId w:val="1"/>
        </w:numPr>
        <w:tabs>
          <w:tab w:val="left" w:pos="1800"/>
        </w:tabs>
      </w:pPr>
      <w:proofErr w:type="spellStart"/>
      <w:r>
        <w:t>Stellantis</w:t>
      </w:r>
      <w:proofErr w:type="spellEnd"/>
      <w:r>
        <w:rPr>
          <w:spacing w:val="-2"/>
        </w:rPr>
        <w:t xml:space="preserve"> </w:t>
      </w:r>
      <w:r>
        <w:t>investment</w:t>
      </w:r>
      <w:r>
        <w:rPr>
          <w:spacing w:val="-4"/>
        </w:rPr>
        <w:t xml:space="preserve"> </w:t>
      </w:r>
      <w:r>
        <w:t>of</w:t>
      </w:r>
      <w:r>
        <w:rPr>
          <w:spacing w:val="-2"/>
        </w:rPr>
        <w:t xml:space="preserve"> </w:t>
      </w:r>
      <w:r>
        <w:t>$3.6B</w:t>
      </w:r>
      <w:r>
        <w:rPr>
          <w:spacing w:val="-2"/>
        </w:rPr>
        <w:t xml:space="preserve"> </w:t>
      </w:r>
      <w:r>
        <w:t>in</w:t>
      </w:r>
      <w:r>
        <w:rPr>
          <w:spacing w:val="-3"/>
        </w:rPr>
        <w:t xml:space="preserve"> </w:t>
      </w:r>
      <w:r>
        <w:t>its</w:t>
      </w:r>
      <w:r>
        <w:rPr>
          <w:spacing w:val="-5"/>
        </w:rPr>
        <w:t xml:space="preserve"> </w:t>
      </w:r>
      <w:r>
        <w:t>Windsor</w:t>
      </w:r>
      <w:r>
        <w:rPr>
          <w:spacing w:val="-2"/>
        </w:rPr>
        <w:t xml:space="preserve"> </w:t>
      </w:r>
      <w:r>
        <w:t>and</w:t>
      </w:r>
      <w:r>
        <w:rPr>
          <w:spacing w:val="-4"/>
        </w:rPr>
        <w:t xml:space="preserve"> </w:t>
      </w:r>
      <w:r>
        <w:t>Brampton</w:t>
      </w:r>
      <w:r>
        <w:rPr>
          <w:spacing w:val="-3"/>
        </w:rPr>
        <w:t xml:space="preserve"> </w:t>
      </w:r>
      <w:r>
        <w:t>facilities</w:t>
      </w:r>
      <w:r>
        <w:rPr>
          <w:spacing w:val="-3"/>
        </w:rPr>
        <w:t xml:space="preserve"> </w:t>
      </w:r>
      <w:r>
        <w:t>with</w:t>
      </w:r>
      <w:r>
        <w:rPr>
          <w:spacing w:val="-2"/>
        </w:rPr>
        <w:t xml:space="preserve"> </w:t>
      </w:r>
      <w:r>
        <w:t>the</w:t>
      </w:r>
      <w:r>
        <w:rPr>
          <w:spacing w:val="-2"/>
        </w:rPr>
        <w:t xml:space="preserve"> </w:t>
      </w:r>
      <w:r>
        <w:t>added</w:t>
      </w:r>
      <w:r>
        <w:rPr>
          <w:spacing w:val="-2"/>
        </w:rPr>
        <w:t xml:space="preserve"> </w:t>
      </w:r>
      <w:r>
        <w:t>return</w:t>
      </w:r>
      <w:r>
        <w:rPr>
          <w:spacing w:val="-5"/>
        </w:rPr>
        <w:t xml:space="preserve"> </w:t>
      </w:r>
      <w:r>
        <w:t>of</w:t>
      </w:r>
      <w:r>
        <w:rPr>
          <w:spacing w:val="-4"/>
        </w:rPr>
        <w:t xml:space="preserve"> </w:t>
      </w:r>
      <w:r>
        <w:t>3-shift operations;</w:t>
      </w:r>
      <w:r>
        <w:rPr>
          <w:spacing w:val="40"/>
        </w:rPr>
        <w:t xml:space="preserve"> </w:t>
      </w:r>
      <w:r>
        <w:t xml:space="preserve">The Windsor portion includes a re-tooling of the Windsor Assembly Plant, and a transformation to support production of a new multi-energy vehicle (MEV) architecture that will provide battery-electric (BEV) capability for multiple models, and, the expansion of its Automotive Research and Development Centre (ARDC) will see it become the first battery lab in North America, The Battery Lab will be a state-of-the-art technology </w:t>
      </w:r>
      <w:proofErr w:type="spellStart"/>
      <w:r>
        <w:t>centre</w:t>
      </w:r>
      <w:proofErr w:type="spellEnd"/>
      <w:r>
        <w:t xml:space="preserve"> for the development and validation of advanced BEV, PHEV and HEV cells, modules and battery packs. The new 100,000-square-foot facility will be added to the existing building with completion expected by the end of 2023.</w:t>
      </w:r>
    </w:p>
    <w:p w14:paraId="5F9090F0" w14:textId="77777777" w:rsidR="005F39FA" w:rsidRDefault="005F39FA">
      <w:pPr>
        <w:pStyle w:val="BodyText"/>
        <w:rPr>
          <w:sz w:val="20"/>
        </w:rPr>
      </w:pPr>
    </w:p>
    <w:p w14:paraId="481533E9" w14:textId="77777777" w:rsidR="005F39FA" w:rsidRDefault="008253E6">
      <w:pPr>
        <w:pStyle w:val="BodyText"/>
        <w:spacing w:before="4"/>
        <w:rPr>
          <w:sz w:val="21"/>
        </w:rPr>
      </w:pPr>
      <w:r>
        <w:rPr>
          <w:noProof/>
        </w:rPr>
        <w:drawing>
          <wp:anchor distT="0" distB="0" distL="0" distR="0" simplePos="0" relativeHeight="487587840" behindDoc="1" locked="0" layoutInCell="1" allowOverlap="1" wp14:anchorId="69B50872" wp14:editId="6111FC91">
            <wp:simplePos x="0" y="0"/>
            <wp:positionH relativeFrom="page">
              <wp:posOffset>439386</wp:posOffset>
            </wp:positionH>
            <wp:positionV relativeFrom="paragraph">
              <wp:posOffset>180560</wp:posOffset>
            </wp:positionV>
            <wp:extent cx="6879517" cy="73152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6879517" cy="731520"/>
                    </a:xfrm>
                    <a:prstGeom prst="rect">
                      <a:avLst/>
                    </a:prstGeom>
                  </pic:spPr>
                </pic:pic>
              </a:graphicData>
            </a:graphic>
          </wp:anchor>
        </w:drawing>
      </w:r>
    </w:p>
    <w:p w14:paraId="70753A9F" w14:textId="77777777" w:rsidR="005F39FA" w:rsidRDefault="005F39FA">
      <w:pPr>
        <w:rPr>
          <w:sz w:val="21"/>
        </w:rPr>
        <w:sectPr w:rsidR="005F39FA">
          <w:type w:val="continuous"/>
          <w:pgSz w:w="12240" w:h="15840"/>
          <w:pgMar w:top="460" w:right="0" w:bottom="280" w:left="0" w:header="720" w:footer="720" w:gutter="0"/>
          <w:cols w:space="720"/>
        </w:sectPr>
      </w:pPr>
    </w:p>
    <w:p w14:paraId="0C484BEA" w14:textId="6759F00C" w:rsidR="005F39FA" w:rsidRPr="003E2677" w:rsidRDefault="008253E6" w:rsidP="00960C26">
      <w:pPr>
        <w:pStyle w:val="ListParagraph"/>
        <w:numPr>
          <w:ilvl w:val="0"/>
          <w:numId w:val="1"/>
        </w:numPr>
        <w:tabs>
          <w:tab w:val="left" w:pos="1800"/>
        </w:tabs>
        <w:spacing w:before="11"/>
        <w:ind w:right="1488"/>
        <w:rPr>
          <w:sz w:val="21"/>
        </w:rPr>
      </w:pPr>
      <w:r>
        <w:lastRenderedPageBreak/>
        <w:t>Amazon</w:t>
      </w:r>
      <w:r w:rsidRPr="00960C26">
        <w:rPr>
          <w:spacing w:val="-3"/>
        </w:rPr>
        <w:t xml:space="preserve"> </w:t>
      </w:r>
      <w:r>
        <w:t>has</w:t>
      </w:r>
      <w:r w:rsidRPr="00960C26">
        <w:rPr>
          <w:spacing w:val="-5"/>
        </w:rPr>
        <w:t xml:space="preserve"> </w:t>
      </w:r>
      <w:r>
        <w:t>committed</w:t>
      </w:r>
      <w:r w:rsidRPr="00960C26">
        <w:rPr>
          <w:spacing w:val="-3"/>
        </w:rPr>
        <w:t xml:space="preserve"> </w:t>
      </w:r>
      <w:r>
        <w:t>to</w:t>
      </w:r>
      <w:r w:rsidRPr="00960C26">
        <w:rPr>
          <w:spacing w:val="-3"/>
        </w:rPr>
        <w:t xml:space="preserve"> </w:t>
      </w:r>
      <w:r>
        <w:t>building</w:t>
      </w:r>
      <w:r w:rsidRPr="00960C26">
        <w:rPr>
          <w:spacing w:val="-3"/>
        </w:rPr>
        <w:t xml:space="preserve"> </w:t>
      </w:r>
      <w:r>
        <w:t>a</w:t>
      </w:r>
      <w:r w:rsidRPr="00960C26">
        <w:rPr>
          <w:spacing w:val="-2"/>
        </w:rPr>
        <w:t xml:space="preserve"> </w:t>
      </w:r>
      <w:r>
        <w:t>200,00</w:t>
      </w:r>
      <w:r w:rsidRPr="00960C26">
        <w:rPr>
          <w:spacing w:val="-2"/>
        </w:rPr>
        <w:t xml:space="preserve"> </w:t>
      </w:r>
      <w:r>
        <w:t>square</w:t>
      </w:r>
      <w:r w:rsidRPr="00960C26">
        <w:rPr>
          <w:spacing w:val="-2"/>
        </w:rPr>
        <w:t xml:space="preserve"> </w:t>
      </w:r>
      <w:r>
        <w:t>feet</w:t>
      </w:r>
      <w:r w:rsidRPr="00960C26">
        <w:rPr>
          <w:spacing w:val="-2"/>
        </w:rPr>
        <w:t xml:space="preserve"> </w:t>
      </w:r>
      <w:r>
        <w:t>Fulfillment</w:t>
      </w:r>
      <w:r w:rsidRPr="00960C26">
        <w:rPr>
          <w:spacing w:val="-2"/>
        </w:rPr>
        <w:t xml:space="preserve"> </w:t>
      </w:r>
      <w:r>
        <w:t>Centre</w:t>
      </w:r>
      <w:r w:rsidRPr="00960C26">
        <w:rPr>
          <w:spacing w:val="-2"/>
        </w:rPr>
        <w:t xml:space="preserve"> </w:t>
      </w:r>
      <w:r>
        <w:t>in</w:t>
      </w:r>
      <w:r w:rsidRPr="00960C26">
        <w:rPr>
          <w:spacing w:val="-6"/>
        </w:rPr>
        <w:t xml:space="preserve"> </w:t>
      </w:r>
      <w:r>
        <w:t>Windsor</w:t>
      </w:r>
      <w:r w:rsidRPr="00960C26">
        <w:rPr>
          <w:spacing w:val="-2"/>
        </w:rPr>
        <w:t xml:space="preserve"> </w:t>
      </w:r>
      <w:r>
        <w:t>and</w:t>
      </w:r>
      <w:r w:rsidRPr="00960C26">
        <w:rPr>
          <w:spacing w:val="-4"/>
        </w:rPr>
        <w:t xml:space="preserve"> </w:t>
      </w:r>
      <w:proofErr w:type="gramStart"/>
      <w:r>
        <w:t>expected</w:t>
      </w:r>
      <w:proofErr w:type="gramEnd"/>
      <w:r>
        <w:t xml:space="preserve"> to employ approximately 300 people. Construction on the project is scheduled to get underway in </w:t>
      </w:r>
      <w:r w:rsidRPr="00960C26">
        <w:rPr>
          <w:spacing w:val="-4"/>
        </w:rPr>
        <w:t>May</w:t>
      </w:r>
      <w:r w:rsidR="00960C26" w:rsidRPr="00960C26">
        <w:rPr>
          <w:spacing w:val="-4"/>
        </w:rPr>
        <w:t>.</w:t>
      </w:r>
    </w:p>
    <w:p w14:paraId="05053431" w14:textId="5D7DAADF" w:rsidR="003E2677" w:rsidRPr="00960C26" w:rsidRDefault="003E2677" w:rsidP="00960C26">
      <w:pPr>
        <w:pStyle w:val="ListParagraph"/>
        <w:numPr>
          <w:ilvl w:val="0"/>
          <w:numId w:val="1"/>
        </w:numPr>
        <w:tabs>
          <w:tab w:val="left" w:pos="1800"/>
        </w:tabs>
        <w:spacing w:before="11"/>
        <w:ind w:right="1488"/>
        <w:rPr>
          <w:sz w:val="21"/>
        </w:rPr>
      </w:pPr>
      <w:r>
        <w:rPr>
          <w:spacing w:val="-4"/>
        </w:rPr>
        <w:t>There are four (4) battery plant supply chain companies currently under construction in our region. Total square footage is</w:t>
      </w:r>
      <w:r w:rsidR="007723FE">
        <w:rPr>
          <w:spacing w:val="-4"/>
        </w:rPr>
        <w:t xml:space="preserve"> approximately one (1) million square feet</w:t>
      </w:r>
      <w:r>
        <w:rPr>
          <w:spacing w:val="-4"/>
        </w:rPr>
        <w:t xml:space="preserve"> with an estimated </w:t>
      </w:r>
      <w:r w:rsidR="007723FE">
        <w:rPr>
          <w:spacing w:val="-4"/>
        </w:rPr>
        <w:t>1,050</w:t>
      </w:r>
      <w:r>
        <w:rPr>
          <w:spacing w:val="-4"/>
        </w:rPr>
        <w:t xml:space="preserve"> jobs</w:t>
      </w:r>
      <w:r w:rsidR="007723FE">
        <w:rPr>
          <w:spacing w:val="-4"/>
        </w:rPr>
        <w:t>.</w:t>
      </w:r>
    </w:p>
    <w:p w14:paraId="7EA1BE36" w14:textId="77777777" w:rsidR="00960C26" w:rsidRDefault="00960C26" w:rsidP="00960C26">
      <w:pPr>
        <w:pStyle w:val="BodyText"/>
        <w:spacing w:before="1"/>
        <w:ind w:right="1460"/>
      </w:pPr>
    </w:p>
    <w:p w14:paraId="3A6A7696" w14:textId="5503833C" w:rsidR="00960C26" w:rsidRPr="003E2677" w:rsidRDefault="003E2677">
      <w:pPr>
        <w:pStyle w:val="BodyText"/>
        <w:spacing w:before="1"/>
        <w:ind w:left="1440" w:right="1460"/>
        <w:rPr>
          <w:b/>
          <w:bCs/>
        </w:rPr>
      </w:pPr>
      <w:r>
        <w:t xml:space="preserve">The Capital Investment value of our current pipeline of Foreign Investment, High Priority Leads </w:t>
      </w:r>
      <w:r w:rsidRPr="00B70FC8">
        <w:rPr>
          <w:b/>
          <w:bCs/>
        </w:rPr>
        <w:t>exceeds $8 billion.</w:t>
      </w:r>
      <w:r>
        <w:t xml:space="preserve"> The following chart illustrates the natural gas requirements for two</w:t>
      </w:r>
      <w:r w:rsidR="00232FBF">
        <w:t xml:space="preserve"> (2)</w:t>
      </w:r>
      <w:r>
        <w:t xml:space="preserve"> of these international companies. </w:t>
      </w:r>
      <w:r w:rsidRPr="003E2677">
        <w:rPr>
          <w:b/>
          <w:bCs/>
        </w:rPr>
        <w:t>More importantly</w:t>
      </w:r>
      <w:r w:rsidR="004E3579">
        <w:rPr>
          <w:b/>
          <w:bCs/>
        </w:rPr>
        <w:t>, as indicated in the first paragraph of this letter,</w:t>
      </w:r>
      <w:r w:rsidRPr="003E2677">
        <w:rPr>
          <w:b/>
          <w:bCs/>
        </w:rPr>
        <w:t xml:space="preserve"> these companies are currently waiting </w:t>
      </w:r>
      <w:r w:rsidR="00B70FC8">
        <w:rPr>
          <w:b/>
          <w:bCs/>
        </w:rPr>
        <w:t>for</w:t>
      </w:r>
      <w:r w:rsidRPr="003E2677">
        <w:rPr>
          <w:b/>
          <w:bCs/>
        </w:rPr>
        <w:t xml:space="preserve"> confirmation of natural gas supply and costing! </w:t>
      </w:r>
    </w:p>
    <w:p w14:paraId="32980F6B" w14:textId="77777777" w:rsidR="00960C26" w:rsidRDefault="00960C26">
      <w:pPr>
        <w:pStyle w:val="BodyText"/>
        <w:spacing w:before="1"/>
        <w:ind w:left="1440" w:right="1460"/>
      </w:pPr>
    </w:p>
    <w:tbl>
      <w:tblPr>
        <w:tblpPr w:leftFromText="180" w:rightFromText="180" w:vertAnchor="page" w:horzAnchor="margin" w:tblpXSpec="center" w:tblpY="4417"/>
        <w:tblW w:w="9320" w:type="dxa"/>
        <w:tblLook w:val="04A0" w:firstRow="1" w:lastRow="0" w:firstColumn="1" w:lastColumn="0" w:noHBand="0" w:noVBand="1"/>
      </w:tblPr>
      <w:tblGrid>
        <w:gridCol w:w="738"/>
        <w:gridCol w:w="1086"/>
        <w:gridCol w:w="708"/>
        <w:gridCol w:w="708"/>
        <w:gridCol w:w="708"/>
        <w:gridCol w:w="1073"/>
        <w:gridCol w:w="1073"/>
        <w:gridCol w:w="1073"/>
        <w:gridCol w:w="1073"/>
        <w:gridCol w:w="1073"/>
        <w:gridCol w:w="7"/>
      </w:tblGrid>
      <w:tr w:rsidR="000371B0" w:rsidRPr="00CF46B5" w14:paraId="0CE89BFF" w14:textId="77777777" w:rsidTr="000371B0">
        <w:trPr>
          <w:gridAfter w:val="1"/>
          <w:wAfter w:w="9" w:type="dxa"/>
          <w:trHeight w:val="321"/>
        </w:trPr>
        <w:tc>
          <w:tcPr>
            <w:tcW w:w="83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1828D69"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Year</w:t>
            </w:r>
          </w:p>
        </w:tc>
        <w:tc>
          <w:tcPr>
            <w:tcW w:w="1087" w:type="dxa"/>
            <w:tcBorders>
              <w:top w:val="single" w:sz="8" w:space="0" w:color="auto"/>
              <w:left w:val="nil"/>
              <w:bottom w:val="single" w:sz="4" w:space="0" w:color="auto"/>
              <w:right w:val="single" w:sz="4" w:space="0" w:color="auto"/>
            </w:tcBorders>
            <w:shd w:val="clear" w:color="auto" w:fill="auto"/>
            <w:vAlign w:val="center"/>
            <w:hideMark/>
          </w:tcPr>
          <w:p w14:paraId="1877CF83"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 </w:t>
            </w:r>
          </w:p>
        </w:tc>
        <w:tc>
          <w:tcPr>
            <w:tcW w:w="711" w:type="dxa"/>
            <w:tcBorders>
              <w:top w:val="single" w:sz="8" w:space="0" w:color="auto"/>
              <w:left w:val="single" w:sz="4" w:space="0" w:color="auto"/>
              <w:bottom w:val="single" w:sz="4" w:space="0" w:color="auto"/>
              <w:right w:val="single" w:sz="4" w:space="0" w:color="auto"/>
            </w:tcBorders>
            <w:shd w:val="clear" w:color="000000" w:fill="FF7128"/>
            <w:vAlign w:val="center"/>
            <w:hideMark/>
          </w:tcPr>
          <w:p w14:paraId="47608A50"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2023</w:t>
            </w:r>
          </w:p>
        </w:tc>
        <w:tc>
          <w:tcPr>
            <w:tcW w:w="711" w:type="dxa"/>
            <w:tcBorders>
              <w:top w:val="single" w:sz="8" w:space="0" w:color="auto"/>
              <w:left w:val="single" w:sz="4" w:space="0" w:color="auto"/>
              <w:bottom w:val="single" w:sz="4" w:space="0" w:color="auto"/>
              <w:right w:val="single" w:sz="4" w:space="0" w:color="auto"/>
            </w:tcBorders>
            <w:shd w:val="clear" w:color="000000" w:fill="FF7128"/>
            <w:vAlign w:val="center"/>
            <w:hideMark/>
          </w:tcPr>
          <w:p w14:paraId="5DA701F7"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2024</w:t>
            </w:r>
          </w:p>
        </w:tc>
        <w:tc>
          <w:tcPr>
            <w:tcW w:w="712" w:type="dxa"/>
            <w:tcBorders>
              <w:top w:val="single" w:sz="8" w:space="0" w:color="auto"/>
              <w:left w:val="single" w:sz="4" w:space="0" w:color="auto"/>
              <w:bottom w:val="single" w:sz="4" w:space="0" w:color="auto"/>
              <w:right w:val="single" w:sz="4" w:space="0" w:color="auto"/>
            </w:tcBorders>
            <w:shd w:val="clear" w:color="000000" w:fill="FF7128"/>
            <w:vAlign w:val="center"/>
            <w:hideMark/>
          </w:tcPr>
          <w:p w14:paraId="6B0357F0"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2025</w:t>
            </w:r>
          </w:p>
        </w:tc>
        <w:tc>
          <w:tcPr>
            <w:tcW w:w="1052" w:type="dxa"/>
            <w:tcBorders>
              <w:top w:val="single" w:sz="8" w:space="0" w:color="auto"/>
              <w:left w:val="single" w:sz="4" w:space="0" w:color="auto"/>
              <w:bottom w:val="single" w:sz="4" w:space="0" w:color="auto"/>
              <w:right w:val="single" w:sz="4" w:space="0" w:color="auto"/>
            </w:tcBorders>
            <w:shd w:val="clear" w:color="000000" w:fill="FF7128"/>
            <w:vAlign w:val="center"/>
            <w:hideMark/>
          </w:tcPr>
          <w:p w14:paraId="7A519203"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2026</w:t>
            </w:r>
          </w:p>
        </w:tc>
        <w:tc>
          <w:tcPr>
            <w:tcW w:w="1052" w:type="dxa"/>
            <w:tcBorders>
              <w:top w:val="single" w:sz="8" w:space="0" w:color="auto"/>
              <w:left w:val="single" w:sz="4" w:space="0" w:color="auto"/>
              <w:bottom w:val="single" w:sz="4" w:space="0" w:color="auto"/>
              <w:right w:val="single" w:sz="4" w:space="0" w:color="auto"/>
            </w:tcBorders>
            <w:shd w:val="clear" w:color="000000" w:fill="FF7128"/>
            <w:vAlign w:val="center"/>
            <w:hideMark/>
          </w:tcPr>
          <w:p w14:paraId="265B78CC"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2027</w:t>
            </w:r>
          </w:p>
        </w:tc>
        <w:tc>
          <w:tcPr>
            <w:tcW w:w="1052" w:type="dxa"/>
            <w:tcBorders>
              <w:top w:val="single" w:sz="8" w:space="0" w:color="auto"/>
              <w:left w:val="single" w:sz="4" w:space="0" w:color="auto"/>
              <w:bottom w:val="single" w:sz="4" w:space="0" w:color="auto"/>
              <w:right w:val="single" w:sz="4" w:space="0" w:color="auto"/>
            </w:tcBorders>
            <w:shd w:val="clear" w:color="000000" w:fill="FF7128"/>
            <w:vAlign w:val="center"/>
            <w:hideMark/>
          </w:tcPr>
          <w:p w14:paraId="1E35FFC1"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2028</w:t>
            </w:r>
          </w:p>
        </w:tc>
        <w:tc>
          <w:tcPr>
            <w:tcW w:w="1052" w:type="dxa"/>
            <w:tcBorders>
              <w:top w:val="single" w:sz="8" w:space="0" w:color="auto"/>
              <w:left w:val="single" w:sz="4" w:space="0" w:color="auto"/>
              <w:bottom w:val="single" w:sz="4" w:space="0" w:color="auto"/>
              <w:right w:val="single" w:sz="4" w:space="0" w:color="auto"/>
            </w:tcBorders>
            <w:shd w:val="clear" w:color="000000" w:fill="FF7128"/>
            <w:vAlign w:val="center"/>
            <w:hideMark/>
          </w:tcPr>
          <w:p w14:paraId="18A15A32"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2029</w:t>
            </w:r>
          </w:p>
        </w:tc>
        <w:tc>
          <w:tcPr>
            <w:tcW w:w="1052" w:type="dxa"/>
            <w:tcBorders>
              <w:top w:val="single" w:sz="8" w:space="0" w:color="auto"/>
              <w:left w:val="single" w:sz="4" w:space="0" w:color="auto"/>
              <w:bottom w:val="single" w:sz="4" w:space="0" w:color="auto"/>
              <w:right w:val="single" w:sz="8" w:space="0" w:color="auto"/>
            </w:tcBorders>
            <w:shd w:val="clear" w:color="000000" w:fill="FF7128"/>
            <w:vAlign w:val="center"/>
            <w:hideMark/>
          </w:tcPr>
          <w:p w14:paraId="010DE3CB"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2030</w:t>
            </w:r>
          </w:p>
        </w:tc>
      </w:tr>
      <w:tr w:rsidR="000371B0" w:rsidRPr="00CF46B5" w14:paraId="20D340A0" w14:textId="77777777" w:rsidTr="000371B0">
        <w:trPr>
          <w:gridAfter w:val="1"/>
          <w:wAfter w:w="9" w:type="dxa"/>
          <w:trHeight w:val="206"/>
        </w:trPr>
        <w:tc>
          <w:tcPr>
            <w:tcW w:w="83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2B5306C"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Gas (m3)</w:t>
            </w:r>
          </w:p>
        </w:tc>
        <w:tc>
          <w:tcPr>
            <w:tcW w:w="1087" w:type="dxa"/>
            <w:tcBorders>
              <w:top w:val="single" w:sz="8" w:space="0" w:color="auto"/>
              <w:left w:val="nil"/>
              <w:bottom w:val="single" w:sz="4" w:space="0" w:color="auto"/>
              <w:right w:val="single" w:sz="4" w:space="0" w:color="auto"/>
            </w:tcBorders>
            <w:shd w:val="clear" w:color="auto" w:fill="auto"/>
            <w:vAlign w:val="center"/>
            <w:hideMark/>
          </w:tcPr>
          <w:p w14:paraId="0C0F79B7"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Prospect 1</w:t>
            </w:r>
          </w:p>
        </w:tc>
        <w:tc>
          <w:tcPr>
            <w:tcW w:w="2134" w:type="dxa"/>
            <w:gridSpan w:val="3"/>
            <w:tcBorders>
              <w:top w:val="single" w:sz="4" w:space="0" w:color="auto"/>
              <w:left w:val="nil"/>
              <w:bottom w:val="single" w:sz="4" w:space="0" w:color="auto"/>
              <w:right w:val="single" w:sz="4" w:space="0" w:color="auto"/>
            </w:tcBorders>
            <w:shd w:val="clear" w:color="000000" w:fill="E8E8E8"/>
            <w:vAlign w:val="center"/>
            <w:hideMark/>
          </w:tcPr>
          <w:p w14:paraId="48BD0E70" w14:textId="77777777" w:rsidR="000371B0" w:rsidRPr="00CF46B5" w:rsidRDefault="000371B0" w:rsidP="000371B0">
            <w:pPr>
              <w:jc w:val="center"/>
              <w:rPr>
                <w:rFonts w:ascii="Arial" w:eastAsia="Times New Roman" w:hAnsi="Arial" w:cs="Arial"/>
                <w:color w:val="000000"/>
                <w:lang w:eastAsia="en-CA"/>
              </w:rPr>
            </w:pPr>
            <w:proofErr w:type="spellStart"/>
            <w:r w:rsidRPr="00CF46B5">
              <w:rPr>
                <w:rFonts w:ascii="Arial" w:eastAsia="Times New Roman" w:hAnsi="Arial" w:cs="Arial"/>
                <w:color w:val="000000"/>
                <w:lang w:eastAsia="en-CA"/>
              </w:rPr>
              <w:t>CapEx</w:t>
            </w:r>
            <w:proofErr w:type="spellEnd"/>
            <w:r w:rsidRPr="00CF46B5">
              <w:rPr>
                <w:rFonts w:ascii="Arial" w:eastAsia="Times New Roman" w:hAnsi="Arial" w:cs="Arial"/>
                <w:color w:val="000000"/>
                <w:lang w:eastAsia="en-CA"/>
              </w:rPr>
              <w:t xml:space="preserve"> $2.2 B</w:t>
            </w:r>
          </w:p>
        </w:tc>
        <w:tc>
          <w:tcPr>
            <w:tcW w:w="1052" w:type="dxa"/>
            <w:tcBorders>
              <w:top w:val="single" w:sz="8" w:space="0" w:color="auto"/>
              <w:left w:val="single" w:sz="4" w:space="0" w:color="auto"/>
              <w:bottom w:val="single" w:sz="4" w:space="0" w:color="auto"/>
              <w:right w:val="single" w:sz="4" w:space="0" w:color="auto"/>
            </w:tcBorders>
            <w:shd w:val="clear" w:color="000000" w:fill="FF8D42"/>
            <w:vAlign w:val="center"/>
            <w:hideMark/>
          </w:tcPr>
          <w:p w14:paraId="17DFB7EE"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1814044</w:t>
            </w:r>
          </w:p>
        </w:tc>
        <w:tc>
          <w:tcPr>
            <w:tcW w:w="1052" w:type="dxa"/>
            <w:tcBorders>
              <w:top w:val="single" w:sz="8" w:space="0" w:color="auto"/>
              <w:left w:val="single" w:sz="4" w:space="0" w:color="auto"/>
              <w:bottom w:val="single" w:sz="4" w:space="0" w:color="auto"/>
              <w:right w:val="single" w:sz="4" w:space="0" w:color="auto"/>
            </w:tcBorders>
            <w:shd w:val="clear" w:color="000000" w:fill="FFAF61"/>
            <w:vAlign w:val="center"/>
            <w:hideMark/>
          </w:tcPr>
          <w:p w14:paraId="7C9FE5BF"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3957914</w:t>
            </w:r>
          </w:p>
        </w:tc>
        <w:tc>
          <w:tcPr>
            <w:tcW w:w="1052" w:type="dxa"/>
            <w:tcBorders>
              <w:top w:val="single" w:sz="8" w:space="0" w:color="auto"/>
              <w:left w:val="single" w:sz="4" w:space="0" w:color="auto"/>
              <w:bottom w:val="single" w:sz="4" w:space="0" w:color="auto"/>
              <w:right w:val="single" w:sz="4" w:space="0" w:color="auto"/>
            </w:tcBorders>
            <w:shd w:val="clear" w:color="000000" w:fill="FFC272"/>
            <w:vAlign w:val="center"/>
            <w:hideMark/>
          </w:tcPr>
          <w:p w14:paraId="1D3DCABF"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5112305</w:t>
            </w:r>
          </w:p>
        </w:tc>
        <w:tc>
          <w:tcPr>
            <w:tcW w:w="1052" w:type="dxa"/>
            <w:tcBorders>
              <w:top w:val="single" w:sz="8" w:space="0" w:color="auto"/>
              <w:left w:val="single" w:sz="4" w:space="0" w:color="auto"/>
              <w:bottom w:val="single" w:sz="4" w:space="0" w:color="auto"/>
              <w:right w:val="single" w:sz="4" w:space="0" w:color="auto"/>
            </w:tcBorders>
            <w:shd w:val="clear" w:color="000000" w:fill="FFEF9C"/>
            <w:vAlign w:val="center"/>
            <w:hideMark/>
          </w:tcPr>
          <w:p w14:paraId="6697CCB0"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7915827</w:t>
            </w:r>
          </w:p>
        </w:tc>
        <w:tc>
          <w:tcPr>
            <w:tcW w:w="1052" w:type="dxa"/>
            <w:tcBorders>
              <w:top w:val="single" w:sz="8" w:space="0" w:color="auto"/>
              <w:left w:val="single" w:sz="4" w:space="0" w:color="auto"/>
              <w:bottom w:val="single" w:sz="4" w:space="0" w:color="auto"/>
              <w:right w:val="single" w:sz="8" w:space="0" w:color="auto"/>
            </w:tcBorders>
            <w:shd w:val="clear" w:color="000000" w:fill="FFEF9C"/>
            <w:vAlign w:val="center"/>
            <w:hideMark/>
          </w:tcPr>
          <w:p w14:paraId="68946AD4"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7915827</w:t>
            </w:r>
          </w:p>
        </w:tc>
      </w:tr>
      <w:tr w:rsidR="000371B0" w:rsidRPr="00CF46B5" w14:paraId="456B112F" w14:textId="77777777" w:rsidTr="000371B0">
        <w:trPr>
          <w:gridAfter w:val="1"/>
          <w:wAfter w:w="9" w:type="dxa"/>
          <w:trHeight w:val="206"/>
        </w:trPr>
        <w:tc>
          <w:tcPr>
            <w:tcW w:w="830" w:type="dxa"/>
            <w:vMerge/>
            <w:tcBorders>
              <w:top w:val="single" w:sz="8" w:space="0" w:color="auto"/>
              <w:left w:val="single" w:sz="8" w:space="0" w:color="auto"/>
              <w:bottom w:val="single" w:sz="8" w:space="0" w:color="000000"/>
              <w:right w:val="single" w:sz="4" w:space="0" w:color="auto"/>
            </w:tcBorders>
            <w:vAlign w:val="center"/>
            <w:hideMark/>
          </w:tcPr>
          <w:p w14:paraId="63630C65" w14:textId="77777777" w:rsidR="000371B0" w:rsidRPr="00CF46B5" w:rsidRDefault="000371B0" w:rsidP="000371B0">
            <w:pPr>
              <w:rPr>
                <w:rFonts w:ascii="Arial" w:eastAsia="Times New Roman" w:hAnsi="Arial" w:cs="Arial"/>
                <w:color w:val="000000"/>
                <w:lang w:eastAsia="en-CA"/>
              </w:rPr>
            </w:pPr>
          </w:p>
        </w:tc>
        <w:tc>
          <w:tcPr>
            <w:tcW w:w="1087" w:type="dxa"/>
            <w:tcBorders>
              <w:top w:val="nil"/>
              <w:left w:val="nil"/>
              <w:bottom w:val="single" w:sz="4" w:space="0" w:color="auto"/>
              <w:right w:val="single" w:sz="4" w:space="0" w:color="auto"/>
            </w:tcBorders>
            <w:shd w:val="clear" w:color="000000" w:fill="FFFF00"/>
            <w:vAlign w:val="center"/>
            <w:hideMark/>
          </w:tcPr>
          <w:p w14:paraId="69DF6976"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Prospect 2</w:t>
            </w:r>
          </w:p>
        </w:tc>
        <w:tc>
          <w:tcPr>
            <w:tcW w:w="2134" w:type="dxa"/>
            <w:gridSpan w:val="3"/>
            <w:tcBorders>
              <w:top w:val="single" w:sz="4" w:space="0" w:color="auto"/>
              <w:left w:val="nil"/>
              <w:bottom w:val="single" w:sz="4" w:space="0" w:color="auto"/>
              <w:right w:val="single" w:sz="4" w:space="0" w:color="auto"/>
            </w:tcBorders>
            <w:shd w:val="clear" w:color="000000" w:fill="E8E8E8"/>
            <w:vAlign w:val="center"/>
            <w:hideMark/>
          </w:tcPr>
          <w:p w14:paraId="3ADDCDDA" w14:textId="77777777" w:rsidR="000371B0" w:rsidRPr="00CF46B5" w:rsidRDefault="000371B0" w:rsidP="000371B0">
            <w:pPr>
              <w:jc w:val="center"/>
              <w:rPr>
                <w:rFonts w:ascii="Arial" w:eastAsia="Times New Roman" w:hAnsi="Arial" w:cs="Arial"/>
                <w:color w:val="000000"/>
                <w:lang w:eastAsia="en-CA"/>
              </w:rPr>
            </w:pPr>
            <w:proofErr w:type="spellStart"/>
            <w:r w:rsidRPr="00CF46B5">
              <w:rPr>
                <w:rFonts w:ascii="Arial" w:eastAsia="Times New Roman" w:hAnsi="Arial" w:cs="Arial"/>
                <w:color w:val="000000"/>
                <w:lang w:eastAsia="en-CA"/>
              </w:rPr>
              <w:t>CapEx</w:t>
            </w:r>
            <w:proofErr w:type="spellEnd"/>
            <w:r w:rsidRPr="00CF46B5">
              <w:rPr>
                <w:rFonts w:ascii="Arial" w:eastAsia="Times New Roman" w:hAnsi="Arial" w:cs="Arial"/>
                <w:color w:val="000000"/>
                <w:lang w:eastAsia="en-CA"/>
              </w:rPr>
              <w:t xml:space="preserve"> $3.5 B</w:t>
            </w:r>
          </w:p>
        </w:tc>
        <w:tc>
          <w:tcPr>
            <w:tcW w:w="1052" w:type="dxa"/>
            <w:tcBorders>
              <w:top w:val="single" w:sz="4" w:space="0" w:color="auto"/>
              <w:left w:val="single" w:sz="4" w:space="0" w:color="auto"/>
              <w:bottom w:val="single" w:sz="4" w:space="0" w:color="auto"/>
              <w:right w:val="single" w:sz="4" w:space="0" w:color="auto"/>
            </w:tcBorders>
            <w:shd w:val="clear" w:color="000000" w:fill="FF9A4E"/>
            <w:vAlign w:val="center"/>
            <w:hideMark/>
          </w:tcPr>
          <w:p w14:paraId="6A2EF2F1"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2611200</w:t>
            </w:r>
          </w:p>
        </w:tc>
        <w:tc>
          <w:tcPr>
            <w:tcW w:w="1052" w:type="dxa"/>
            <w:tcBorders>
              <w:top w:val="single" w:sz="4" w:space="0" w:color="auto"/>
              <w:left w:val="single" w:sz="4" w:space="0" w:color="auto"/>
              <w:bottom w:val="single" w:sz="4" w:space="0" w:color="auto"/>
              <w:right w:val="single" w:sz="4" w:space="0" w:color="auto"/>
            </w:tcBorders>
            <w:shd w:val="clear" w:color="000000" w:fill="FFA85A"/>
            <w:vAlign w:val="center"/>
            <w:hideMark/>
          </w:tcPr>
          <w:p w14:paraId="262B0415"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3461760</w:t>
            </w:r>
          </w:p>
        </w:tc>
        <w:tc>
          <w:tcPr>
            <w:tcW w:w="1052" w:type="dxa"/>
            <w:tcBorders>
              <w:top w:val="single" w:sz="4" w:space="0" w:color="auto"/>
              <w:left w:val="single" w:sz="4" w:space="0" w:color="auto"/>
              <w:bottom w:val="single" w:sz="4" w:space="0" w:color="auto"/>
              <w:right w:val="single" w:sz="4" w:space="0" w:color="auto"/>
            </w:tcBorders>
            <w:shd w:val="clear" w:color="000000" w:fill="FFB567"/>
            <w:vAlign w:val="center"/>
            <w:hideMark/>
          </w:tcPr>
          <w:p w14:paraId="5B486F1F"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4327200</w:t>
            </w:r>
          </w:p>
        </w:tc>
        <w:tc>
          <w:tcPr>
            <w:tcW w:w="1052" w:type="dxa"/>
            <w:tcBorders>
              <w:top w:val="single" w:sz="4" w:space="0" w:color="auto"/>
              <w:left w:val="single" w:sz="4" w:space="0" w:color="auto"/>
              <w:bottom w:val="single" w:sz="4" w:space="0" w:color="auto"/>
              <w:right w:val="single" w:sz="4" w:space="0" w:color="auto"/>
            </w:tcBorders>
            <w:shd w:val="clear" w:color="000000" w:fill="FFB567"/>
            <w:vAlign w:val="center"/>
            <w:hideMark/>
          </w:tcPr>
          <w:p w14:paraId="04DBDBC5"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4327200</w:t>
            </w:r>
          </w:p>
        </w:tc>
        <w:tc>
          <w:tcPr>
            <w:tcW w:w="1052" w:type="dxa"/>
            <w:tcBorders>
              <w:top w:val="single" w:sz="4" w:space="0" w:color="auto"/>
              <w:left w:val="single" w:sz="4" w:space="0" w:color="auto"/>
              <w:bottom w:val="single" w:sz="4" w:space="0" w:color="auto"/>
              <w:right w:val="single" w:sz="8" w:space="0" w:color="auto"/>
            </w:tcBorders>
            <w:shd w:val="clear" w:color="000000" w:fill="FFB567"/>
            <w:vAlign w:val="center"/>
            <w:hideMark/>
          </w:tcPr>
          <w:p w14:paraId="018AD070"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4327200</w:t>
            </w:r>
          </w:p>
        </w:tc>
      </w:tr>
      <w:tr w:rsidR="000371B0" w:rsidRPr="00CF46B5" w14:paraId="0D0BC9FC" w14:textId="77777777" w:rsidTr="000371B0">
        <w:trPr>
          <w:trHeight w:val="206"/>
        </w:trPr>
        <w:tc>
          <w:tcPr>
            <w:tcW w:w="830" w:type="dxa"/>
            <w:vMerge/>
            <w:tcBorders>
              <w:top w:val="single" w:sz="8" w:space="0" w:color="auto"/>
              <w:left w:val="single" w:sz="8" w:space="0" w:color="auto"/>
              <w:bottom w:val="single" w:sz="8" w:space="0" w:color="000000"/>
              <w:right w:val="single" w:sz="4" w:space="0" w:color="auto"/>
            </w:tcBorders>
            <w:vAlign w:val="center"/>
            <w:hideMark/>
          </w:tcPr>
          <w:p w14:paraId="377F1044" w14:textId="77777777" w:rsidR="000371B0" w:rsidRPr="00CF46B5" w:rsidRDefault="000371B0" w:rsidP="000371B0">
            <w:pPr>
              <w:rPr>
                <w:rFonts w:ascii="Arial" w:eastAsia="Times New Roman" w:hAnsi="Arial" w:cs="Arial"/>
                <w:color w:val="000000"/>
                <w:lang w:eastAsia="en-CA"/>
              </w:rPr>
            </w:pPr>
          </w:p>
        </w:tc>
        <w:tc>
          <w:tcPr>
            <w:tcW w:w="1087" w:type="dxa"/>
            <w:tcBorders>
              <w:top w:val="nil"/>
              <w:left w:val="nil"/>
              <w:bottom w:val="single" w:sz="4" w:space="0" w:color="auto"/>
              <w:right w:val="single" w:sz="4" w:space="0" w:color="auto"/>
            </w:tcBorders>
            <w:shd w:val="clear" w:color="auto" w:fill="auto"/>
            <w:vAlign w:val="center"/>
            <w:hideMark/>
          </w:tcPr>
          <w:p w14:paraId="209FDDFE"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WCP</w:t>
            </w:r>
          </w:p>
        </w:tc>
        <w:tc>
          <w:tcPr>
            <w:tcW w:w="7403" w:type="dxa"/>
            <w:gridSpan w:val="9"/>
            <w:tcBorders>
              <w:top w:val="single" w:sz="4" w:space="0" w:color="auto"/>
              <w:left w:val="nil"/>
              <w:bottom w:val="single" w:sz="4" w:space="0" w:color="auto"/>
              <w:right w:val="single" w:sz="8" w:space="0" w:color="000000"/>
            </w:tcBorders>
            <w:shd w:val="clear" w:color="000000" w:fill="BFBFBF"/>
            <w:vAlign w:val="center"/>
            <w:hideMark/>
          </w:tcPr>
          <w:p w14:paraId="30141238"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TBD</w:t>
            </w:r>
          </w:p>
        </w:tc>
      </w:tr>
      <w:tr w:rsidR="000371B0" w:rsidRPr="00CF46B5" w14:paraId="1C9B3E0A" w14:textId="77777777" w:rsidTr="000371B0">
        <w:trPr>
          <w:gridAfter w:val="1"/>
          <w:wAfter w:w="9" w:type="dxa"/>
          <w:trHeight w:val="296"/>
        </w:trPr>
        <w:tc>
          <w:tcPr>
            <w:tcW w:w="830" w:type="dxa"/>
            <w:vMerge/>
            <w:tcBorders>
              <w:top w:val="single" w:sz="8" w:space="0" w:color="auto"/>
              <w:left w:val="single" w:sz="8" w:space="0" w:color="auto"/>
              <w:bottom w:val="single" w:sz="8" w:space="0" w:color="000000"/>
              <w:right w:val="single" w:sz="4" w:space="0" w:color="auto"/>
            </w:tcBorders>
            <w:vAlign w:val="center"/>
            <w:hideMark/>
          </w:tcPr>
          <w:p w14:paraId="185081A5" w14:textId="77777777" w:rsidR="000371B0" w:rsidRPr="00CF46B5" w:rsidRDefault="000371B0" w:rsidP="000371B0">
            <w:pPr>
              <w:rPr>
                <w:rFonts w:ascii="Arial" w:eastAsia="Times New Roman" w:hAnsi="Arial" w:cs="Arial"/>
                <w:color w:val="000000"/>
                <w:lang w:eastAsia="en-CA"/>
              </w:rPr>
            </w:pPr>
          </w:p>
        </w:tc>
        <w:tc>
          <w:tcPr>
            <w:tcW w:w="1087" w:type="dxa"/>
            <w:tcBorders>
              <w:top w:val="nil"/>
              <w:left w:val="nil"/>
              <w:bottom w:val="single" w:sz="8" w:space="0" w:color="auto"/>
              <w:right w:val="single" w:sz="4" w:space="0" w:color="auto"/>
            </w:tcBorders>
            <w:shd w:val="clear" w:color="auto" w:fill="auto"/>
            <w:vAlign w:val="center"/>
            <w:hideMark/>
          </w:tcPr>
          <w:p w14:paraId="638A5A26" w14:textId="77777777" w:rsidR="000371B0" w:rsidRPr="00CF46B5" w:rsidRDefault="000371B0" w:rsidP="000371B0">
            <w:pPr>
              <w:jc w:val="center"/>
              <w:rPr>
                <w:rFonts w:ascii="Arial" w:eastAsia="Times New Roman" w:hAnsi="Arial" w:cs="Arial"/>
                <w:b/>
                <w:bCs/>
                <w:color w:val="000000"/>
                <w:lang w:eastAsia="en-CA"/>
              </w:rPr>
            </w:pPr>
            <w:r w:rsidRPr="00CF46B5">
              <w:rPr>
                <w:rFonts w:ascii="Arial" w:eastAsia="Times New Roman" w:hAnsi="Arial" w:cs="Arial"/>
                <w:b/>
                <w:bCs/>
                <w:color w:val="000000"/>
                <w:lang w:eastAsia="en-CA"/>
              </w:rPr>
              <w:t>Total</w:t>
            </w:r>
          </w:p>
        </w:tc>
        <w:tc>
          <w:tcPr>
            <w:tcW w:w="2134" w:type="dxa"/>
            <w:gridSpan w:val="3"/>
            <w:tcBorders>
              <w:top w:val="single" w:sz="4" w:space="0" w:color="auto"/>
              <w:left w:val="nil"/>
              <w:bottom w:val="single" w:sz="8" w:space="0" w:color="auto"/>
              <w:right w:val="single" w:sz="4" w:space="0" w:color="auto"/>
            </w:tcBorders>
            <w:shd w:val="clear" w:color="000000" w:fill="E8E8E8"/>
            <w:vAlign w:val="center"/>
            <w:hideMark/>
          </w:tcPr>
          <w:p w14:paraId="4DB16162" w14:textId="77777777" w:rsidR="000371B0" w:rsidRPr="00CF46B5" w:rsidRDefault="000371B0" w:rsidP="000371B0">
            <w:pPr>
              <w:jc w:val="center"/>
              <w:rPr>
                <w:rFonts w:ascii="Arial" w:eastAsia="Times New Roman" w:hAnsi="Arial" w:cs="Arial"/>
                <w:color w:val="000000"/>
                <w:lang w:eastAsia="en-CA"/>
              </w:rPr>
            </w:pPr>
            <w:r w:rsidRPr="00CF46B5">
              <w:rPr>
                <w:rFonts w:ascii="Arial" w:eastAsia="Times New Roman" w:hAnsi="Arial" w:cs="Arial"/>
                <w:color w:val="000000"/>
                <w:lang w:eastAsia="en-CA"/>
              </w:rPr>
              <w:t> </w:t>
            </w:r>
          </w:p>
        </w:tc>
        <w:tc>
          <w:tcPr>
            <w:tcW w:w="1052" w:type="dxa"/>
            <w:tcBorders>
              <w:top w:val="nil"/>
              <w:left w:val="nil"/>
              <w:bottom w:val="single" w:sz="8" w:space="0" w:color="auto"/>
              <w:right w:val="single" w:sz="4" w:space="0" w:color="auto"/>
            </w:tcBorders>
            <w:shd w:val="clear" w:color="auto" w:fill="auto"/>
            <w:vAlign w:val="center"/>
            <w:hideMark/>
          </w:tcPr>
          <w:p w14:paraId="28F1D6ED" w14:textId="77777777" w:rsidR="000371B0" w:rsidRPr="00CF46B5" w:rsidRDefault="000371B0" w:rsidP="000371B0">
            <w:pPr>
              <w:jc w:val="center"/>
              <w:rPr>
                <w:rFonts w:ascii="Arial" w:eastAsia="Times New Roman" w:hAnsi="Arial" w:cs="Arial"/>
                <w:b/>
                <w:bCs/>
                <w:color w:val="000000"/>
                <w:lang w:eastAsia="en-CA"/>
              </w:rPr>
            </w:pPr>
            <w:r w:rsidRPr="00CF46B5">
              <w:rPr>
                <w:rFonts w:ascii="Arial" w:eastAsia="Times New Roman" w:hAnsi="Arial" w:cs="Arial"/>
                <w:b/>
                <w:bCs/>
                <w:color w:val="000000"/>
                <w:lang w:eastAsia="en-CA"/>
              </w:rPr>
              <w:t>4425244</w:t>
            </w:r>
          </w:p>
        </w:tc>
        <w:tc>
          <w:tcPr>
            <w:tcW w:w="1052" w:type="dxa"/>
            <w:tcBorders>
              <w:top w:val="nil"/>
              <w:left w:val="nil"/>
              <w:bottom w:val="single" w:sz="8" w:space="0" w:color="auto"/>
              <w:right w:val="single" w:sz="4" w:space="0" w:color="auto"/>
            </w:tcBorders>
            <w:shd w:val="clear" w:color="auto" w:fill="auto"/>
            <w:vAlign w:val="center"/>
            <w:hideMark/>
          </w:tcPr>
          <w:p w14:paraId="60CF1245" w14:textId="77777777" w:rsidR="000371B0" w:rsidRPr="00CF46B5" w:rsidRDefault="000371B0" w:rsidP="000371B0">
            <w:pPr>
              <w:jc w:val="center"/>
              <w:rPr>
                <w:rFonts w:ascii="Arial" w:eastAsia="Times New Roman" w:hAnsi="Arial" w:cs="Arial"/>
                <w:b/>
                <w:bCs/>
                <w:color w:val="000000"/>
                <w:lang w:eastAsia="en-CA"/>
              </w:rPr>
            </w:pPr>
            <w:r w:rsidRPr="00CF46B5">
              <w:rPr>
                <w:rFonts w:ascii="Arial" w:eastAsia="Times New Roman" w:hAnsi="Arial" w:cs="Arial"/>
                <w:b/>
                <w:bCs/>
                <w:color w:val="000000"/>
                <w:lang w:eastAsia="en-CA"/>
              </w:rPr>
              <w:t>7419674</w:t>
            </w:r>
          </w:p>
        </w:tc>
        <w:tc>
          <w:tcPr>
            <w:tcW w:w="1052" w:type="dxa"/>
            <w:tcBorders>
              <w:top w:val="nil"/>
              <w:left w:val="nil"/>
              <w:bottom w:val="single" w:sz="8" w:space="0" w:color="auto"/>
              <w:right w:val="single" w:sz="4" w:space="0" w:color="auto"/>
            </w:tcBorders>
            <w:shd w:val="clear" w:color="auto" w:fill="auto"/>
            <w:vAlign w:val="center"/>
            <w:hideMark/>
          </w:tcPr>
          <w:p w14:paraId="02FCC88C" w14:textId="77777777" w:rsidR="000371B0" w:rsidRPr="00CF46B5" w:rsidRDefault="000371B0" w:rsidP="000371B0">
            <w:pPr>
              <w:jc w:val="center"/>
              <w:rPr>
                <w:rFonts w:ascii="Arial" w:eastAsia="Times New Roman" w:hAnsi="Arial" w:cs="Arial"/>
                <w:b/>
                <w:bCs/>
                <w:color w:val="000000"/>
                <w:lang w:eastAsia="en-CA"/>
              </w:rPr>
            </w:pPr>
            <w:r w:rsidRPr="00CF46B5">
              <w:rPr>
                <w:rFonts w:ascii="Arial" w:eastAsia="Times New Roman" w:hAnsi="Arial" w:cs="Arial"/>
                <w:b/>
                <w:bCs/>
                <w:color w:val="000000"/>
                <w:lang w:eastAsia="en-CA"/>
              </w:rPr>
              <w:t>9439505</w:t>
            </w:r>
          </w:p>
        </w:tc>
        <w:tc>
          <w:tcPr>
            <w:tcW w:w="1052" w:type="dxa"/>
            <w:tcBorders>
              <w:top w:val="nil"/>
              <w:left w:val="nil"/>
              <w:bottom w:val="single" w:sz="8" w:space="0" w:color="auto"/>
              <w:right w:val="single" w:sz="4" w:space="0" w:color="auto"/>
            </w:tcBorders>
            <w:shd w:val="clear" w:color="auto" w:fill="auto"/>
            <w:vAlign w:val="center"/>
            <w:hideMark/>
          </w:tcPr>
          <w:p w14:paraId="36A6506B" w14:textId="77777777" w:rsidR="000371B0" w:rsidRPr="00CF46B5" w:rsidRDefault="000371B0" w:rsidP="000371B0">
            <w:pPr>
              <w:jc w:val="center"/>
              <w:rPr>
                <w:rFonts w:ascii="Arial" w:eastAsia="Times New Roman" w:hAnsi="Arial" w:cs="Arial"/>
                <w:b/>
                <w:bCs/>
                <w:color w:val="000000"/>
                <w:lang w:eastAsia="en-CA"/>
              </w:rPr>
            </w:pPr>
            <w:r w:rsidRPr="00CF46B5">
              <w:rPr>
                <w:rFonts w:ascii="Arial" w:eastAsia="Times New Roman" w:hAnsi="Arial" w:cs="Arial"/>
                <w:b/>
                <w:bCs/>
                <w:color w:val="000000"/>
                <w:lang w:eastAsia="en-CA"/>
              </w:rPr>
              <w:t>1.2E+07</w:t>
            </w:r>
          </w:p>
        </w:tc>
        <w:tc>
          <w:tcPr>
            <w:tcW w:w="1052" w:type="dxa"/>
            <w:tcBorders>
              <w:top w:val="nil"/>
              <w:left w:val="nil"/>
              <w:bottom w:val="single" w:sz="8" w:space="0" w:color="auto"/>
              <w:right w:val="single" w:sz="8" w:space="0" w:color="auto"/>
            </w:tcBorders>
            <w:shd w:val="clear" w:color="auto" w:fill="auto"/>
            <w:vAlign w:val="center"/>
            <w:hideMark/>
          </w:tcPr>
          <w:p w14:paraId="2567DD23" w14:textId="77777777" w:rsidR="000371B0" w:rsidRPr="00CF46B5" w:rsidRDefault="000371B0" w:rsidP="000371B0">
            <w:pPr>
              <w:jc w:val="center"/>
              <w:rPr>
                <w:rFonts w:ascii="Arial" w:eastAsia="Times New Roman" w:hAnsi="Arial" w:cs="Arial"/>
                <w:b/>
                <w:bCs/>
                <w:color w:val="000000"/>
                <w:lang w:eastAsia="en-CA"/>
              </w:rPr>
            </w:pPr>
            <w:r w:rsidRPr="00CF46B5">
              <w:rPr>
                <w:rFonts w:ascii="Arial" w:eastAsia="Times New Roman" w:hAnsi="Arial" w:cs="Arial"/>
                <w:b/>
                <w:bCs/>
                <w:color w:val="000000"/>
                <w:lang w:eastAsia="en-CA"/>
              </w:rPr>
              <w:t>1.2E+07</w:t>
            </w:r>
          </w:p>
        </w:tc>
      </w:tr>
    </w:tbl>
    <w:p w14:paraId="1A20E359" w14:textId="77777777" w:rsidR="003E2677" w:rsidRDefault="003E2677">
      <w:pPr>
        <w:pStyle w:val="BodyText"/>
        <w:spacing w:before="1"/>
        <w:ind w:left="1440" w:right="1460"/>
      </w:pPr>
    </w:p>
    <w:p w14:paraId="4C94F745" w14:textId="56ABE4BC" w:rsidR="005F39FA" w:rsidRDefault="008253E6">
      <w:pPr>
        <w:pStyle w:val="BodyText"/>
        <w:spacing w:before="1"/>
        <w:ind w:left="1440" w:right="1460"/>
      </w:pPr>
      <w:r>
        <w:t>Our local agri-food businesses have also seen a tremendous uptake in their products in the past year. A homegrown food chain is important to our province’s food supply chain and much of the energy innovation taking place within our expanding greenhouse industry depends on reliable natural gas. Our industry associations and their key sector stakeholders have been very clear and demonstrative about their</w:t>
      </w:r>
      <w:r>
        <w:rPr>
          <w:spacing w:val="-2"/>
        </w:rPr>
        <w:t xml:space="preserve"> </w:t>
      </w:r>
      <w:r>
        <w:t>critical</w:t>
      </w:r>
      <w:r>
        <w:rPr>
          <w:spacing w:val="-2"/>
        </w:rPr>
        <w:t xml:space="preserve"> </w:t>
      </w:r>
      <w:r>
        <w:t>need</w:t>
      </w:r>
      <w:r>
        <w:rPr>
          <w:spacing w:val="-5"/>
        </w:rPr>
        <w:t xml:space="preserve"> </w:t>
      </w:r>
      <w:r>
        <w:t>for</w:t>
      </w:r>
      <w:r>
        <w:rPr>
          <w:spacing w:val="-4"/>
        </w:rPr>
        <w:t xml:space="preserve"> </w:t>
      </w:r>
      <w:r>
        <w:t>the</w:t>
      </w:r>
      <w:r>
        <w:rPr>
          <w:spacing w:val="-4"/>
        </w:rPr>
        <w:t xml:space="preserve"> </w:t>
      </w:r>
      <w:r>
        <w:t>construction</w:t>
      </w:r>
      <w:r>
        <w:rPr>
          <w:spacing w:val="-5"/>
        </w:rPr>
        <w:t xml:space="preserve"> </w:t>
      </w:r>
      <w:r>
        <w:t>of</w:t>
      </w:r>
      <w:r>
        <w:rPr>
          <w:spacing w:val="-2"/>
        </w:rPr>
        <w:t xml:space="preserve"> </w:t>
      </w:r>
      <w:r>
        <w:t>important</w:t>
      </w:r>
      <w:r>
        <w:rPr>
          <w:spacing w:val="-1"/>
        </w:rPr>
        <w:t xml:space="preserve"> </w:t>
      </w:r>
      <w:r>
        <w:t>energy</w:t>
      </w:r>
      <w:r>
        <w:rPr>
          <w:spacing w:val="-1"/>
        </w:rPr>
        <w:t xml:space="preserve"> </w:t>
      </w:r>
      <w:r>
        <w:t>infrastructure</w:t>
      </w:r>
      <w:r>
        <w:rPr>
          <w:spacing w:val="-4"/>
        </w:rPr>
        <w:t xml:space="preserve"> </w:t>
      </w:r>
      <w:r>
        <w:t>that</w:t>
      </w:r>
      <w:r>
        <w:rPr>
          <w:spacing w:val="-2"/>
        </w:rPr>
        <w:t xml:space="preserve"> </w:t>
      </w:r>
      <w:r>
        <w:t>will</w:t>
      </w:r>
      <w:r>
        <w:rPr>
          <w:spacing w:val="-2"/>
        </w:rPr>
        <w:t xml:space="preserve"> </w:t>
      </w:r>
      <w:r>
        <w:t>allow</w:t>
      </w:r>
      <w:r>
        <w:rPr>
          <w:spacing w:val="-4"/>
        </w:rPr>
        <w:t xml:space="preserve"> </w:t>
      </w:r>
      <w:r>
        <w:t>timely</w:t>
      </w:r>
      <w:r>
        <w:rPr>
          <w:spacing w:val="-4"/>
        </w:rPr>
        <w:t xml:space="preserve"> </w:t>
      </w:r>
      <w:r>
        <w:t>customer connections, attract economic investment, and address system capacity issues, to meet their local expansion investments. Our region is an economic hub and plays a strategic role in Ontario’s supply chain and economic recovery from this global pandemic. Any delay in the enhancement of critical</w:t>
      </w:r>
      <w:r>
        <w:rPr>
          <w:spacing w:val="40"/>
        </w:rPr>
        <w:t xml:space="preserve"> </w:t>
      </w:r>
      <w:r>
        <w:t>energy enhancements such as the Panhandle Expansion Project, places our region at risk of losing significant investment to competing jurisdictions outside of Ontario and Canada while still investing in driving the economy of the future.</w:t>
      </w:r>
    </w:p>
    <w:p w14:paraId="09DEF2CD" w14:textId="77777777" w:rsidR="005F39FA" w:rsidRDefault="005F39FA">
      <w:pPr>
        <w:pStyle w:val="BodyText"/>
      </w:pPr>
    </w:p>
    <w:p w14:paraId="4915690E" w14:textId="741079DF" w:rsidR="005F39FA" w:rsidRDefault="008253E6">
      <w:pPr>
        <w:pStyle w:val="BodyText"/>
        <w:spacing w:before="1"/>
        <w:ind w:left="1440" w:right="1393"/>
      </w:pPr>
      <w:r>
        <w:t>At Invest Windsor Essex we want to attract and retain the best businesses and talent from across the continent</w:t>
      </w:r>
      <w:r>
        <w:rPr>
          <w:spacing w:val="-2"/>
        </w:rPr>
        <w:t xml:space="preserve"> </w:t>
      </w:r>
      <w:r>
        <w:t>and</w:t>
      </w:r>
      <w:r>
        <w:rPr>
          <w:spacing w:val="-1"/>
        </w:rPr>
        <w:t xml:space="preserve"> </w:t>
      </w:r>
      <w:r>
        <w:t>globe.</w:t>
      </w:r>
      <w:r>
        <w:rPr>
          <w:spacing w:val="-1"/>
        </w:rPr>
        <w:t xml:space="preserve"> </w:t>
      </w:r>
      <w:r w:rsidR="001E7610">
        <w:rPr>
          <w:spacing w:val="-1"/>
        </w:rPr>
        <w:t>O</w:t>
      </w:r>
      <w:r>
        <w:t>ur</w:t>
      </w:r>
      <w:r>
        <w:rPr>
          <w:spacing w:val="-2"/>
        </w:rPr>
        <w:t xml:space="preserve"> </w:t>
      </w:r>
      <w:r>
        <w:t>goal is to</w:t>
      </w:r>
      <w:r>
        <w:rPr>
          <w:spacing w:val="-3"/>
        </w:rPr>
        <w:t xml:space="preserve"> </w:t>
      </w:r>
      <w:r>
        <w:t>ensure</w:t>
      </w:r>
      <w:r>
        <w:rPr>
          <w:spacing w:val="-4"/>
        </w:rPr>
        <w:t xml:space="preserve"> </w:t>
      </w:r>
      <w:r>
        <w:t>our</w:t>
      </w:r>
      <w:r>
        <w:rPr>
          <w:spacing w:val="-2"/>
        </w:rPr>
        <w:t xml:space="preserve"> </w:t>
      </w:r>
      <w:r>
        <w:t>region</w:t>
      </w:r>
      <w:r>
        <w:rPr>
          <w:spacing w:val="-3"/>
        </w:rPr>
        <w:t xml:space="preserve"> </w:t>
      </w:r>
      <w:r>
        <w:t>remains</w:t>
      </w:r>
      <w:r>
        <w:rPr>
          <w:spacing w:val="-2"/>
        </w:rPr>
        <w:t xml:space="preserve"> </w:t>
      </w:r>
      <w:r>
        <w:t>competitive</w:t>
      </w:r>
      <w:r>
        <w:rPr>
          <w:spacing w:val="-2"/>
        </w:rPr>
        <w:t xml:space="preserve"> </w:t>
      </w:r>
      <w:r>
        <w:t>for</w:t>
      </w:r>
      <w:r>
        <w:rPr>
          <w:spacing w:val="-2"/>
        </w:rPr>
        <w:t xml:space="preserve"> </w:t>
      </w:r>
      <w:r>
        <w:t>both</w:t>
      </w:r>
      <w:r>
        <w:rPr>
          <w:spacing w:val="-2"/>
        </w:rPr>
        <w:t xml:space="preserve"> </w:t>
      </w:r>
      <w:r>
        <w:t>local</w:t>
      </w:r>
      <w:r>
        <w:rPr>
          <w:spacing w:val="-2"/>
        </w:rPr>
        <w:t xml:space="preserve"> </w:t>
      </w:r>
      <w:r>
        <w:t>and</w:t>
      </w:r>
      <w:r>
        <w:rPr>
          <w:spacing w:val="-3"/>
        </w:rPr>
        <w:t xml:space="preserve"> </w:t>
      </w:r>
      <w:r>
        <w:t>foreign</w:t>
      </w:r>
      <w:r>
        <w:rPr>
          <w:spacing w:val="-3"/>
        </w:rPr>
        <w:t xml:space="preserve"> </w:t>
      </w:r>
      <w:r>
        <w:t>investment, and</w:t>
      </w:r>
      <w:r>
        <w:rPr>
          <w:spacing w:val="-3"/>
        </w:rPr>
        <w:t xml:space="preserve"> </w:t>
      </w:r>
      <w:r>
        <w:t>that</w:t>
      </w:r>
      <w:r>
        <w:rPr>
          <w:spacing w:val="-2"/>
        </w:rPr>
        <w:t xml:space="preserve"> </w:t>
      </w:r>
      <w:r>
        <w:t>is</w:t>
      </w:r>
      <w:r>
        <w:rPr>
          <w:spacing w:val="-5"/>
        </w:rPr>
        <w:t xml:space="preserve"> </w:t>
      </w:r>
      <w:r>
        <w:t>why reliable and sustainable infrastructure is essential to accomplishing this.</w:t>
      </w:r>
    </w:p>
    <w:p w14:paraId="556C1BF8" w14:textId="77777777" w:rsidR="005F39FA" w:rsidRDefault="005F39FA">
      <w:pPr>
        <w:pStyle w:val="BodyText"/>
        <w:spacing w:before="1"/>
      </w:pPr>
    </w:p>
    <w:p w14:paraId="2F79E9CA" w14:textId="4410EFB3" w:rsidR="005F39FA" w:rsidRDefault="008253E6">
      <w:pPr>
        <w:pStyle w:val="BodyText"/>
        <w:ind w:left="1440" w:right="1550"/>
      </w:pPr>
      <w:r>
        <w:t xml:space="preserve">Advancing infrastructure that will benefit our businesses and communities </w:t>
      </w:r>
      <w:r w:rsidR="002C0C12">
        <w:t xml:space="preserve">and leverage the significant level of municipal, </w:t>
      </w:r>
      <w:proofErr w:type="gramStart"/>
      <w:r w:rsidR="002C0C12">
        <w:t>provincial</w:t>
      </w:r>
      <w:proofErr w:type="gramEnd"/>
      <w:r w:rsidR="002C0C12">
        <w:t xml:space="preserve"> and federal investment </w:t>
      </w:r>
      <w:r>
        <w:t xml:space="preserve">is of vital importance. </w:t>
      </w:r>
      <w:r w:rsidR="002C0C12">
        <w:t>We must</w:t>
      </w:r>
      <w:r>
        <w:rPr>
          <w:spacing w:val="-3"/>
        </w:rPr>
        <w:t xml:space="preserve"> </w:t>
      </w:r>
      <w:r>
        <w:t>work</w:t>
      </w:r>
      <w:r>
        <w:rPr>
          <w:spacing w:val="-4"/>
        </w:rPr>
        <w:t xml:space="preserve"> </w:t>
      </w:r>
      <w:r>
        <w:t>closely</w:t>
      </w:r>
      <w:r>
        <w:rPr>
          <w:spacing w:val="-4"/>
        </w:rPr>
        <w:t xml:space="preserve"> </w:t>
      </w:r>
      <w:r>
        <w:t>together</w:t>
      </w:r>
      <w:r>
        <w:rPr>
          <w:spacing w:val="-4"/>
        </w:rPr>
        <w:t xml:space="preserve"> </w:t>
      </w:r>
      <w:r>
        <w:t>to</w:t>
      </w:r>
      <w:r>
        <w:rPr>
          <w:spacing w:val="-3"/>
        </w:rPr>
        <w:t xml:space="preserve"> </w:t>
      </w:r>
      <w:r>
        <w:t>make</w:t>
      </w:r>
      <w:r>
        <w:rPr>
          <w:spacing w:val="-4"/>
        </w:rPr>
        <w:t xml:space="preserve"> </w:t>
      </w:r>
      <w:r>
        <w:t>sure</w:t>
      </w:r>
      <w:r>
        <w:rPr>
          <w:spacing w:val="-2"/>
        </w:rPr>
        <w:t xml:space="preserve"> </w:t>
      </w:r>
      <w:r>
        <w:t>that</w:t>
      </w:r>
      <w:r>
        <w:rPr>
          <w:spacing w:val="-2"/>
        </w:rPr>
        <w:t xml:space="preserve"> </w:t>
      </w:r>
      <w:r>
        <w:t>infrastructure</w:t>
      </w:r>
      <w:r>
        <w:rPr>
          <w:spacing w:val="-4"/>
        </w:rPr>
        <w:t xml:space="preserve"> </w:t>
      </w:r>
      <w:r>
        <w:t>can</w:t>
      </w:r>
      <w:r>
        <w:rPr>
          <w:spacing w:val="-5"/>
        </w:rPr>
        <w:t xml:space="preserve"> </w:t>
      </w:r>
      <w:r>
        <w:t>keep</w:t>
      </w:r>
      <w:r>
        <w:rPr>
          <w:spacing w:val="-2"/>
        </w:rPr>
        <w:t xml:space="preserve"> </w:t>
      </w:r>
      <w:r>
        <w:t>up</w:t>
      </w:r>
      <w:r>
        <w:rPr>
          <w:spacing w:val="-6"/>
        </w:rPr>
        <w:t xml:space="preserve"> </w:t>
      </w:r>
      <w:r>
        <w:t>with</w:t>
      </w:r>
      <w:r>
        <w:rPr>
          <w:spacing w:val="-2"/>
        </w:rPr>
        <w:t xml:space="preserve"> </w:t>
      </w:r>
      <w:r>
        <w:t>the needs of business and our region.</w:t>
      </w:r>
    </w:p>
    <w:p w14:paraId="730AA50D" w14:textId="77777777" w:rsidR="005F39FA" w:rsidRDefault="005F39FA">
      <w:pPr>
        <w:pStyle w:val="BodyText"/>
        <w:spacing w:before="10"/>
        <w:rPr>
          <w:sz w:val="21"/>
        </w:rPr>
      </w:pPr>
    </w:p>
    <w:p w14:paraId="7A6AC62D" w14:textId="47B95441" w:rsidR="005F39FA" w:rsidRDefault="008253E6">
      <w:pPr>
        <w:pStyle w:val="BodyText"/>
        <w:spacing w:before="1"/>
        <w:ind w:left="1440"/>
      </w:pPr>
      <w:r>
        <w:t>On</w:t>
      </w:r>
      <w:r>
        <w:rPr>
          <w:spacing w:val="-6"/>
        </w:rPr>
        <w:t xml:space="preserve"> </w:t>
      </w:r>
      <w:r>
        <w:t>behalf</w:t>
      </w:r>
      <w:r>
        <w:rPr>
          <w:spacing w:val="-3"/>
        </w:rPr>
        <w:t xml:space="preserve"> </w:t>
      </w:r>
      <w:r>
        <w:t>of</w:t>
      </w:r>
      <w:r>
        <w:rPr>
          <w:spacing w:val="-5"/>
        </w:rPr>
        <w:t xml:space="preserve"> </w:t>
      </w:r>
      <w:r>
        <w:t>Invest</w:t>
      </w:r>
      <w:r>
        <w:rPr>
          <w:spacing w:val="-5"/>
        </w:rPr>
        <w:t xml:space="preserve"> </w:t>
      </w:r>
      <w:proofErr w:type="spellStart"/>
      <w:r>
        <w:t>WindsorEssex</w:t>
      </w:r>
      <w:proofErr w:type="spellEnd"/>
      <w:r>
        <w:t>,</w:t>
      </w:r>
      <w:r>
        <w:rPr>
          <w:spacing w:val="-6"/>
        </w:rPr>
        <w:t xml:space="preserve"> </w:t>
      </w:r>
      <w:r>
        <w:t>I</w:t>
      </w:r>
      <w:r>
        <w:rPr>
          <w:spacing w:val="-3"/>
        </w:rPr>
        <w:t xml:space="preserve"> </w:t>
      </w:r>
      <w:r w:rsidR="001E7610">
        <w:rPr>
          <w:spacing w:val="-3"/>
        </w:rPr>
        <w:t>urge</w:t>
      </w:r>
      <w:r>
        <w:rPr>
          <w:spacing w:val="-5"/>
        </w:rPr>
        <w:t xml:space="preserve"> </w:t>
      </w:r>
      <w:r w:rsidR="00B70FC8">
        <w:rPr>
          <w:spacing w:val="-5"/>
        </w:rPr>
        <w:t>the Ontario Energy Board to approve EB-2022-0157.</w:t>
      </w:r>
    </w:p>
    <w:p w14:paraId="6D41A042" w14:textId="77777777" w:rsidR="005F39FA" w:rsidRDefault="008253E6">
      <w:pPr>
        <w:pStyle w:val="BodyText"/>
        <w:ind w:left="1440"/>
      </w:pPr>
      <w:r>
        <w:t>If</w:t>
      </w:r>
      <w:r>
        <w:rPr>
          <w:spacing w:val="-6"/>
        </w:rPr>
        <w:t xml:space="preserve"> </w:t>
      </w:r>
      <w:r>
        <w:t>you</w:t>
      </w:r>
      <w:r>
        <w:rPr>
          <w:spacing w:val="-4"/>
        </w:rPr>
        <w:t xml:space="preserve"> </w:t>
      </w:r>
      <w:r>
        <w:t>have</w:t>
      </w:r>
      <w:r>
        <w:rPr>
          <w:spacing w:val="-5"/>
        </w:rPr>
        <w:t xml:space="preserve"> </w:t>
      </w:r>
      <w:r>
        <w:t>any</w:t>
      </w:r>
      <w:r>
        <w:rPr>
          <w:spacing w:val="-4"/>
        </w:rPr>
        <w:t xml:space="preserve"> </w:t>
      </w:r>
      <w:r>
        <w:t>questions,</w:t>
      </w:r>
      <w:r>
        <w:rPr>
          <w:spacing w:val="-5"/>
        </w:rPr>
        <w:t xml:space="preserve"> </w:t>
      </w:r>
      <w:r>
        <w:t>or</w:t>
      </w:r>
      <w:r>
        <w:rPr>
          <w:spacing w:val="-3"/>
        </w:rPr>
        <w:t xml:space="preserve"> </w:t>
      </w:r>
      <w:r>
        <w:t>require</w:t>
      </w:r>
      <w:r>
        <w:rPr>
          <w:spacing w:val="-7"/>
        </w:rPr>
        <w:t xml:space="preserve"> </w:t>
      </w:r>
      <w:r>
        <w:t>any</w:t>
      </w:r>
      <w:r>
        <w:rPr>
          <w:spacing w:val="-5"/>
        </w:rPr>
        <w:t xml:space="preserve"> </w:t>
      </w:r>
      <w:r>
        <w:t>additional</w:t>
      </w:r>
      <w:r>
        <w:rPr>
          <w:spacing w:val="-3"/>
        </w:rPr>
        <w:t xml:space="preserve"> </w:t>
      </w:r>
      <w:r>
        <w:t>information,</w:t>
      </w:r>
      <w:r>
        <w:rPr>
          <w:spacing w:val="-6"/>
        </w:rPr>
        <w:t xml:space="preserve"> </w:t>
      </w:r>
      <w:r>
        <w:t>please</w:t>
      </w:r>
      <w:r>
        <w:rPr>
          <w:spacing w:val="-4"/>
        </w:rPr>
        <w:t xml:space="preserve"> </w:t>
      </w:r>
      <w:r>
        <w:t>do</w:t>
      </w:r>
      <w:r>
        <w:rPr>
          <w:spacing w:val="-5"/>
        </w:rPr>
        <w:t xml:space="preserve"> </w:t>
      </w:r>
      <w:r>
        <w:t>not</w:t>
      </w:r>
      <w:r>
        <w:rPr>
          <w:spacing w:val="-5"/>
        </w:rPr>
        <w:t xml:space="preserve"> </w:t>
      </w:r>
      <w:r>
        <w:t>hesitate</w:t>
      </w:r>
      <w:r>
        <w:rPr>
          <w:spacing w:val="-4"/>
        </w:rPr>
        <w:t xml:space="preserve"> </w:t>
      </w:r>
      <w:r>
        <w:t>to</w:t>
      </w:r>
      <w:r>
        <w:rPr>
          <w:spacing w:val="-2"/>
        </w:rPr>
        <w:t xml:space="preserve"> </w:t>
      </w:r>
      <w:r>
        <w:t>contact</w:t>
      </w:r>
      <w:r>
        <w:rPr>
          <w:spacing w:val="-5"/>
        </w:rPr>
        <w:t xml:space="preserve"> me.</w:t>
      </w:r>
    </w:p>
    <w:p w14:paraId="09AE042F" w14:textId="77777777" w:rsidR="005F39FA" w:rsidRDefault="005F39FA">
      <w:pPr>
        <w:pStyle w:val="BodyText"/>
        <w:spacing w:before="1"/>
      </w:pPr>
    </w:p>
    <w:p w14:paraId="73E32A74" w14:textId="77777777" w:rsidR="005F39FA" w:rsidRDefault="008253E6">
      <w:pPr>
        <w:pStyle w:val="BodyText"/>
        <w:ind w:left="1440"/>
      </w:pPr>
      <w:r>
        <w:rPr>
          <w:spacing w:val="-2"/>
        </w:rPr>
        <w:t>Sincerely,</w:t>
      </w:r>
    </w:p>
    <w:p w14:paraId="6CE0AADC" w14:textId="77777777" w:rsidR="005F39FA" w:rsidRDefault="008253E6">
      <w:pPr>
        <w:pStyle w:val="BodyText"/>
        <w:rPr>
          <w:sz w:val="6"/>
        </w:rPr>
      </w:pPr>
      <w:r>
        <w:rPr>
          <w:noProof/>
        </w:rPr>
        <w:drawing>
          <wp:anchor distT="0" distB="0" distL="0" distR="0" simplePos="0" relativeHeight="487588864" behindDoc="1" locked="0" layoutInCell="1" allowOverlap="1" wp14:anchorId="0A1329E2" wp14:editId="7282A73A">
            <wp:simplePos x="0" y="0"/>
            <wp:positionH relativeFrom="page">
              <wp:posOffset>914400</wp:posOffset>
            </wp:positionH>
            <wp:positionV relativeFrom="paragraph">
              <wp:posOffset>60325</wp:posOffset>
            </wp:positionV>
            <wp:extent cx="1353185" cy="320040"/>
            <wp:effectExtent l="0" t="0" r="0" b="3810"/>
            <wp:wrapTopAndBottom/>
            <wp:docPr id="3" name="Image 3" descr="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iagram  Description automatically generated"/>
                    <pic:cNvPicPr/>
                  </pic:nvPicPr>
                  <pic:blipFill>
                    <a:blip r:embed="rId10" cstate="print"/>
                    <a:stretch>
                      <a:fillRect/>
                    </a:stretch>
                  </pic:blipFill>
                  <pic:spPr>
                    <a:xfrm>
                      <a:off x="0" y="0"/>
                      <a:ext cx="1353185" cy="320040"/>
                    </a:xfrm>
                    <a:prstGeom prst="rect">
                      <a:avLst/>
                    </a:prstGeom>
                  </pic:spPr>
                </pic:pic>
              </a:graphicData>
            </a:graphic>
            <wp14:sizeRelV relativeFrom="margin">
              <wp14:pctHeight>0</wp14:pctHeight>
            </wp14:sizeRelV>
          </wp:anchor>
        </w:drawing>
      </w:r>
    </w:p>
    <w:p w14:paraId="0207AA8B" w14:textId="77777777" w:rsidR="005F39FA" w:rsidRDefault="008253E6">
      <w:pPr>
        <w:pStyle w:val="BodyText"/>
        <w:spacing w:before="96"/>
        <w:ind w:left="1440"/>
      </w:pPr>
      <w:r>
        <w:t>C.</w:t>
      </w:r>
      <w:r>
        <w:rPr>
          <w:spacing w:val="-5"/>
        </w:rPr>
        <w:t xml:space="preserve"> </w:t>
      </w:r>
      <w:r>
        <w:t>Stephen</w:t>
      </w:r>
      <w:r>
        <w:rPr>
          <w:spacing w:val="-6"/>
        </w:rPr>
        <w:t xml:space="preserve"> </w:t>
      </w:r>
      <w:r>
        <w:rPr>
          <w:spacing w:val="-2"/>
        </w:rPr>
        <w:t>MacKenzie</w:t>
      </w:r>
    </w:p>
    <w:p w14:paraId="7B264A45" w14:textId="77777777" w:rsidR="005F39FA" w:rsidRDefault="008253E6">
      <w:pPr>
        <w:pStyle w:val="BodyText"/>
        <w:spacing w:before="1"/>
        <w:ind w:left="1440"/>
      </w:pPr>
      <w:r>
        <w:t>President</w:t>
      </w:r>
      <w:r>
        <w:rPr>
          <w:spacing w:val="-5"/>
        </w:rPr>
        <w:t xml:space="preserve"> </w:t>
      </w:r>
      <w:r>
        <w:t>&amp;</w:t>
      </w:r>
      <w:r>
        <w:rPr>
          <w:spacing w:val="-7"/>
        </w:rPr>
        <w:t xml:space="preserve"> </w:t>
      </w:r>
      <w:r>
        <w:t>Chief</w:t>
      </w:r>
      <w:r>
        <w:rPr>
          <w:spacing w:val="-5"/>
        </w:rPr>
        <w:t xml:space="preserve"> </w:t>
      </w:r>
      <w:r>
        <w:t>Executive</w:t>
      </w:r>
      <w:r>
        <w:rPr>
          <w:spacing w:val="-4"/>
        </w:rPr>
        <w:t xml:space="preserve"> </w:t>
      </w:r>
      <w:r>
        <w:rPr>
          <w:spacing w:val="-2"/>
        </w:rPr>
        <w:t>Officer</w:t>
      </w:r>
    </w:p>
    <w:p w14:paraId="06FC269E" w14:textId="77777777" w:rsidR="005F39FA" w:rsidRDefault="005F39FA">
      <w:pPr>
        <w:pStyle w:val="BodyText"/>
      </w:pPr>
    </w:p>
    <w:p w14:paraId="12623505" w14:textId="77777777" w:rsidR="005F39FA" w:rsidRDefault="008253E6">
      <w:pPr>
        <w:pStyle w:val="BodyText"/>
        <w:ind w:left="1440"/>
      </w:pPr>
      <w:r>
        <w:rPr>
          <w:color w:val="4B4B4B"/>
        </w:rPr>
        <w:t>p</w:t>
      </w:r>
      <w:r>
        <w:t>:</w:t>
      </w:r>
      <w:r>
        <w:rPr>
          <w:spacing w:val="-6"/>
        </w:rPr>
        <w:t xml:space="preserve"> </w:t>
      </w:r>
      <w:r>
        <w:t>+1</w:t>
      </w:r>
      <w:r>
        <w:rPr>
          <w:spacing w:val="-5"/>
        </w:rPr>
        <w:t xml:space="preserve"> </w:t>
      </w:r>
      <w:r>
        <w:t>519-997-</w:t>
      </w:r>
      <w:r>
        <w:rPr>
          <w:spacing w:val="-4"/>
        </w:rPr>
        <w:t>2399</w:t>
      </w:r>
    </w:p>
    <w:p w14:paraId="5C98CE71" w14:textId="77777777" w:rsidR="005F39FA" w:rsidRDefault="008253E6">
      <w:pPr>
        <w:pStyle w:val="BodyText"/>
        <w:ind w:left="1440"/>
      </w:pPr>
      <w:r>
        <w:t>m:</w:t>
      </w:r>
      <w:r>
        <w:rPr>
          <w:spacing w:val="-10"/>
        </w:rPr>
        <w:t xml:space="preserve"> </w:t>
      </w:r>
      <w:r>
        <w:t>226-345-</w:t>
      </w:r>
      <w:r>
        <w:rPr>
          <w:spacing w:val="-4"/>
        </w:rPr>
        <w:t>1256</w:t>
      </w:r>
    </w:p>
    <w:p w14:paraId="6D34A5C8" w14:textId="77777777" w:rsidR="005F39FA" w:rsidRDefault="008253E6">
      <w:pPr>
        <w:pStyle w:val="BodyText"/>
        <w:spacing w:before="1"/>
        <w:ind w:left="1440"/>
      </w:pPr>
      <w:r>
        <w:t>e:</w:t>
      </w:r>
      <w:r>
        <w:rPr>
          <w:spacing w:val="2"/>
        </w:rPr>
        <w:t xml:space="preserve"> </w:t>
      </w:r>
      <w:hyperlink r:id="rId11">
        <w:r>
          <w:rPr>
            <w:spacing w:val="-2"/>
            <w:u w:val="single"/>
          </w:rPr>
          <w:t>smackenzie@investwindsoressex.com</w:t>
        </w:r>
      </w:hyperlink>
    </w:p>
    <w:sectPr w:rsidR="005F39FA">
      <w:pgSz w:w="12240" w:h="15840"/>
      <w:pgMar w:top="136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601C0"/>
    <w:multiLevelType w:val="hybridMultilevel"/>
    <w:tmpl w:val="C492A542"/>
    <w:lvl w:ilvl="0" w:tplc="812AB014">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96EC7D08">
      <w:numFmt w:val="bullet"/>
      <w:lvlText w:val="•"/>
      <w:lvlJc w:val="left"/>
      <w:pPr>
        <w:ind w:left="2844" w:hanging="360"/>
      </w:pPr>
      <w:rPr>
        <w:rFonts w:hint="default"/>
        <w:lang w:val="en-US" w:eastAsia="en-US" w:bidi="ar-SA"/>
      </w:rPr>
    </w:lvl>
    <w:lvl w:ilvl="2" w:tplc="0A5A9EB8">
      <w:numFmt w:val="bullet"/>
      <w:lvlText w:val="•"/>
      <w:lvlJc w:val="left"/>
      <w:pPr>
        <w:ind w:left="3888" w:hanging="360"/>
      </w:pPr>
      <w:rPr>
        <w:rFonts w:hint="default"/>
        <w:lang w:val="en-US" w:eastAsia="en-US" w:bidi="ar-SA"/>
      </w:rPr>
    </w:lvl>
    <w:lvl w:ilvl="3" w:tplc="6464C340">
      <w:numFmt w:val="bullet"/>
      <w:lvlText w:val="•"/>
      <w:lvlJc w:val="left"/>
      <w:pPr>
        <w:ind w:left="4932" w:hanging="360"/>
      </w:pPr>
      <w:rPr>
        <w:rFonts w:hint="default"/>
        <w:lang w:val="en-US" w:eastAsia="en-US" w:bidi="ar-SA"/>
      </w:rPr>
    </w:lvl>
    <w:lvl w:ilvl="4" w:tplc="F7A2A0BA">
      <w:numFmt w:val="bullet"/>
      <w:lvlText w:val="•"/>
      <w:lvlJc w:val="left"/>
      <w:pPr>
        <w:ind w:left="5976" w:hanging="360"/>
      </w:pPr>
      <w:rPr>
        <w:rFonts w:hint="default"/>
        <w:lang w:val="en-US" w:eastAsia="en-US" w:bidi="ar-SA"/>
      </w:rPr>
    </w:lvl>
    <w:lvl w:ilvl="5" w:tplc="972876F6">
      <w:numFmt w:val="bullet"/>
      <w:lvlText w:val="•"/>
      <w:lvlJc w:val="left"/>
      <w:pPr>
        <w:ind w:left="7020" w:hanging="360"/>
      </w:pPr>
      <w:rPr>
        <w:rFonts w:hint="default"/>
        <w:lang w:val="en-US" w:eastAsia="en-US" w:bidi="ar-SA"/>
      </w:rPr>
    </w:lvl>
    <w:lvl w:ilvl="6" w:tplc="4376929A">
      <w:numFmt w:val="bullet"/>
      <w:lvlText w:val="•"/>
      <w:lvlJc w:val="left"/>
      <w:pPr>
        <w:ind w:left="8064" w:hanging="360"/>
      </w:pPr>
      <w:rPr>
        <w:rFonts w:hint="default"/>
        <w:lang w:val="en-US" w:eastAsia="en-US" w:bidi="ar-SA"/>
      </w:rPr>
    </w:lvl>
    <w:lvl w:ilvl="7" w:tplc="94BA10F8">
      <w:numFmt w:val="bullet"/>
      <w:lvlText w:val="•"/>
      <w:lvlJc w:val="left"/>
      <w:pPr>
        <w:ind w:left="9108" w:hanging="360"/>
      </w:pPr>
      <w:rPr>
        <w:rFonts w:hint="default"/>
        <w:lang w:val="en-US" w:eastAsia="en-US" w:bidi="ar-SA"/>
      </w:rPr>
    </w:lvl>
    <w:lvl w:ilvl="8" w:tplc="382676AE">
      <w:numFmt w:val="bullet"/>
      <w:lvlText w:val="•"/>
      <w:lvlJc w:val="left"/>
      <w:pPr>
        <w:ind w:left="10152" w:hanging="360"/>
      </w:pPr>
      <w:rPr>
        <w:rFonts w:hint="default"/>
        <w:lang w:val="en-US" w:eastAsia="en-US" w:bidi="ar-SA"/>
      </w:rPr>
    </w:lvl>
  </w:abstractNum>
  <w:num w:numId="1" w16cid:durableId="21829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9FA"/>
    <w:rsid w:val="000371B0"/>
    <w:rsid w:val="000C47D0"/>
    <w:rsid w:val="001E7610"/>
    <w:rsid w:val="00232FBF"/>
    <w:rsid w:val="002C0C12"/>
    <w:rsid w:val="003E2677"/>
    <w:rsid w:val="004E3579"/>
    <w:rsid w:val="005F39FA"/>
    <w:rsid w:val="007723FE"/>
    <w:rsid w:val="007F4EF5"/>
    <w:rsid w:val="008253E6"/>
    <w:rsid w:val="00960C26"/>
    <w:rsid w:val="00B70FC8"/>
    <w:rsid w:val="00E014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2787"/>
  <w15:docId w15:val="{6CA09761-CF5B-4136-B64A-A285CBA5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00" w:right="1486" w:hanging="360"/>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7723F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622659">
      <w:bodyDiv w:val="1"/>
      <w:marLeft w:val="0"/>
      <w:marRight w:val="0"/>
      <w:marTop w:val="0"/>
      <w:marBottom w:val="0"/>
      <w:divBdr>
        <w:top w:val="none" w:sz="0" w:space="0" w:color="auto"/>
        <w:left w:val="none" w:sz="0" w:space="0" w:color="auto"/>
        <w:bottom w:val="none" w:sz="0" w:space="0" w:color="auto"/>
        <w:right w:val="none" w:sz="0" w:space="0" w:color="auto"/>
      </w:divBdr>
    </w:div>
    <w:div w:id="1589851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gistrar@oeb.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zora.crnojacki@oeb.c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mackenzie@investwindsoressex.com"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E2F31-BB22-4CE5-B67A-41180C0F7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Pham</dc:creator>
  <cp:lastModifiedBy>Stephen MacKenzie</cp:lastModifiedBy>
  <cp:revision>6</cp:revision>
  <dcterms:created xsi:type="dcterms:W3CDTF">2023-11-10T20:10:00Z</dcterms:created>
  <dcterms:modified xsi:type="dcterms:W3CDTF">2023-11-10T20:52:00Z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2022-05-03T00:00:00Z</vt:filetime>
  </property>
  <property fmtid="{D5CDD505-2E9C-101B-9397-08002B2CF9AE}" pid="3" name="Creator">
    <vt:lpwstr>Microsoft® Word for Microsoft 365</vt:lpwstr>
  </property>
  <property fmtid="{D5CDD505-2E9C-101B-9397-08002B2CF9AE}" pid="4" name="LastSaved">
    <vt:filetime>2023-11-10T00:00:00Z</vt:filetime>
  </property>
  <property fmtid="{D5CDD505-2E9C-101B-9397-08002B2CF9AE}" pid="5" name="Producer">
    <vt:lpwstr>Microsoft® Word for Microsoft 365</vt:lpwstr>
  </property>
</Properties>
</file>