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96EAC" w14:textId="05F2695D" w:rsidR="00E15F8C" w:rsidRPr="00690864" w:rsidRDefault="00E15F8C" w:rsidP="00E15F8C">
      <w:pPr>
        <w:spacing w:after="0" w:line="240" w:lineRule="auto"/>
        <w:jc w:val="center"/>
        <w:rPr>
          <w:rFonts w:ascii="Arial" w:hAnsi="Arial" w:cs="Arial"/>
          <w:b/>
          <w:bCs/>
          <w:sz w:val="28"/>
          <w:szCs w:val="28"/>
        </w:rPr>
      </w:pPr>
      <w:r>
        <w:rPr>
          <w:rFonts w:ascii="Arial" w:hAnsi="Arial" w:cs="Arial"/>
          <w:b/>
          <w:bCs/>
          <w:sz w:val="28"/>
          <w:szCs w:val="28"/>
        </w:rPr>
        <w:t>Hearst Power Distribution Co. Ltd</w:t>
      </w:r>
      <w:r w:rsidRPr="00690864">
        <w:rPr>
          <w:rFonts w:ascii="Arial" w:hAnsi="Arial" w:cs="Arial"/>
          <w:b/>
          <w:bCs/>
          <w:sz w:val="28"/>
          <w:szCs w:val="28"/>
        </w:rPr>
        <w:t>. (</w:t>
      </w:r>
      <w:r>
        <w:rPr>
          <w:rFonts w:ascii="Arial" w:hAnsi="Arial" w:cs="Arial"/>
          <w:b/>
          <w:bCs/>
          <w:sz w:val="28"/>
          <w:szCs w:val="28"/>
        </w:rPr>
        <w:t>H</w:t>
      </w:r>
      <w:r w:rsidR="00FD72B2">
        <w:rPr>
          <w:rFonts w:ascii="Arial" w:hAnsi="Arial" w:cs="Arial"/>
          <w:b/>
          <w:bCs/>
          <w:sz w:val="28"/>
          <w:szCs w:val="28"/>
        </w:rPr>
        <w:t>earst Power</w:t>
      </w:r>
      <w:r w:rsidRPr="00690864">
        <w:rPr>
          <w:rFonts w:ascii="Arial" w:hAnsi="Arial" w:cs="Arial"/>
          <w:b/>
          <w:bCs/>
          <w:sz w:val="28"/>
          <w:szCs w:val="28"/>
        </w:rPr>
        <w:t>)</w:t>
      </w:r>
    </w:p>
    <w:p w14:paraId="34178EAF" w14:textId="77777777" w:rsidR="00E15F8C" w:rsidRPr="00690864" w:rsidRDefault="00E15F8C" w:rsidP="00E15F8C">
      <w:pPr>
        <w:spacing w:after="0" w:line="240" w:lineRule="auto"/>
        <w:jc w:val="center"/>
        <w:rPr>
          <w:rFonts w:ascii="Arial" w:hAnsi="Arial" w:cs="Arial"/>
          <w:b/>
          <w:bCs/>
          <w:sz w:val="28"/>
          <w:szCs w:val="28"/>
        </w:rPr>
      </w:pPr>
      <w:r w:rsidRPr="00690864">
        <w:rPr>
          <w:rFonts w:ascii="Arial" w:hAnsi="Arial" w:cs="Arial"/>
          <w:b/>
          <w:bCs/>
          <w:sz w:val="28"/>
          <w:szCs w:val="28"/>
        </w:rPr>
        <w:t>Staff Questions</w:t>
      </w:r>
    </w:p>
    <w:p w14:paraId="06C98D05" w14:textId="02331BBC" w:rsidR="00E15F8C" w:rsidRPr="00690864" w:rsidRDefault="00E15F8C" w:rsidP="00E15F8C">
      <w:pPr>
        <w:spacing w:after="0" w:line="240" w:lineRule="auto"/>
        <w:jc w:val="center"/>
        <w:rPr>
          <w:rFonts w:ascii="Arial" w:hAnsi="Arial" w:cs="Arial"/>
          <w:b/>
          <w:bCs/>
          <w:sz w:val="28"/>
          <w:szCs w:val="28"/>
        </w:rPr>
      </w:pPr>
      <w:r w:rsidRPr="00690864">
        <w:rPr>
          <w:rFonts w:ascii="Arial" w:hAnsi="Arial" w:cs="Arial"/>
          <w:b/>
          <w:bCs/>
          <w:sz w:val="28"/>
          <w:szCs w:val="28"/>
        </w:rPr>
        <w:t xml:space="preserve">January </w:t>
      </w:r>
      <w:r w:rsidR="000F695C">
        <w:rPr>
          <w:rFonts w:ascii="Arial" w:hAnsi="Arial" w:cs="Arial"/>
          <w:b/>
          <w:bCs/>
          <w:sz w:val="28"/>
          <w:szCs w:val="28"/>
        </w:rPr>
        <w:t>17</w:t>
      </w:r>
      <w:r w:rsidRPr="00690864">
        <w:rPr>
          <w:rFonts w:ascii="Arial" w:hAnsi="Arial" w:cs="Arial"/>
          <w:b/>
          <w:bCs/>
          <w:sz w:val="28"/>
          <w:szCs w:val="28"/>
        </w:rPr>
        <w:t>, 2024</w:t>
      </w:r>
    </w:p>
    <w:p w14:paraId="7D33AA31" w14:textId="77777777" w:rsidR="00E15F8C" w:rsidRPr="00690864" w:rsidRDefault="00E15F8C" w:rsidP="00E15F8C">
      <w:pPr>
        <w:spacing w:after="0" w:line="240" w:lineRule="auto"/>
        <w:rPr>
          <w:rFonts w:ascii="Arial" w:hAnsi="Arial" w:cs="Arial"/>
          <w:b/>
          <w:bCs/>
        </w:rPr>
      </w:pPr>
    </w:p>
    <w:p w14:paraId="42150E8A" w14:textId="7FA9D932" w:rsidR="00E15F8C" w:rsidRPr="00690864" w:rsidRDefault="00E15F8C" w:rsidP="00E15F8C">
      <w:pPr>
        <w:spacing w:after="0" w:line="240" w:lineRule="auto"/>
        <w:rPr>
          <w:rFonts w:ascii="Arial" w:hAnsi="Arial" w:cs="Arial"/>
          <w:sz w:val="24"/>
          <w:szCs w:val="24"/>
        </w:rPr>
      </w:pPr>
      <w:r w:rsidRPr="00690864">
        <w:rPr>
          <w:rFonts w:ascii="Arial" w:hAnsi="Arial" w:cs="Arial"/>
          <w:sz w:val="24"/>
          <w:szCs w:val="24"/>
        </w:rPr>
        <w:t xml:space="preserve">Please note, that </w:t>
      </w:r>
      <w:r>
        <w:rPr>
          <w:rFonts w:ascii="Arial" w:hAnsi="Arial" w:cs="Arial"/>
          <w:sz w:val="24"/>
          <w:szCs w:val="24"/>
        </w:rPr>
        <w:t>H</w:t>
      </w:r>
      <w:r w:rsidR="00FD72B2">
        <w:rPr>
          <w:rFonts w:ascii="Arial" w:hAnsi="Arial" w:cs="Arial"/>
          <w:sz w:val="24"/>
          <w:szCs w:val="24"/>
        </w:rPr>
        <w:t>earst Power</w:t>
      </w:r>
      <w:r w:rsidRPr="00690864">
        <w:rPr>
          <w:rFonts w:ascii="Arial" w:hAnsi="Arial" w:cs="Arial"/>
          <w:sz w:val="24"/>
          <w:szCs w:val="24"/>
        </w:rPr>
        <w:t xml:space="preserve"> is responsible for ensuring that all documents it files with the OEB, including responses to OEB staff interrogatories and any other supporting documentation, do not include personal information (as that phrase is defined in the Freedom of Information and Protection of Privacy Act), unless filed in accordance with rule 9A of the OEB’s Rules of Practice and Procedure.</w:t>
      </w:r>
    </w:p>
    <w:p w14:paraId="3CDB9DF9" w14:textId="77777777" w:rsidR="00E15F8C" w:rsidRPr="00690864" w:rsidRDefault="00E15F8C" w:rsidP="00E15F8C">
      <w:pPr>
        <w:spacing w:after="0" w:line="240" w:lineRule="auto"/>
        <w:rPr>
          <w:rFonts w:ascii="Arial" w:hAnsi="Arial" w:cs="Arial"/>
          <w:sz w:val="24"/>
          <w:szCs w:val="24"/>
        </w:rPr>
      </w:pPr>
    </w:p>
    <w:p w14:paraId="7F6FF747" w14:textId="77777777" w:rsidR="00C03563" w:rsidRDefault="00C03563" w:rsidP="00914CD1">
      <w:pPr>
        <w:rPr>
          <w:rFonts w:ascii="Arial" w:hAnsi="Arial" w:cs="Arial"/>
          <w:b/>
          <w:bCs/>
          <w:sz w:val="24"/>
          <w:szCs w:val="24"/>
        </w:rPr>
      </w:pPr>
    </w:p>
    <w:p w14:paraId="051BBBE2" w14:textId="65F4E7DD" w:rsidR="00914CD1" w:rsidRPr="00914CD1" w:rsidRDefault="00914CD1" w:rsidP="00914CD1">
      <w:pPr>
        <w:rPr>
          <w:rFonts w:ascii="Arial" w:hAnsi="Arial" w:cs="Arial"/>
          <w:b/>
          <w:bCs/>
          <w:sz w:val="24"/>
          <w:szCs w:val="24"/>
        </w:rPr>
      </w:pPr>
      <w:r w:rsidRPr="00914CD1">
        <w:rPr>
          <w:rFonts w:ascii="Arial" w:hAnsi="Arial" w:cs="Arial"/>
          <w:b/>
          <w:bCs/>
          <w:sz w:val="24"/>
          <w:szCs w:val="24"/>
        </w:rPr>
        <w:t>OEB Staff Question 1</w:t>
      </w:r>
    </w:p>
    <w:p w14:paraId="140384DA" w14:textId="77777777" w:rsidR="00914CD1" w:rsidRPr="00914CD1" w:rsidRDefault="00914CD1" w:rsidP="00914CD1">
      <w:pPr>
        <w:rPr>
          <w:rFonts w:ascii="Arial" w:hAnsi="Arial" w:cs="Arial"/>
          <w:b/>
          <w:bCs/>
          <w:sz w:val="24"/>
          <w:szCs w:val="24"/>
        </w:rPr>
      </w:pPr>
      <w:r w:rsidRPr="00914CD1">
        <w:rPr>
          <w:rFonts w:ascii="Arial" w:hAnsi="Arial" w:cs="Arial"/>
          <w:b/>
          <w:bCs/>
          <w:sz w:val="24"/>
          <w:szCs w:val="24"/>
        </w:rPr>
        <w:t>Ref: 2024 IRM Rate Generator, Tabs 18 and 20</w:t>
      </w:r>
    </w:p>
    <w:p w14:paraId="660C5810" w14:textId="77777777" w:rsidR="00914CD1" w:rsidRPr="00914CD1" w:rsidRDefault="00914CD1" w:rsidP="00914CD1">
      <w:pPr>
        <w:spacing w:line="240" w:lineRule="auto"/>
        <w:contextualSpacing/>
        <w:rPr>
          <w:rFonts w:ascii="Arial" w:hAnsi="Arial" w:cs="Arial"/>
          <w:sz w:val="24"/>
          <w:szCs w:val="24"/>
        </w:rPr>
      </w:pPr>
      <w:r w:rsidRPr="00914CD1">
        <w:rPr>
          <w:rFonts w:ascii="Arial" w:hAnsi="Arial" w:cs="Arial"/>
          <w:sz w:val="24"/>
          <w:szCs w:val="24"/>
        </w:rPr>
        <w:t>On December 7</w:t>
      </w:r>
      <w:r w:rsidRPr="00914CD1">
        <w:rPr>
          <w:rFonts w:ascii="Arial" w:hAnsi="Arial" w:cs="Arial"/>
          <w:sz w:val="24"/>
          <w:szCs w:val="24"/>
          <w:vertAlign w:val="superscript"/>
        </w:rPr>
        <w:t>th</w:t>
      </w:r>
      <w:r w:rsidRPr="00914CD1">
        <w:rPr>
          <w:rFonts w:ascii="Arial" w:hAnsi="Arial" w:cs="Arial"/>
          <w:sz w:val="24"/>
          <w:szCs w:val="24"/>
        </w:rPr>
        <w:t>, 2023, the OEB issued a decision and order regarding the 2024 Wholesale Market Services rate (WMS) and the Rural or Remote Electricity Rate Protection charge (RRRP).</w:t>
      </w:r>
      <w:r w:rsidRPr="00914CD1">
        <w:rPr>
          <w:rFonts w:ascii="Arial" w:hAnsi="Arial" w:cs="Arial"/>
          <w:sz w:val="24"/>
          <w:szCs w:val="24"/>
          <w:vertAlign w:val="superscript"/>
        </w:rPr>
        <w:footnoteReference w:id="1"/>
      </w:r>
    </w:p>
    <w:p w14:paraId="029B58D9" w14:textId="77777777" w:rsidR="00914CD1" w:rsidRPr="00914CD1" w:rsidRDefault="00914CD1" w:rsidP="00914CD1">
      <w:pPr>
        <w:spacing w:line="240" w:lineRule="auto"/>
        <w:contextualSpacing/>
        <w:rPr>
          <w:rFonts w:ascii="Arial" w:hAnsi="Arial" w:cs="Arial"/>
          <w:sz w:val="24"/>
          <w:szCs w:val="24"/>
        </w:rPr>
      </w:pPr>
    </w:p>
    <w:p w14:paraId="1CAC3A0D" w14:textId="19D32F25" w:rsidR="00914CD1" w:rsidRPr="00914CD1" w:rsidRDefault="00914CD1" w:rsidP="00914CD1">
      <w:pPr>
        <w:spacing w:line="240" w:lineRule="auto"/>
        <w:contextualSpacing/>
        <w:rPr>
          <w:rFonts w:ascii="Arial" w:hAnsi="Arial" w:cs="Arial"/>
          <w:sz w:val="24"/>
          <w:szCs w:val="24"/>
        </w:rPr>
      </w:pPr>
      <w:r w:rsidRPr="00914CD1">
        <w:rPr>
          <w:rFonts w:ascii="Arial" w:hAnsi="Arial" w:cs="Arial"/>
          <w:sz w:val="24"/>
          <w:szCs w:val="24"/>
        </w:rPr>
        <w:t xml:space="preserve">OEB staff has updated Tab 18 of </w:t>
      </w:r>
      <w:r>
        <w:rPr>
          <w:rFonts w:ascii="Arial" w:hAnsi="Arial" w:cs="Arial"/>
          <w:sz w:val="24"/>
          <w:szCs w:val="24"/>
        </w:rPr>
        <w:t>H</w:t>
      </w:r>
      <w:r w:rsidR="00FD72B2">
        <w:rPr>
          <w:rFonts w:ascii="Arial" w:hAnsi="Arial" w:cs="Arial"/>
          <w:sz w:val="24"/>
          <w:szCs w:val="24"/>
        </w:rPr>
        <w:t>earst Power</w:t>
      </w:r>
      <w:r w:rsidRPr="00914CD1">
        <w:rPr>
          <w:rFonts w:ascii="Arial" w:hAnsi="Arial" w:cs="Arial"/>
          <w:bCs/>
          <w:sz w:val="24"/>
          <w:szCs w:val="24"/>
        </w:rPr>
        <w:t>’s Rate Generator</w:t>
      </w:r>
      <w:r w:rsidRPr="00914CD1">
        <w:rPr>
          <w:rFonts w:ascii="Arial" w:hAnsi="Arial" w:cs="Arial"/>
          <w:sz w:val="24"/>
          <w:szCs w:val="24"/>
        </w:rPr>
        <w:t xml:space="preserve"> with the revised RRRP charge of $0.0014 per kWh as follows:</w:t>
      </w:r>
    </w:p>
    <w:p w14:paraId="163BC790" w14:textId="77777777" w:rsidR="00914CD1" w:rsidRPr="00914CD1" w:rsidRDefault="00914CD1" w:rsidP="00914CD1">
      <w:pPr>
        <w:spacing w:line="240" w:lineRule="auto"/>
        <w:contextualSpacing/>
        <w:rPr>
          <w:rFonts w:ascii="Arial" w:hAnsi="Arial" w:cs="Arial"/>
          <w:sz w:val="24"/>
          <w:szCs w:val="24"/>
        </w:rPr>
      </w:pPr>
    </w:p>
    <w:p w14:paraId="0E63AAB2" w14:textId="77777777" w:rsidR="00914CD1" w:rsidRPr="00914CD1" w:rsidRDefault="00914CD1" w:rsidP="00914CD1">
      <w:pPr>
        <w:spacing w:line="240" w:lineRule="auto"/>
        <w:contextualSpacing/>
        <w:rPr>
          <w:sz w:val="24"/>
          <w:szCs w:val="24"/>
        </w:rPr>
      </w:pPr>
      <w:r w:rsidRPr="00914CD1">
        <w:rPr>
          <w:noProof/>
          <w:sz w:val="24"/>
          <w:szCs w:val="24"/>
        </w:rPr>
        <w:drawing>
          <wp:inline distT="0" distB="0" distL="0" distR="0" wp14:anchorId="1628CEA6" wp14:editId="368C7EFC">
            <wp:extent cx="4572000" cy="1295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99436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0" cy="1295400"/>
                    </a:xfrm>
                    <a:prstGeom prst="rect">
                      <a:avLst/>
                    </a:prstGeom>
                    <a:noFill/>
                    <a:ln>
                      <a:noFill/>
                    </a:ln>
                  </pic:spPr>
                </pic:pic>
              </a:graphicData>
            </a:graphic>
          </wp:inline>
        </w:drawing>
      </w:r>
    </w:p>
    <w:p w14:paraId="209817CD" w14:textId="77777777" w:rsidR="00914CD1" w:rsidRPr="00914CD1" w:rsidRDefault="00914CD1" w:rsidP="00914CD1">
      <w:pPr>
        <w:numPr>
          <w:ilvl w:val="0"/>
          <w:numId w:val="1"/>
        </w:numPr>
        <w:spacing w:after="0" w:line="240" w:lineRule="auto"/>
        <w:contextualSpacing/>
        <w:rPr>
          <w:rFonts w:ascii="Arial" w:hAnsi="Arial" w:cs="Arial"/>
          <w:sz w:val="24"/>
          <w:szCs w:val="24"/>
          <w:lang w:val="en-CA"/>
        </w:rPr>
      </w:pPr>
      <w:bookmarkStart w:id="0" w:name="_Hlk154096056"/>
      <w:r w:rsidRPr="00914CD1">
        <w:rPr>
          <w:rFonts w:ascii="Arial" w:hAnsi="Arial" w:cs="Arial"/>
          <w:sz w:val="24"/>
          <w:szCs w:val="24"/>
          <w:lang w:val="en-CA"/>
        </w:rPr>
        <w:t>P</w:t>
      </w:r>
      <w:bookmarkEnd w:id="0"/>
      <w:r w:rsidRPr="00914CD1">
        <w:rPr>
          <w:rFonts w:ascii="Arial" w:hAnsi="Arial" w:cs="Arial"/>
          <w:sz w:val="24"/>
          <w:szCs w:val="24"/>
          <w:lang w:val="en-CA"/>
        </w:rPr>
        <w:t>lease confirm the accuracy of the Rate Generator update, as well as the accuracy of the resulting Regulatory Charges following these updates.</w:t>
      </w:r>
    </w:p>
    <w:p w14:paraId="7962DA3A" w14:textId="77777777" w:rsidR="00914CD1" w:rsidRPr="00914CD1" w:rsidRDefault="00914CD1" w:rsidP="00914CD1">
      <w:pPr>
        <w:spacing w:line="240" w:lineRule="auto"/>
        <w:contextualSpacing/>
        <w:jc w:val="both"/>
        <w:rPr>
          <w:rFonts w:ascii="Arial" w:hAnsi="Arial" w:cs="Arial"/>
          <w:b/>
          <w:bCs/>
          <w:sz w:val="24"/>
          <w:szCs w:val="24"/>
        </w:rPr>
      </w:pPr>
    </w:p>
    <w:p w14:paraId="7DF2E5AF" w14:textId="77777777" w:rsidR="00FD72B2" w:rsidRDefault="00FD72B2" w:rsidP="00914CD1">
      <w:pPr>
        <w:spacing w:line="240" w:lineRule="auto"/>
        <w:contextualSpacing/>
        <w:jc w:val="both"/>
        <w:rPr>
          <w:rFonts w:ascii="Arial" w:hAnsi="Arial" w:cs="Arial"/>
          <w:b/>
          <w:bCs/>
          <w:sz w:val="24"/>
          <w:szCs w:val="24"/>
        </w:rPr>
      </w:pPr>
      <w:bookmarkStart w:id="1" w:name="_Hlk155607431"/>
    </w:p>
    <w:p w14:paraId="605ACA52" w14:textId="2A579B70" w:rsidR="00914CD1" w:rsidRPr="00914CD1" w:rsidRDefault="00914CD1" w:rsidP="00914CD1">
      <w:pPr>
        <w:spacing w:line="240" w:lineRule="auto"/>
        <w:contextualSpacing/>
        <w:jc w:val="both"/>
        <w:rPr>
          <w:rFonts w:ascii="Arial" w:hAnsi="Arial" w:cs="Arial"/>
          <w:b/>
          <w:bCs/>
          <w:sz w:val="24"/>
          <w:szCs w:val="24"/>
        </w:rPr>
      </w:pPr>
      <w:r w:rsidRPr="00914CD1">
        <w:rPr>
          <w:rFonts w:ascii="Arial" w:hAnsi="Arial" w:cs="Arial"/>
          <w:b/>
          <w:bCs/>
          <w:sz w:val="24"/>
          <w:szCs w:val="24"/>
        </w:rPr>
        <w:t>Staff Question 2</w:t>
      </w:r>
    </w:p>
    <w:p w14:paraId="16109152" w14:textId="77777777" w:rsidR="00914CD1" w:rsidRPr="00914CD1" w:rsidRDefault="00914CD1" w:rsidP="00914CD1">
      <w:pPr>
        <w:spacing w:line="240" w:lineRule="auto"/>
        <w:contextualSpacing/>
        <w:jc w:val="both"/>
        <w:rPr>
          <w:sz w:val="24"/>
          <w:szCs w:val="24"/>
        </w:rPr>
      </w:pPr>
    </w:p>
    <w:p w14:paraId="14A3AEFD" w14:textId="77777777" w:rsidR="00914CD1" w:rsidRPr="00914CD1" w:rsidRDefault="00914CD1" w:rsidP="00914CD1">
      <w:pPr>
        <w:spacing w:line="240" w:lineRule="auto"/>
        <w:contextualSpacing/>
        <w:jc w:val="both"/>
        <w:rPr>
          <w:rFonts w:ascii="Arial" w:hAnsi="Arial" w:cs="Arial"/>
          <w:b/>
          <w:sz w:val="24"/>
          <w:szCs w:val="24"/>
        </w:rPr>
      </w:pPr>
      <w:r w:rsidRPr="00914CD1">
        <w:rPr>
          <w:rFonts w:ascii="Arial" w:hAnsi="Arial" w:cs="Arial"/>
          <w:b/>
          <w:sz w:val="24"/>
          <w:szCs w:val="24"/>
        </w:rPr>
        <w:t>Ref: 2024 IRM Rate Generator Model, Tabs 11, 15, and 20</w:t>
      </w:r>
    </w:p>
    <w:p w14:paraId="667CDC3A" w14:textId="77777777" w:rsidR="00914CD1" w:rsidRPr="00914CD1" w:rsidRDefault="00914CD1" w:rsidP="00914CD1">
      <w:pPr>
        <w:spacing w:line="240" w:lineRule="auto"/>
        <w:contextualSpacing/>
        <w:jc w:val="both"/>
        <w:rPr>
          <w:rFonts w:ascii="Arial" w:hAnsi="Arial" w:cs="Arial"/>
          <w:bCs/>
          <w:sz w:val="24"/>
          <w:szCs w:val="24"/>
        </w:rPr>
      </w:pPr>
    </w:p>
    <w:p w14:paraId="5F197F60" w14:textId="77777777" w:rsidR="00914CD1" w:rsidRPr="00914CD1" w:rsidRDefault="00914CD1" w:rsidP="00914CD1">
      <w:pPr>
        <w:spacing w:line="240" w:lineRule="auto"/>
        <w:contextualSpacing/>
        <w:jc w:val="both"/>
        <w:rPr>
          <w:rFonts w:ascii="Arial" w:hAnsi="Arial" w:cs="Arial"/>
          <w:bCs/>
          <w:sz w:val="24"/>
          <w:szCs w:val="24"/>
        </w:rPr>
      </w:pPr>
      <w:r w:rsidRPr="00914CD1">
        <w:rPr>
          <w:rFonts w:ascii="Arial" w:hAnsi="Arial" w:cs="Arial"/>
          <w:bCs/>
          <w:sz w:val="24"/>
          <w:szCs w:val="24"/>
        </w:rPr>
        <w:t>On</w:t>
      </w:r>
      <w:bookmarkEnd w:id="1"/>
      <w:r w:rsidRPr="00914CD1">
        <w:rPr>
          <w:rFonts w:ascii="Arial" w:hAnsi="Arial" w:cs="Arial"/>
          <w:bCs/>
          <w:sz w:val="24"/>
          <w:szCs w:val="24"/>
        </w:rPr>
        <w:t xml:space="preserve"> September 28</w:t>
      </w:r>
      <w:r w:rsidRPr="00914CD1">
        <w:rPr>
          <w:rFonts w:ascii="Arial" w:hAnsi="Arial" w:cs="Arial"/>
          <w:bCs/>
          <w:sz w:val="24"/>
          <w:szCs w:val="24"/>
          <w:vertAlign w:val="superscript"/>
        </w:rPr>
        <w:t>th</w:t>
      </w:r>
      <w:r w:rsidRPr="00914CD1">
        <w:rPr>
          <w:rFonts w:ascii="Arial" w:hAnsi="Arial" w:cs="Arial"/>
          <w:bCs/>
          <w:sz w:val="24"/>
          <w:szCs w:val="24"/>
        </w:rPr>
        <w:t>, 2023, the OEB issued a letter regarding 2024 preliminary Uniform Transmission Rates (UTRs) and Hydro One Sub-Transmission Rates (RTSR).</w:t>
      </w:r>
      <w:r w:rsidRPr="00914CD1">
        <w:rPr>
          <w:rFonts w:ascii="Arial" w:hAnsi="Arial" w:cs="Arial"/>
          <w:bCs/>
          <w:sz w:val="24"/>
          <w:szCs w:val="24"/>
          <w:vertAlign w:val="superscript"/>
        </w:rPr>
        <w:footnoteReference w:id="2"/>
      </w:r>
      <w:r w:rsidRPr="00914CD1">
        <w:rPr>
          <w:rFonts w:ascii="Arial" w:hAnsi="Arial" w:cs="Arial"/>
          <w:bCs/>
          <w:sz w:val="24"/>
          <w:szCs w:val="24"/>
        </w:rPr>
        <w:t xml:space="preserve"> The OEB determined the use of preliminary UTRs to calculate 2024 Retail Service Transmission </w:t>
      </w:r>
      <w:r w:rsidRPr="00914CD1">
        <w:rPr>
          <w:rFonts w:ascii="Arial" w:hAnsi="Arial" w:cs="Arial"/>
          <w:bCs/>
          <w:sz w:val="24"/>
          <w:szCs w:val="24"/>
        </w:rPr>
        <w:lastRenderedPageBreak/>
        <w:t>Rates (RTSRs) to improve regulatory efficiency, allowing for this data to feed into the rate applications including annual updates for electricity distributors on a timelier basis. On December 14</w:t>
      </w:r>
      <w:r w:rsidRPr="00914CD1">
        <w:rPr>
          <w:rFonts w:ascii="Arial" w:hAnsi="Arial" w:cs="Arial"/>
          <w:bCs/>
          <w:sz w:val="24"/>
          <w:szCs w:val="24"/>
          <w:vertAlign w:val="superscript"/>
        </w:rPr>
        <w:t>th</w:t>
      </w:r>
      <w:r w:rsidRPr="00914CD1">
        <w:rPr>
          <w:rFonts w:ascii="Arial" w:hAnsi="Arial" w:cs="Arial"/>
          <w:bCs/>
          <w:sz w:val="24"/>
          <w:szCs w:val="24"/>
        </w:rPr>
        <w:t>, 2023, the OEB approved Hydro One Network Inc’s final host RTSRs.</w:t>
      </w:r>
      <w:r w:rsidRPr="00914CD1">
        <w:rPr>
          <w:rFonts w:ascii="Arial" w:hAnsi="Arial" w:cs="Arial"/>
          <w:bCs/>
          <w:sz w:val="24"/>
          <w:szCs w:val="24"/>
          <w:vertAlign w:val="superscript"/>
        </w:rPr>
        <w:footnoteReference w:id="3"/>
      </w:r>
      <w:r w:rsidRPr="00914CD1">
        <w:rPr>
          <w:rFonts w:ascii="Arial" w:hAnsi="Arial" w:cs="Arial"/>
          <w:bCs/>
          <w:sz w:val="24"/>
          <w:szCs w:val="24"/>
        </w:rPr>
        <w:t xml:space="preserve"> </w:t>
      </w:r>
    </w:p>
    <w:p w14:paraId="70386BB3" w14:textId="77777777" w:rsidR="00914CD1" w:rsidRPr="00914CD1" w:rsidRDefault="00914CD1" w:rsidP="00914CD1">
      <w:pPr>
        <w:spacing w:line="240" w:lineRule="auto"/>
        <w:contextualSpacing/>
        <w:jc w:val="both"/>
        <w:rPr>
          <w:rFonts w:ascii="Arial" w:hAnsi="Arial" w:cs="Arial"/>
          <w:bCs/>
          <w:sz w:val="24"/>
          <w:szCs w:val="24"/>
        </w:rPr>
      </w:pPr>
    </w:p>
    <w:p w14:paraId="3F88AC76" w14:textId="029BE3C1" w:rsidR="00914CD1" w:rsidRPr="00914CD1" w:rsidRDefault="00914CD1" w:rsidP="00914CD1">
      <w:pPr>
        <w:spacing w:line="240" w:lineRule="auto"/>
        <w:contextualSpacing/>
        <w:jc w:val="both"/>
        <w:rPr>
          <w:rFonts w:ascii="Arial" w:hAnsi="Arial" w:cs="Arial"/>
          <w:bCs/>
          <w:sz w:val="24"/>
          <w:szCs w:val="24"/>
        </w:rPr>
      </w:pPr>
      <w:r w:rsidRPr="00914CD1">
        <w:rPr>
          <w:rFonts w:ascii="Arial" w:hAnsi="Arial" w:cs="Arial"/>
          <w:bCs/>
          <w:sz w:val="24"/>
          <w:szCs w:val="24"/>
        </w:rPr>
        <w:t xml:space="preserve">OEB staff has updated </w:t>
      </w:r>
      <w:r>
        <w:rPr>
          <w:rFonts w:ascii="Arial" w:hAnsi="Arial" w:cs="Arial"/>
          <w:bCs/>
          <w:sz w:val="24"/>
          <w:szCs w:val="24"/>
        </w:rPr>
        <w:t>H</w:t>
      </w:r>
      <w:r w:rsidR="006A791C">
        <w:rPr>
          <w:rFonts w:ascii="Arial" w:hAnsi="Arial" w:cs="Arial"/>
          <w:bCs/>
          <w:sz w:val="24"/>
          <w:szCs w:val="24"/>
        </w:rPr>
        <w:t>earst Power</w:t>
      </w:r>
      <w:r w:rsidRPr="00914CD1">
        <w:rPr>
          <w:rFonts w:ascii="Arial" w:hAnsi="Arial" w:cs="Arial"/>
          <w:bCs/>
          <w:sz w:val="24"/>
          <w:szCs w:val="24"/>
        </w:rPr>
        <w:t>’s Rate Generator with the preliminary UTRs and updated host RTSRs by HONI as follows:</w:t>
      </w:r>
    </w:p>
    <w:p w14:paraId="794CFD36" w14:textId="77777777" w:rsidR="00914CD1" w:rsidRPr="00914CD1" w:rsidRDefault="00914CD1" w:rsidP="00914CD1">
      <w:pPr>
        <w:spacing w:line="240" w:lineRule="auto"/>
        <w:contextualSpacing/>
        <w:rPr>
          <w:rFonts w:ascii="Arial" w:hAnsi="Arial" w:cs="Arial"/>
          <w:b/>
          <w:sz w:val="24"/>
          <w:szCs w:val="24"/>
        </w:rPr>
      </w:pPr>
    </w:p>
    <w:p w14:paraId="199AF25C" w14:textId="77777777" w:rsidR="00914CD1" w:rsidRPr="00914CD1" w:rsidRDefault="00914CD1" w:rsidP="00914CD1">
      <w:pPr>
        <w:spacing w:line="240" w:lineRule="auto"/>
        <w:contextualSpacing/>
        <w:rPr>
          <w:rFonts w:ascii="Arial" w:hAnsi="Arial" w:cs="Arial"/>
          <w:b/>
          <w:sz w:val="24"/>
          <w:szCs w:val="24"/>
        </w:rPr>
      </w:pPr>
      <w:r w:rsidRPr="00914CD1">
        <w:rPr>
          <w:rFonts w:ascii="Arial" w:hAnsi="Arial" w:cs="Arial"/>
          <w:b/>
          <w:sz w:val="24"/>
          <w:szCs w:val="24"/>
        </w:rPr>
        <w:t>UTRs</w:t>
      </w:r>
    </w:p>
    <w:p w14:paraId="68508312" w14:textId="77777777" w:rsidR="00914CD1" w:rsidRPr="00914CD1" w:rsidRDefault="00914CD1" w:rsidP="00914CD1">
      <w:pPr>
        <w:spacing w:line="240" w:lineRule="auto"/>
        <w:contextualSpacing/>
        <w:rPr>
          <w:rFonts w:ascii="Arial" w:hAnsi="Arial" w:cs="Arial"/>
          <w:bCs/>
          <w:sz w:val="24"/>
          <w:szCs w:val="24"/>
        </w:rPr>
      </w:pPr>
      <w:r w:rsidRPr="00914CD1">
        <w:rPr>
          <w:noProof/>
          <w:sz w:val="24"/>
          <w:szCs w:val="24"/>
        </w:rPr>
        <mc:AlternateContent>
          <mc:Choice Requires="wps">
            <w:drawing>
              <wp:anchor distT="0" distB="0" distL="114300" distR="114300" simplePos="0" relativeHeight="251659264" behindDoc="0" locked="0" layoutInCell="1" allowOverlap="1" wp14:anchorId="46F06ABB" wp14:editId="103B51F7">
                <wp:simplePos x="0" y="0"/>
                <wp:positionH relativeFrom="column">
                  <wp:posOffset>5455920</wp:posOffset>
                </wp:positionH>
                <wp:positionV relativeFrom="paragraph">
                  <wp:posOffset>368935</wp:posOffset>
                </wp:positionV>
                <wp:extent cx="609600" cy="586740"/>
                <wp:effectExtent l="0" t="0" r="19050" b="22860"/>
                <wp:wrapNone/>
                <wp:docPr id="10" name="Oval 10"/>
                <wp:cNvGraphicFramePr/>
                <a:graphic xmlns:a="http://schemas.openxmlformats.org/drawingml/2006/main">
                  <a:graphicData uri="http://schemas.microsoft.com/office/word/2010/wordprocessingShape">
                    <wps:wsp>
                      <wps:cNvSpPr/>
                      <wps:spPr>
                        <a:xfrm>
                          <a:off x="0" y="0"/>
                          <a:ext cx="609600" cy="586740"/>
                        </a:xfrm>
                        <a:prstGeom prst="ellipse">
                          <a:avLst/>
                        </a:prstGeom>
                        <a:noFill/>
                        <a:ln w="12700" cap="flat" cmpd="sng" algn="ctr">
                          <a:solidFill>
                            <a:srgbClr val="C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F9E581" id="Oval 10" o:spid="_x0000_s1026" style="position:absolute;margin-left:429.6pt;margin-top:29.05pt;width:48pt;height:4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" filled="f" strokecolor="#c00000" strokeweight="1pt">
                <v:stroke joinstyle="miter"/>
              </v:oval>
            </w:pict>
          </mc:Fallback>
        </mc:AlternateContent>
      </w:r>
      <w:r w:rsidRPr="00914CD1">
        <w:rPr>
          <w:rFonts w:ascii="Arial" w:hAnsi="Arial" w:cs="Arial"/>
          <w:b/>
          <w:noProof/>
          <w:sz w:val="24"/>
          <w:szCs w:val="24"/>
        </w:rPr>
        <w:drawing>
          <wp:inline distT="0" distB="0" distL="0" distR="0" wp14:anchorId="4EC435E4" wp14:editId="58543867">
            <wp:extent cx="5943600" cy="971550"/>
            <wp:effectExtent l="0" t="0" r="0" b="0"/>
            <wp:docPr id="8" name="Picture 8"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screenshot of a comput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971550"/>
                    </a:xfrm>
                    <a:prstGeom prst="rect">
                      <a:avLst/>
                    </a:prstGeom>
                    <a:noFill/>
                    <a:ln>
                      <a:noFill/>
                    </a:ln>
                  </pic:spPr>
                </pic:pic>
              </a:graphicData>
            </a:graphic>
          </wp:inline>
        </w:drawing>
      </w:r>
    </w:p>
    <w:p w14:paraId="73C12699" w14:textId="77777777" w:rsidR="00914CD1" w:rsidRPr="00914CD1" w:rsidRDefault="00914CD1" w:rsidP="00914CD1">
      <w:pPr>
        <w:spacing w:line="240" w:lineRule="auto"/>
        <w:contextualSpacing/>
        <w:rPr>
          <w:rFonts w:ascii="Arial" w:hAnsi="Arial" w:cs="Arial"/>
          <w:bCs/>
          <w:sz w:val="24"/>
          <w:szCs w:val="24"/>
        </w:rPr>
      </w:pPr>
      <w:r w:rsidRPr="00914CD1">
        <w:rPr>
          <w:rFonts w:ascii="Arial" w:hAnsi="Arial" w:cs="Arial"/>
          <w:b/>
          <w:sz w:val="24"/>
          <w:szCs w:val="24"/>
        </w:rPr>
        <w:t>Hydro One Sub-Transmission Rates</w:t>
      </w:r>
    </w:p>
    <w:p w14:paraId="53F2AC59" w14:textId="77777777" w:rsidR="00914CD1" w:rsidRPr="00914CD1" w:rsidRDefault="00914CD1" w:rsidP="00914CD1">
      <w:pPr>
        <w:spacing w:line="240" w:lineRule="auto"/>
        <w:contextualSpacing/>
        <w:rPr>
          <w:rFonts w:ascii="Arial" w:hAnsi="Arial" w:cs="Arial"/>
          <w:b/>
          <w:bCs/>
          <w:sz w:val="24"/>
          <w:szCs w:val="24"/>
        </w:rPr>
      </w:pPr>
      <w:r w:rsidRPr="00914CD1">
        <w:rPr>
          <w:noProof/>
          <w:sz w:val="24"/>
          <w:szCs w:val="24"/>
        </w:rPr>
        <mc:AlternateContent>
          <mc:Choice Requires="wps">
            <w:drawing>
              <wp:anchor distT="0" distB="0" distL="114300" distR="114300" simplePos="0" relativeHeight="251660288" behindDoc="0" locked="0" layoutInCell="1" allowOverlap="1" wp14:anchorId="3204B9AF" wp14:editId="7A54487C">
                <wp:simplePos x="0" y="0"/>
                <wp:positionH relativeFrom="column">
                  <wp:posOffset>5353050</wp:posOffset>
                </wp:positionH>
                <wp:positionV relativeFrom="paragraph">
                  <wp:posOffset>440055</wp:posOffset>
                </wp:positionV>
                <wp:extent cx="708660" cy="714375"/>
                <wp:effectExtent l="0" t="0" r="15240" b="28575"/>
                <wp:wrapNone/>
                <wp:docPr id="9" name="Oval 9"/>
                <wp:cNvGraphicFramePr/>
                <a:graphic xmlns:a="http://schemas.openxmlformats.org/drawingml/2006/main">
                  <a:graphicData uri="http://schemas.microsoft.com/office/word/2010/wordprocessingShape">
                    <wps:wsp>
                      <wps:cNvSpPr/>
                      <wps:spPr>
                        <a:xfrm>
                          <a:off x="0" y="0"/>
                          <a:ext cx="708660" cy="714375"/>
                        </a:xfrm>
                        <a:prstGeom prst="ellipse">
                          <a:avLst/>
                        </a:prstGeom>
                        <a:noFill/>
                        <a:ln w="12700" cap="flat" cmpd="sng" algn="ctr">
                          <a:solidFill>
                            <a:srgbClr val="C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98A334" id="Oval 9" o:spid="_x0000_s1026" style="position:absolute;margin-left:421.5pt;margin-top:34.65pt;width:55.8pt;height:5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" filled="f" strokecolor="#c00000" strokeweight="1pt">
                <v:stroke joinstyle="miter"/>
              </v:oval>
            </w:pict>
          </mc:Fallback>
        </mc:AlternateContent>
      </w:r>
      <w:r w:rsidRPr="00914CD1">
        <w:rPr>
          <w:rFonts w:ascii="Arial" w:hAnsi="Arial" w:cs="Arial"/>
          <w:b/>
          <w:noProof/>
          <w:sz w:val="24"/>
          <w:szCs w:val="24"/>
        </w:rPr>
        <w:drawing>
          <wp:inline distT="0" distB="0" distL="0" distR="0" wp14:anchorId="0E6DBC0E" wp14:editId="22D41411">
            <wp:extent cx="5943600" cy="1219200"/>
            <wp:effectExtent l="0" t="0" r="0" b="0"/>
            <wp:docPr id="7" name="Picture 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computer&#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1219200"/>
                    </a:xfrm>
                    <a:prstGeom prst="rect">
                      <a:avLst/>
                    </a:prstGeom>
                    <a:noFill/>
                    <a:ln>
                      <a:noFill/>
                    </a:ln>
                  </pic:spPr>
                </pic:pic>
              </a:graphicData>
            </a:graphic>
          </wp:inline>
        </w:drawing>
      </w:r>
    </w:p>
    <w:p w14:paraId="1FCABA69" w14:textId="77777777" w:rsidR="00914CD1" w:rsidRPr="00914CD1" w:rsidRDefault="00914CD1" w:rsidP="00914CD1">
      <w:pPr>
        <w:numPr>
          <w:ilvl w:val="0"/>
          <w:numId w:val="2"/>
        </w:numPr>
        <w:spacing w:after="0" w:line="240" w:lineRule="auto"/>
        <w:contextualSpacing/>
        <w:rPr>
          <w:rFonts w:ascii="Arial" w:hAnsi="Arial" w:cs="Arial"/>
          <w:sz w:val="24"/>
          <w:szCs w:val="24"/>
          <w:lang w:val="en-CA"/>
        </w:rPr>
      </w:pPr>
      <w:bookmarkStart w:id="2" w:name="_Hlk156295690"/>
      <w:r w:rsidRPr="00914CD1">
        <w:rPr>
          <w:rFonts w:ascii="Arial" w:hAnsi="Arial" w:cs="Arial"/>
          <w:sz w:val="24"/>
          <w:szCs w:val="24"/>
          <w:lang w:val="en-CA"/>
        </w:rPr>
        <w:t>Please confirm the accuracy of the Rate Generator updates</w:t>
      </w:r>
      <w:bookmarkEnd w:id="2"/>
      <w:r w:rsidRPr="00914CD1">
        <w:rPr>
          <w:rFonts w:ascii="Arial" w:hAnsi="Arial" w:cs="Arial"/>
          <w:sz w:val="24"/>
          <w:szCs w:val="24"/>
          <w:lang w:val="en-CA"/>
        </w:rPr>
        <w:t>, as well as the accuracy of the resulting Retail Transmission Service Rates.</w:t>
      </w:r>
    </w:p>
    <w:p w14:paraId="3F5E0D16" w14:textId="77777777" w:rsidR="00914CD1" w:rsidRPr="00914CD1" w:rsidRDefault="00914CD1" w:rsidP="00914CD1">
      <w:pPr>
        <w:spacing w:after="0" w:line="240" w:lineRule="auto"/>
        <w:rPr>
          <w:rFonts w:ascii="Arial" w:hAnsi="Arial" w:cs="Arial"/>
          <w:sz w:val="24"/>
          <w:szCs w:val="24"/>
        </w:rPr>
      </w:pPr>
    </w:p>
    <w:p w14:paraId="6C33403E" w14:textId="77777777" w:rsidR="00FD72B2" w:rsidRDefault="00FD72B2" w:rsidP="007D1523">
      <w:pPr>
        <w:rPr>
          <w:rFonts w:ascii="Arial" w:hAnsi="Arial" w:cs="Arial"/>
          <w:b/>
          <w:bCs/>
          <w:sz w:val="24"/>
          <w:szCs w:val="24"/>
        </w:rPr>
      </w:pPr>
    </w:p>
    <w:p w14:paraId="41A18870" w14:textId="55C47116" w:rsidR="007D1523" w:rsidRPr="007D1523" w:rsidRDefault="007D1523" w:rsidP="007D1523">
      <w:pPr>
        <w:rPr>
          <w:rFonts w:ascii="Arial" w:hAnsi="Arial" w:cs="Arial"/>
          <w:b/>
          <w:bCs/>
          <w:sz w:val="24"/>
          <w:szCs w:val="24"/>
        </w:rPr>
      </w:pPr>
      <w:r w:rsidRPr="007D1523">
        <w:rPr>
          <w:rFonts w:ascii="Arial" w:hAnsi="Arial" w:cs="Arial"/>
          <w:b/>
          <w:bCs/>
          <w:sz w:val="24"/>
          <w:szCs w:val="24"/>
        </w:rPr>
        <w:t>Staff Question 3</w:t>
      </w:r>
    </w:p>
    <w:p w14:paraId="6CFC15D7" w14:textId="77777777" w:rsidR="007D1523" w:rsidRPr="007D1523" w:rsidRDefault="007D1523" w:rsidP="007D1523">
      <w:pPr>
        <w:rPr>
          <w:rFonts w:ascii="Arial" w:hAnsi="Arial" w:cs="Arial"/>
          <w:b/>
          <w:bCs/>
          <w:sz w:val="24"/>
          <w:szCs w:val="24"/>
        </w:rPr>
      </w:pPr>
      <w:r w:rsidRPr="007D1523">
        <w:rPr>
          <w:rFonts w:ascii="Arial" w:hAnsi="Arial" w:cs="Arial"/>
          <w:b/>
          <w:bCs/>
          <w:sz w:val="24"/>
          <w:szCs w:val="24"/>
        </w:rPr>
        <w:t>Ref: 2024 IRM Rate Generator Model, Tab 3</w:t>
      </w:r>
    </w:p>
    <w:p w14:paraId="529E16B9" w14:textId="0AD069F0" w:rsidR="007D1523" w:rsidRPr="007D1523" w:rsidRDefault="007D1523" w:rsidP="007D1523">
      <w:pPr>
        <w:rPr>
          <w:rFonts w:ascii="Arial" w:hAnsi="Arial" w:cs="Arial"/>
          <w:sz w:val="24"/>
          <w:szCs w:val="24"/>
        </w:rPr>
      </w:pPr>
      <w:r w:rsidRPr="007D1523">
        <w:rPr>
          <w:rFonts w:ascii="Arial" w:hAnsi="Arial" w:cs="Arial"/>
          <w:sz w:val="24"/>
          <w:szCs w:val="24"/>
        </w:rPr>
        <w:t>On September 12th, 2023, the OEB published the 2023 Quarter 4 prescribed accounting interest rates applicable to the carrying charges of deferral, variance, and construction work in progress (CWIP) accounts of natural gas utilities, electricity distributors, and other rate-regulated entities.</w:t>
      </w:r>
    </w:p>
    <w:p w14:paraId="09488533" w14:textId="7E5336C3" w:rsidR="007D1523" w:rsidRDefault="007D1523" w:rsidP="007D1523">
      <w:pPr>
        <w:pStyle w:val="ListParagraph"/>
        <w:numPr>
          <w:ilvl w:val="0"/>
          <w:numId w:val="4"/>
        </w:numPr>
        <w:rPr>
          <w:rFonts w:ascii="Arial" w:hAnsi="Arial" w:cs="Arial"/>
          <w:sz w:val="24"/>
          <w:szCs w:val="24"/>
        </w:rPr>
      </w:pPr>
      <w:r>
        <w:rPr>
          <w:rFonts w:ascii="Arial" w:hAnsi="Arial" w:cs="Arial"/>
          <w:sz w:val="24"/>
          <w:szCs w:val="24"/>
        </w:rPr>
        <w:t>Please confirm whether H</w:t>
      </w:r>
      <w:r w:rsidR="00FD72B2">
        <w:rPr>
          <w:rFonts w:ascii="Arial" w:hAnsi="Arial" w:cs="Arial"/>
          <w:sz w:val="24"/>
          <w:szCs w:val="24"/>
        </w:rPr>
        <w:t>earst Power</w:t>
      </w:r>
      <w:r>
        <w:rPr>
          <w:rFonts w:ascii="Arial" w:hAnsi="Arial" w:cs="Arial"/>
          <w:sz w:val="24"/>
          <w:szCs w:val="24"/>
        </w:rPr>
        <w:t xml:space="preserve"> has adopted the 2023 Q4 interest rates published by OEB in the rate generator.</w:t>
      </w:r>
    </w:p>
    <w:p w14:paraId="734BD52B" w14:textId="58DB6A23" w:rsidR="00AA0B78" w:rsidRDefault="007D1523" w:rsidP="007D1523">
      <w:pPr>
        <w:pStyle w:val="ListParagraph"/>
        <w:numPr>
          <w:ilvl w:val="0"/>
          <w:numId w:val="4"/>
        </w:numPr>
        <w:rPr>
          <w:rFonts w:ascii="Arial" w:hAnsi="Arial" w:cs="Arial"/>
          <w:sz w:val="24"/>
          <w:szCs w:val="24"/>
        </w:rPr>
      </w:pPr>
      <w:r>
        <w:rPr>
          <w:rFonts w:ascii="Arial" w:hAnsi="Arial" w:cs="Arial"/>
          <w:sz w:val="24"/>
          <w:szCs w:val="24"/>
        </w:rPr>
        <w:t>If not, p</w:t>
      </w:r>
      <w:r w:rsidRPr="007D1523">
        <w:rPr>
          <w:rFonts w:ascii="Arial" w:hAnsi="Arial" w:cs="Arial"/>
          <w:sz w:val="24"/>
          <w:szCs w:val="24"/>
        </w:rPr>
        <w:t>lease update the Continuity Schedule as necessary to reflect the Q4 2023 OEB prescribed interest rate of 5.49%</w:t>
      </w:r>
    </w:p>
    <w:p w14:paraId="5AEAE337" w14:textId="77777777" w:rsidR="007D1523" w:rsidRDefault="007D1523" w:rsidP="007D1523">
      <w:pPr>
        <w:spacing w:line="240" w:lineRule="auto"/>
        <w:contextualSpacing/>
        <w:jc w:val="both"/>
        <w:rPr>
          <w:rFonts w:ascii="Arial" w:hAnsi="Arial" w:cs="Arial"/>
          <w:b/>
          <w:bCs/>
          <w:sz w:val="24"/>
          <w:szCs w:val="24"/>
        </w:rPr>
      </w:pPr>
    </w:p>
    <w:p w14:paraId="23F50ADB" w14:textId="77777777" w:rsidR="00FD72B2" w:rsidRDefault="00FD72B2" w:rsidP="007D1523">
      <w:pPr>
        <w:spacing w:line="240" w:lineRule="auto"/>
        <w:contextualSpacing/>
        <w:jc w:val="both"/>
        <w:rPr>
          <w:rFonts w:ascii="Arial" w:hAnsi="Arial" w:cs="Arial"/>
          <w:b/>
          <w:bCs/>
          <w:sz w:val="24"/>
          <w:szCs w:val="24"/>
        </w:rPr>
      </w:pPr>
    </w:p>
    <w:p w14:paraId="568C70E6" w14:textId="77777777" w:rsidR="00FD72B2" w:rsidRDefault="00FD72B2" w:rsidP="007D1523">
      <w:pPr>
        <w:spacing w:line="240" w:lineRule="auto"/>
        <w:contextualSpacing/>
        <w:jc w:val="both"/>
        <w:rPr>
          <w:rFonts w:ascii="Arial" w:hAnsi="Arial" w:cs="Arial"/>
          <w:b/>
          <w:bCs/>
          <w:sz w:val="24"/>
          <w:szCs w:val="24"/>
        </w:rPr>
      </w:pPr>
    </w:p>
    <w:p w14:paraId="2A9248CB" w14:textId="64D3F9AD" w:rsidR="007D1523" w:rsidRPr="00914CD1" w:rsidRDefault="007D1523" w:rsidP="007D1523">
      <w:pPr>
        <w:spacing w:line="240" w:lineRule="auto"/>
        <w:contextualSpacing/>
        <w:jc w:val="both"/>
        <w:rPr>
          <w:rFonts w:ascii="Arial" w:hAnsi="Arial" w:cs="Arial"/>
          <w:b/>
          <w:bCs/>
          <w:sz w:val="24"/>
          <w:szCs w:val="24"/>
        </w:rPr>
      </w:pPr>
      <w:r w:rsidRPr="00914CD1">
        <w:rPr>
          <w:rFonts w:ascii="Arial" w:hAnsi="Arial" w:cs="Arial"/>
          <w:b/>
          <w:bCs/>
          <w:sz w:val="24"/>
          <w:szCs w:val="24"/>
        </w:rPr>
        <w:lastRenderedPageBreak/>
        <w:t xml:space="preserve">Staff Question </w:t>
      </w:r>
      <w:r>
        <w:rPr>
          <w:rFonts w:ascii="Arial" w:hAnsi="Arial" w:cs="Arial"/>
          <w:b/>
          <w:bCs/>
          <w:sz w:val="24"/>
          <w:szCs w:val="24"/>
        </w:rPr>
        <w:t>4</w:t>
      </w:r>
    </w:p>
    <w:p w14:paraId="48FF4D11" w14:textId="77777777" w:rsidR="007D1523" w:rsidRPr="00914CD1" w:rsidRDefault="007D1523" w:rsidP="007D1523">
      <w:pPr>
        <w:spacing w:line="240" w:lineRule="auto"/>
        <w:contextualSpacing/>
        <w:jc w:val="both"/>
        <w:rPr>
          <w:sz w:val="24"/>
          <w:szCs w:val="24"/>
        </w:rPr>
      </w:pPr>
    </w:p>
    <w:p w14:paraId="053C5D4C" w14:textId="486D6A8B" w:rsidR="007D1523" w:rsidRPr="00914CD1" w:rsidRDefault="007D1523" w:rsidP="007D1523">
      <w:pPr>
        <w:spacing w:line="240" w:lineRule="auto"/>
        <w:contextualSpacing/>
        <w:jc w:val="both"/>
        <w:rPr>
          <w:rFonts w:ascii="Arial" w:hAnsi="Arial" w:cs="Arial"/>
          <w:b/>
          <w:sz w:val="24"/>
          <w:szCs w:val="24"/>
        </w:rPr>
      </w:pPr>
      <w:r w:rsidRPr="00914CD1">
        <w:rPr>
          <w:rFonts w:ascii="Arial" w:hAnsi="Arial" w:cs="Arial"/>
          <w:b/>
          <w:sz w:val="24"/>
          <w:szCs w:val="24"/>
        </w:rPr>
        <w:t xml:space="preserve">Ref: 2024 IRM </w:t>
      </w:r>
      <w:r>
        <w:rPr>
          <w:rFonts w:ascii="Arial" w:hAnsi="Arial" w:cs="Arial"/>
          <w:b/>
          <w:sz w:val="24"/>
          <w:szCs w:val="24"/>
        </w:rPr>
        <w:t xml:space="preserve">GA Analysis </w:t>
      </w:r>
      <w:proofErr w:type="spellStart"/>
      <w:r>
        <w:rPr>
          <w:rFonts w:ascii="Arial" w:hAnsi="Arial" w:cs="Arial"/>
          <w:b/>
          <w:sz w:val="24"/>
          <w:szCs w:val="24"/>
        </w:rPr>
        <w:t>Workform</w:t>
      </w:r>
      <w:proofErr w:type="spellEnd"/>
      <w:r>
        <w:rPr>
          <w:rFonts w:ascii="Arial" w:hAnsi="Arial" w:cs="Arial"/>
          <w:b/>
          <w:sz w:val="24"/>
          <w:szCs w:val="24"/>
        </w:rPr>
        <w:t>, Tab Account 1588</w:t>
      </w:r>
      <w:r w:rsidR="00C24482">
        <w:rPr>
          <w:rFonts w:ascii="Arial" w:hAnsi="Arial" w:cs="Arial"/>
          <w:b/>
          <w:sz w:val="24"/>
          <w:szCs w:val="24"/>
        </w:rPr>
        <w:t xml:space="preserve">, Cells </w:t>
      </w:r>
      <w:r w:rsidR="00F81031">
        <w:rPr>
          <w:rFonts w:ascii="Arial" w:hAnsi="Arial" w:cs="Arial"/>
          <w:b/>
          <w:sz w:val="24"/>
          <w:szCs w:val="24"/>
        </w:rPr>
        <w:t>F20</w:t>
      </w:r>
      <w:r w:rsidR="00BF4E45">
        <w:rPr>
          <w:rFonts w:ascii="Arial" w:hAnsi="Arial" w:cs="Arial"/>
          <w:b/>
          <w:sz w:val="24"/>
          <w:szCs w:val="24"/>
        </w:rPr>
        <w:t>, G20</w:t>
      </w:r>
    </w:p>
    <w:p w14:paraId="77D3D119" w14:textId="77777777" w:rsidR="007D1523" w:rsidRPr="00914CD1" w:rsidRDefault="007D1523" w:rsidP="007D1523">
      <w:pPr>
        <w:spacing w:line="240" w:lineRule="auto"/>
        <w:contextualSpacing/>
        <w:jc w:val="both"/>
        <w:rPr>
          <w:rFonts w:ascii="Arial" w:hAnsi="Arial" w:cs="Arial"/>
          <w:bCs/>
          <w:sz w:val="24"/>
          <w:szCs w:val="24"/>
        </w:rPr>
      </w:pPr>
    </w:p>
    <w:p w14:paraId="085B7612" w14:textId="57E37212" w:rsidR="00D9404F" w:rsidRPr="00F81031" w:rsidRDefault="00E02D6A" w:rsidP="00D9404F">
      <w:pPr>
        <w:spacing w:after="240" w:line="240" w:lineRule="auto"/>
        <w:rPr>
          <w:rFonts w:ascii="Arial" w:hAnsi="Arial" w:cs="Arial"/>
          <w:sz w:val="24"/>
          <w:szCs w:val="24"/>
        </w:rPr>
      </w:pPr>
      <w:r>
        <w:rPr>
          <w:rFonts w:ascii="Arial" w:hAnsi="Arial" w:cs="Arial"/>
          <w:sz w:val="24"/>
          <w:szCs w:val="24"/>
        </w:rPr>
        <w:t>R</w:t>
      </w:r>
      <w:r w:rsidR="00560317">
        <w:rPr>
          <w:rFonts w:ascii="Arial" w:hAnsi="Arial" w:cs="Arial"/>
          <w:sz w:val="24"/>
          <w:szCs w:val="24"/>
        </w:rPr>
        <w:t>eference Cel</w:t>
      </w:r>
      <w:r w:rsidR="0075035B">
        <w:rPr>
          <w:rFonts w:ascii="Arial" w:hAnsi="Arial" w:cs="Arial"/>
          <w:sz w:val="24"/>
          <w:szCs w:val="24"/>
        </w:rPr>
        <w:t xml:space="preserve">l F20 shows no </w:t>
      </w:r>
      <w:r w:rsidR="00420878">
        <w:rPr>
          <w:rFonts w:ascii="Arial" w:hAnsi="Arial" w:cs="Arial"/>
          <w:sz w:val="24"/>
          <w:szCs w:val="24"/>
        </w:rPr>
        <w:t>amount for Account 4705- Power Purchased,</w:t>
      </w:r>
      <w:r w:rsidR="00167C9B">
        <w:rPr>
          <w:rFonts w:ascii="Arial" w:hAnsi="Arial" w:cs="Arial"/>
          <w:sz w:val="24"/>
          <w:szCs w:val="24"/>
        </w:rPr>
        <w:t xml:space="preserve"> which</w:t>
      </w:r>
      <w:r w:rsidR="009F2F5C">
        <w:rPr>
          <w:rFonts w:ascii="Arial" w:hAnsi="Arial" w:cs="Arial"/>
          <w:sz w:val="24"/>
          <w:szCs w:val="24"/>
        </w:rPr>
        <w:t xml:space="preserve"> </w:t>
      </w:r>
      <w:r w:rsidR="00613EA1">
        <w:rPr>
          <w:rFonts w:ascii="Arial" w:hAnsi="Arial" w:cs="Arial"/>
          <w:sz w:val="24"/>
          <w:szCs w:val="24"/>
        </w:rPr>
        <w:t>results</w:t>
      </w:r>
      <w:r w:rsidR="00A554B6">
        <w:rPr>
          <w:rFonts w:ascii="Arial" w:hAnsi="Arial" w:cs="Arial"/>
          <w:sz w:val="24"/>
          <w:szCs w:val="24"/>
        </w:rPr>
        <w:t xml:space="preserve"> in</w:t>
      </w:r>
      <w:r w:rsidR="00590D4E">
        <w:rPr>
          <w:rFonts w:ascii="Arial" w:hAnsi="Arial" w:cs="Arial"/>
          <w:sz w:val="24"/>
          <w:szCs w:val="24"/>
        </w:rPr>
        <w:t xml:space="preserve"> 0.0% </w:t>
      </w:r>
      <w:r w:rsidR="00F839EE">
        <w:rPr>
          <w:rFonts w:ascii="Arial" w:hAnsi="Arial" w:cs="Arial"/>
          <w:sz w:val="24"/>
          <w:szCs w:val="24"/>
        </w:rPr>
        <w:t>of</w:t>
      </w:r>
      <w:r w:rsidR="00590D4E">
        <w:rPr>
          <w:rFonts w:ascii="Arial" w:hAnsi="Arial" w:cs="Arial"/>
          <w:sz w:val="24"/>
          <w:szCs w:val="24"/>
        </w:rPr>
        <w:t xml:space="preserve"> </w:t>
      </w:r>
      <w:r w:rsidR="00BF4E45">
        <w:rPr>
          <w:rFonts w:ascii="Arial" w:hAnsi="Arial" w:cs="Arial"/>
          <w:sz w:val="24"/>
          <w:szCs w:val="24"/>
        </w:rPr>
        <w:t xml:space="preserve">the </w:t>
      </w:r>
      <w:r w:rsidR="00590D4E">
        <w:rPr>
          <w:rFonts w:ascii="Arial" w:hAnsi="Arial" w:cs="Arial"/>
          <w:sz w:val="24"/>
          <w:szCs w:val="24"/>
        </w:rPr>
        <w:t xml:space="preserve">reasonability test </w:t>
      </w:r>
      <w:r w:rsidR="00BF4E45">
        <w:rPr>
          <w:rFonts w:ascii="Arial" w:hAnsi="Arial" w:cs="Arial"/>
          <w:sz w:val="24"/>
          <w:szCs w:val="24"/>
        </w:rPr>
        <w:t xml:space="preserve">in Cell </w:t>
      </w:r>
      <w:bookmarkStart w:id="3" w:name="_Hlk156295383"/>
      <w:r w:rsidR="00BF4E45">
        <w:rPr>
          <w:rFonts w:ascii="Arial" w:hAnsi="Arial" w:cs="Arial"/>
          <w:sz w:val="24"/>
          <w:szCs w:val="24"/>
        </w:rPr>
        <w:t>G20.</w:t>
      </w:r>
    </w:p>
    <w:p w14:paraId="57D6E936" w14:textId="376DACFB" w:rsidR="00D9404F" w:rsidRDefault="00A554B6" w:rsidP="00A554B6">
      <w:pPr>
        <w:pStyle w:val="ListParagraph"/>
        <w:numPr>
          <w:ilvl w:val="0"/>
          <w:numId w:val="9"/>
        </w:numPr>
        <w:spacing w:after="240" w:line="240" w:lineRule="auto"/>
        <w:rPr>
          <w:rFonts w:ascii="Arial" w:hAnsi="Arial" w:cs="Arial"/>
          <w:sz w:val="24"/>
          <w:szCs w:val="24"/>
        </w:rPr>
      </w:pPr>
      <w:r>
        <w:rPr>
          <w:rFonts w:ascii="Arial" w:hAnsi="Arial" w:cs="Arial"/>
          <w:sz w:val="24"/>
          <w:szCs w:val="24"/>
        </w:rPr>
        <w:t xml:space="preserve">Please </w:t>
      </w:r>
      <w:r w:rsidR="00121D4D">
        <w:rPr>
          <w:rFonts w:ascii="Arial" w:hAnsi="Arial" w:cs="Arial"/>
          <w:sz w:val="24"/>
          <w:szCs w:val="24"/>
        </w:rPr>
        <w:t>explain</w:t>
      </w:r>
      <w:r w:rsidR="000F4A6B">
        <w:rPr>
          <w:rFonts w:ascii="Arial" w:hAnsi="Arial" w:cs="Arial"/>
          <w:sz w:val="24"/>
          <w:szCs w:val="24"/>
        </w:rPr>
        <w:t xml:space="preserve"> the vacancy in</w:t>
      </w:r>
      <w:r w:rsidR="00D84E11">
        <w:rPr>
          <w:rFonts w:ascii="Arial" w:hAnsi="Arial" w:cs="Arial"/>
          <w:sz w:val="24"/>
          <w:szCs w:val="24"/>
        </w:rPr>
        <w:t xml:space="preserve"> </w:t>
      </w:r>
      <w:r w:rsidR="002166C5">
        <w:rPr>
          <w:rFonts w:ascii="Arial" w:hAnsi="Arial" w:cs="Arial"/>
          <w:sz w:val="24"/>
          <w:szCs w:val="24"/>
        </w:rPr>
        <w:t xml:space="preserve">Cell F20. If needed, please </w:t>
      </w:r>
      <w:r w:rsidR="000C5A16">
        <w:rPr>
          <w:rFonts w:ascii="Arial" w:hAnsi="Arial" w:cs="Arial"/>
          <w:sz w:val="24"/>
          <w:szCs w:val="24"/>
        </w:rPr>
        <w:t>revise</w:t>
      </w:r>
      <w:r w:rsidR="002166C5">
        <w:rPr>
          <w:rFonts w:ascii="Arial" w:hAnsi="Arial" w:cs="Arial"/>
          <w:sz w:val="24"/>
          <w:szCs w:val="24"/>
        </w:rPr>
        <w:t xml:space="preserve"> </w:t>
      </w:r>
      <w:r w:rsidR="008B061E">
        <w:rPr>
          <w:rFonts w:ascii="Arial" w:hAnsi="Arial" w:cs="Arial"/>
          <w:sz w:val="24"/>
          <w:szCs w:val="24"/>
        </w:rPr>
        <w:t xml:space="preserve">the GA </w:t>
      </w:r>
      <w:proofErr w:type="spellStart"/>
      <w:r w:rsidR="008B061E">
        <w:rPr>
          <w:rFonts w:ascii="Arial" w:hAnsi="Arial" w:cs="Arial"/>
          <w:sz w:val="24"/>
          <w:szCs w:val="24"/>
        </w:rPr>
        <w:t>Workform</w:t>
      </w:r>
      <w:proofErr w:type="spellEnd"/>
      <w:r w:rsidR="008B061E">
        <w:rPr>
          <w:rFonts w:ascii="Arial" w:hAnsi="Arial" w:cs="Arial"/>
          <w:sz w:val="24"/>
          <w:szCs w:val="24"/>
        </w:rPr>
        <w:t>.</w:t>
      </w:r>
    </w:p>
    <w:bookmarkEnd w:id="3"/>
    <w:p w14:paraId="02A1C51C" w14:textId="77777777" w:rsidR="000E2A6C" w:rsidRDefault="000E2A6C" w:rsidP="000E2A6C">
      <w:pPr>
        <w:spacing w:after="240" w:line="240" w:lineRule="auto"/>
        <w:rPr>
          <w:rFonts w:ascii="Arial" w:hAnsi="Arial" w:cs="Arial"/>
          <w:sz w:val="24"/>
          <w:szCs w:val="24"/>
        </w:rPr>
      </w:pPr>
    </w:p>
    <w:p w14:paraId="13E310FE" w14:textId="01F08151" w:rsidR="000E2A6C" w:rsidRPr="00AE2BEC" w:rsidRDefault="000E2A6C" w:rsidP="000E2A6C">
      <w:pPr>
        <w:spacing w:line="240" w:lineRule="auto"/>
        <w:contextualSpacing/>
        <w:jc w:val="both"/>
        <w:rPr>
          <w:rFonts w:ascii="Arial" w:hAnsi="Arial" w:cs="Arial"/>
          <w:b/>
          <w:sz w:val="24"/>
          <w:szCs w:val="24"/>
        </w:rPr>
      </w:pPr>
      <w:r w:rsidRPr="00AE2BEC">
        <w:rPr>
          <w:rFonts w:ascii="Arial" w:hAnsi="Arial" w:cs="Arial"/>
          <w:b/>
          <w:sz w:val="24"/>
          <w:szCs w:val="24"/>
        </w:rPr>
        <w:t xml:space="preserve">Staff Question </w:t>
      </w:r>
      <w:r>
        <w:rPr>
          <w:rFonts w:ascii="Arial" w:hAnsi="Arial" w:cs="Arial"/>
          <w:b/>
          <w:sz w:val="24"/>
          <w:szCs w:val="24"/>
        </w:rPr>
        <w:t>5</w:t>
      </w:r>
    </w:p>
    <w:p w14:paraId="090F9F71" w14:textId="77777777" w:rsidR="000E2A6C" w:rsidRDefault="000E2A6C" w:rsidP="000E2A6C">
      <w:pPr>
        <w:spacing w:line="240" w:lineRule="auto"/>
        <w:contextualSpacing/>
        <w:jc w:val="both"/>
        <w:rPr>
          <w:rFonts w:ascii="Arial" w:hAnsi="Arial" w:cs="Arial"/>
          <w:b/>
          <w:sz w:val="24"/>
          <w:szCs w:val="24"/>
        </w:rPr>
      </w:pPr>
    </w:p>
    <w:p w14:paraId="37646A3F" w14:textId="4F8B7FA6" w:rsidR="000E2A6C" w:rsidRDefault="000E2A6C" w:rsidP="000E2A6C">
      <w:pPr>
        <w:rPr>
          <w:rFonts w:ascii="Arial" w:hAnsi="Arial" w:cs="Arial"/>
          <w:b/>
          <w:sz w:val="24"/>
          <w:szCs w:val="24"/>
        </w:rPr>
      </w:pPr>
      <w:r w:rsidRPr="00714E11">
        <w:rPr>
          <w:rFonts w:ascii="Arial" w:hAnsi="Arial" w:cs="Arial"/>
          <w:b/>
          <w:bCs/>
          <w:sz w:val="24"/>
          <w:szCs w:val="24"/>
        </w:rPr>
        <w:t>Ref: 2024</w:t>
      </w:r>
      <w:r w:rsidRPr="00AE2BEC">
        <w:rPr>
          <w:rFonts w:ascii="Arial" w:hAnsi="Arial" w:cs="Arial"/>
          <w:b/>
          <w:sz w:val="24"/>
          <w:szCs w:val="24"/>
        </w:rPr>
        <w:t xml:space="preserve"> IRM</w:t>
      </w:r>
      <w:r>
        <w:rPr>
          <w:rFonts w:ascii="Arial" w:hAnsi="Arial" w:cs="Arial"/>
          <w:b/>
          <w:sz w:val="24"/>
          <w:szCs w:val="24"/>
        </w:rPr>
        <w:t xml:space="preserve"> GA Analysis </w:t>
      </w:r>
      <w:proofErr w:type="spellStart"/>
      <w:r>
        <w:rPr>
          <w:rFonts w:ascii="Arial" w:hAnsi="Arial" w:cs="Arial"/>
          <w:b/>
          <w:sz w:val="24"/>
          <w:szCs w:val="24"/>
        </w:rPr>
        <w:t>Workform</w:t>
      </w:r>
      <w:proofErr w:type="spellEnd"/>
    </w:p>
    <w:p w14:paraId="224CD592" w14:textId="77777777" w:rsidR="000E2A6C" w:rsidRDefault="000E2A6C" w:rsidP="000E2A6C">
      <w:pPr>
        <w:rPr>
          <w:rFonts w:ascii="Arial" w:hAnsi="Arial" w:cs="Arial"/>
          <w:bCs/>
          <w:sz w:val="24"/>
          <w:szCs w:val="24"/>
        </w:rPr>
      </w:pPr>
      <w:r>
        <w:rPr>
          <w:rFonts w:ascii="Arial" w:hAnsi="Arial" w:cs="Arial"/>
          <w:bCs/>
          <w:sz w:val="24"/>
          <w:szCs w:val="24"/>
        </w:rPr>
        <w:t>The two tables in Note 8-Breakdown of principal adjustments included in last approved balance of Tab “</w:t>
      </w:r>
      <w:proofErr w:type="gramStart"/>
      <w:r>
        <w:rPr>
          <w:rFonts w:ascii="Arial" w:hAnsi="Arial" w:cs="Arial"/>
          <w:bCs/>
          <w:sz w:val="24"/>
          <w:szCs w:val="24"/>
        </w:rPr>
        <w:t>Principle</w:t>
      </w:r>
      <w:proofErr w:type="gramEnd"/>
      <w:r>
        <w:rPr>
          <w:rFonts w:ascii="Arial" w:hAnsi="Arial" w:cs="Arial"/>
          <w:bCs/>
          <w:sz w:val="24"/>
          <w:szCs w:val="24"/>
        </w:rPr>
        <w:t xml:space="preserve"> Adjustment” are not completed. </w:t>
      </w:r>
    </w:p>
    <w:p w14:paraId="78A9FDFB" w14:textId="77777777" w:rsidR="000E2A6C" w:rsidRDefault="000E2A6C" w:rsidP="000E2A6C">
      <w:pPr>
        <w:pStyle w:val="ListParagraph"/>
        <w:numPr>
          <w:ilvl w:val="0"/>
          <w:numId w:val="10"/>
        </w:numPr>
        <w:spacing w:after="200" w:line="276" w:lineRule="auto"/>
        <w:rPr>
          <w:rFonts w:ascii="Arial" w:hAnsi="Arial" w:cs="Arial"/>
          <w:bCs/>
          <w:sz w:val="24"/>
          <w:szCs w:val="24"/>
        </w:rPr>
      </w:pPr>
      <w:r w:rsidRPr="001A3626">
        <w:rPr>
          <w:rFonts w:ascii="Arial" w:hAnsi="Arial" w:cs="Arial"/>
          <w:bCs/>
          <w:sz w:val="24"/>
          <w:szCs w:val="24"/>
        </w:rPr>
        <w:t xml:space="preserve">Please update these two tables in GA </w:t>
      </w:r>
      <w:proofErr w:type="spellStart"/>
      <w:r w:rsidRPr="001A3626">
        <w:rPr>
          <w:rFonts w:ascii="Arial" w:hAnsi="Arial" w:cs="Arial"/>
          <w:bCs/>
          <w:sz w:val="24"/>
          <w:szCs w:val="24"/>
        </w:rPr>
        <w:t>Workform</w:t>
      </w:r>
      <w:proofErr w:type="spellEnd"/>
      <w:r w:rsidRPr="001A3626">
        <w:rPr>
          <w:rFonts w:ascii="Arial" w:hAnsi="Arial" w:cs="Arial"/>
          <w:bCs/>
          <w:sz w:val="24"/>
          <w:szCs w:val="24"/>
        </w:rPr>
        <w:t>.</w:t>
      </w:r>
    </w:p>
    <w:p w14:paraId="73E67A01" w14:textId="77777777" w:rsidR="00D9404F" w:rsidRDefault="00D9404F" w:rsidP="00D9404F">
      <w:pPr>
        <w:spacing w:after="240" w:line="240" w:lineRule="auto"/>
        <w:rPr>
          <w:rFonts w:ascii="Arial" w:hAnsi="Arial" w:cs="Arial"/>
          <w:b/>
          <w:bCs/>
          <w:sz w:val="24"/>
          <w:szCs w:val="24"/>
        </w:rPr>
      </w:pPr>
    </w:p>
    <w:p w14:paraId="4E403977" w14:textId="75ACC65E" w:rsidR="00D9404F" w:rsidRPr="00D9404F" w:rsidRDefault="00D9404F" w:rsidP="00D9404F">
      <w:pPr>
        <w:spacing w:after="240" w:line="240" w:lineRule="auto"/>
        <w:rPr>
          <w:rFonts w:ascii="Arial" w:hAnsi="Arial" w:cs="Arial"/>
          <w:b/>
          <w:bCs/>
          <w:sz w:val="24"/>
          <w:szCs w:val="24"/>
        </w:rPr>
      </w:pPr>
      <w:bookmarkStart w:id="4" w:name="_Hlk156294537"/>
      <w:r w:rsidRPr="00D9404F">
        <w:rPr>
          <w:rFonts w:ascii="Arial" w:hAnsi="Arial" w:cs="Arial"/>
          <w:b/>
          <w:bCs/>
          <w:sz w:val="24"/>
          <w:szCs w:val="24"/>
        </w:rPr>
        <w:t xml:space="preserve">Staff Question </w:t>
      </w:r>
      <w:r w:rsidR="000E2A6C">
        <w:rPr>
          <w:rFonts w:ascii="Arial" w:hAnsi="Arial" w:cs="Arial"/>
          <w:b/>
          <w:bCs/>
          <w:sz w:val="24"/>
          <w:szCs w:val="24"/>
        </w:rPr>
        <w:t>6</w:t>
      </w:r>
    </w:p>
    <w:p w14:paraId="10E96725" w14:textId="77777777" w:rsidR="00D9404F" w:rsidRPr="00D9404F" w:rsidRDefault="00D9404F" w:rsidP="00D9404F">
      <w:pPr>
        <w:spacing w:after="0"/>
        <w:rPr>
          <w:rFonts w:ascii="Arial" w:hAnsi="Arial" w:cs="Arial"/>
          <w:b/>
          <w:bCs/>
          <w:sz w:val="24"/>
          <w:szCs w:val="24"/>
        </w:rPr>
      </w:pPr>
      <w:r w:rsidRPr="00D9404F">
        <w:rPr>
          <w:rFonts w:ascii="Arial" w:hAnsi="Arial" w:cs="Arial"/>
          <w:b/>
          <w:bCs/>
          <w:sz w:val="24"/>
          <w:szCs w:val="24"/>
        </w:rPr>
        <w:t>Ref: 2024 IRM rate Generator Model, Tab 3, Cells C58, BW23, BW25 &amp; BV25</w:t>
      </w:r>
    </w:p>
    <w:p w14:paraId="6526B2E8" w14:textId="77777777" w:rsidR="00D9404F" w:rsidRPr="00D9404F" w:rsidRDefault="00D9404F" w:rsidP="00D9404F">
      <w:pPr>
        <w:spacing w:after="0"/>
        <w:rPr>
          <w:rFonts w:ascii="Arial" w:hAnsi="Arial" w:cs="Arial"/>
          <w:sz w:val="24"/>
          <w:szCs w:val="24"/>
        </w:rPr>
      </w:pPr>
    </w:p>
    <w:p w14:paraId="18AA5E87" w14:textId="77777777" w:rsidR="00D9404F" w:rsidRPr="00D9404F" w:rsidRDefault="00D9404F" w:rsidP="00D9404F">
      <w:pPr>
        <w:spacing w:after="0"/>
        <w:rPr>
          <w:rFonts w:ascii="Arial" w:hAnsi="Arial" w:cs="Arial"/>
          <w:sz w:val="24"/>
          <w:szCs w:val="24"/>
        </w:rPr>
      </w:pPr>
      <w:r w:rsidRPr="00D9404F">
        <w:rPr>
          <w:rFonts w:ascii="Arial" w:hAnsi="Arial" w:cs="Arial"/>
          <w:sz w:val="24"/>
          <w:szCs w:val="24"/>
        </w:rPr>
        <w:t>References C</w:t>
      </w:r>
      <w:bookmarkEnd w:id="4"/>
      <w:r w:rsidRPr="00D9404F">
        <w:rPr>
          <w:rFonts w:ascii="Arial" w:hAnsi="Arial" w:cs="Arial"/>
          <w:sz w:val="24"/>
          <w:szCs w:val="24"/>
        </w:rPr>
        <w:t xml:space="preserve">ell C58 states that “RRR balance for Account 1580 RSVA - Wholesale Market Service Charge should equal to the control account as reported in the RRR. This would include the balance for Account </w:t>
      </w:r>
      <w:proofErr w:type="gramStart"/>
      <w:r w:rsidRPr="00D9404F">
        <w:rPr>
          <w:rFonts w:ascii="Arial" w:hAnsi="Arial" w:cs="Arial"/>
          <w:sz w:val="24"/>
          <w:szCs w:val="24"/>
        </w:rPr>
        <w:t>1580,Variance</w:t>
      </w:r>
      <w:proofErr w:type="gramEnd"/>
      <w:r w:rsidRPr="00D9404F">
        <w:rPr>
          <w:rFonts w:ascii="Arial" w:hAnsi="Arial" w:cs="Arial"/>
          <w:sz w:val="24"/>
          <w:szCs w:val="24"/>
        </w:rPr>
        <w:t xml:space="preserve"> WMS – Sub-account CBR Class B.” </w:t>
      </w:r>
    </w:p>
    <w:p w14:paraId="5AF91844" w14:textId="77777777" w:rsidR="00D9404F" w:rsidRPr="00D9404F" w:rsidRDefault="00D9404F" w:rsidP="00D9404F">
      <w:pPr>
        <w:spacing w:after="0"/>
        <w:rPr>
          <w:rFonts w:ascii="Arial" w:hAnsi="Arial" w:cs="Arial"/>
          <w:sz w:val="24"/>
          <w:szCs w:val="24"/>
        </w:rPr>
      </w:pPr>
    </w:p>
    <w:p w14:paraId="2124BD86" w14:textId="77777777" w:rsidR="00D9404F" w:rsidRPr="00D9404F" w:rsidRDefault="00D9404F" w:rsidP="00D9404F">
      <w:pPr>
        <w:autoSpaceDE w:val="0"/>
        <w:autoSpaceDN w:val="0"/>
        <w:adjustRightInd w:val="0"/>
        <w:spacing w:after="0" w:line="240" w:lineRule="auto"/>
        <w:rPr>
          <w:rFonts w:ascii="Arial" w:hAnsi="Arial" w:cs="Arial"/>
          <w:sz w:val="24"/>
          <w:szCs w:val="24"/>
        </w:rPr>
      </w:pPr>
      <w:r w:rsidRPr="00D9404F">
        <w:rPr>
          <w:rFonts w:ascii="Arial" w:hAnsi="Arial" w:cs="Arial"/>
          <w:bCs/>
          <w:sz w:val="24"/>
          <w:szCs w:val="24"/>
        </w:rPr>
        <w:t>OEB staff notes that the control account 1580 in the continuity schedule excludes balances in CBR Class A and CBR Class B. The control account in RRR includes the balances of the two sub-accounts. Therefore, in the variance column, it is expected to see a variance in cell BW23 equaling the RRR balance of 1580 Sub-account CBR Class B in cell BV25.</w:t>
      </w:r>
    </w:p>
    <w:p w14:paraId="198788D6" w14:textId="77777777" w:rsidR="00D9404F" w:rsidRPr="00D9404F" w:rsidRDefault="00D9404F" w:rsidP="00D9404F">
      <w:pPr>
        <w:spacing w:after="0"/>
        <w:rPr>
          <w:rFonts w:ascii="Arial" w:hAnsi="Arial" w:cs="Arial"/>
          <w:sz w:val="24"/>
          <w:szCs w:val="24"/>
        </w:rPr>
      </w:pPr>
    </w:p>
    <w:p w14:paraId="3379A2BB" w14:textId="77777777" w:rsidR="00D9404F" w:rsidRPr="00D9404F" w:rsidRDefault="00D9404F" w:rsidP="00D9404F">
      <w:pPr>
        <w:numPr>
          <w:ilvl w:val="0"/>
          <w:numId w:val="5"/>
        </w:numPr>
        <w:spacing w:after="200" w:line="276" w:lineRule="auto"/>
        <w:contextualSpacing/>
        <w:rPr>
          <w:rFonts w:ascii="Arial" w:hAnsi="Arial" w:cs="Arial"/>
          <w:bCs/>
          <w:sz w:val="24"/>
          <w:szCs w:val="24"/>
          <w:lang w:val="en-CA"/>
        </w:rPr>
      </w:pPr>
      <w:bookmarkStart w:id="5" w:name="_Hlk156295369"/>
      <w:bookmarkStart w:id="6" w:name="_Hlk156295312"/>
      <w:r w:rsidRPr="00D9404F">
        <w:rPr>
          <w:rFonts w:ascii="Arial" w:hAnsi="Arial" w:cs="Arial"/>
          <w:sz w:val="24"/>
          <w:szCs w:val="24"/>
          <w:lang w:val="en-CA"/>
        </w:rPr>
        <w:t>P</w:t>
      </w:r>
      <w:bookmarkEnd w:id="5"/>
      <w:r w:rsidRPr="00D9404F">
        <w:rPr>
          <w:rFonts w:ascii="Arial" w:hAnsi="Arial" w:cs="Arial"/>
          <w:sz w:val="24"/>
          <w:szCs w:val="24"/>
          <w:lang w:val="en-CA"/>
        </w:rPr>
        <w:t>lease</w:t>
      </w:r>
      <w:bookmarkEnd w:id="6"/>
      <w:r w:rsidRPr="00D9404F">
        <w:rPr>
          <w:rFonts w:ascii="Arial" w:hAnsi="Arial" w:cs="Arial"/>
          <w:sz w:val="24"/>
          <w:szCs w:val="24"/>
          <w:lang w:val="en-CA"/>
        </w:rPr>
        <w:t xml:space="preserve"> explain why there is a variance in Cell BW25, and why the variance in Cell BW23 is not equal to the RRR balance in Cell BV25. </w:t>
      </w:r>
    </w:p>
    <w:p w14:paraId="584EB55D" w14:textId="79AEAEC2" w:rsidR="007D1523" w:rsidRPr="00FD72B2" w:rsidRDefault="00D9404F" w:rsidP="00D9404F">
      <w:pPr>
        <w:pStyle w:val="ListParagraph"/>
        <w:numPr>
          <w:ilvl w:val="0"/>
          <w:numId w:val="8"/>
        </w:numPr>
        <w:spacing w:after="200" w:line="276" w:lineRule="auto"/>
        <w:rPr>
          <w:rFonts w:ascii="Arial" w:hAnsi="Arial" w:cs="Arial"/>
          <w:bCs/>
          <w:sz w:val="24"/>
          <w:szCs w:val="24"/>
          <w:lang w:val="en-CA"/>
        </w:rPr>
      </w:pPr>
      <w:r w:rsidRPr="0099570F">
        <w:rPr>
          <w:rFonts w:ascii="Arial" w:hAnsi="Arial" w:cs="Arial"/>
          <w:sz w:val="24"/>
          <w:szCs w:val="24"/>
          <w:lang w:val="en-CA"/>
        </w:rPr>
        <w:t>Please revise the schedules or the RRR filing (2.1.7) as needed. If not, please explain.</w:t>
      </w:r>
    </w:p>
    <w:p w14:paraId="7439C5A9" w14:textId="77777777" w:rsidR="00C03563" w:rsidRDefault="00C03563" w:rsidP="000E1F4B">
      <w:pPr>
        <w:spacing w:after="240" w:line="240" w:lineRule="auto"/>
        <w:rPr>
          <w:rFonts w:ascii="Arial" w:hAnsi="Arial" w:cs="Arial"/>
          <w:b/>
          <w:bCs/>
          <w:sz w:val="24"/>
          <w:szCs w:val="24"/>
        </w:rPr>
      </w:pPr>
      <w:bookmarkStart w:id="7" w:name="_Hlk156295868"/>
    </w:p>
    <w:p w14:paraId="01B6CB28" w14:textId="056E5183" w:rsidR="000E1F4B" w:rsidRPr="00D9404F" w:rsidRDefault="000E1F4B" w:rsidP="000E1F4B">
      <w:pPr>
        <w:spacing w:after="240" w:line="240" w:lineRule="auto"/>
        <w:rPr>
          <w:rFonts w:ascii="Arial" w:hAnsi="Arial" w:cs="Arial"/>
          <w:b/>
          <w:bCs/>
          <w:sz w:val="24"/>
          <w:szCs w:val="24"/>
        </w:rPr>
      </w:pPr>
      <w:r w:rsidRPr="00D9404F">
        <w:rPr>
          <w:rFonts w:ascii="Arial" w:hAnsi="Arial" w:cs="Arial"/>
          <w:b/>
          <w:bCs/>
          <w:sz w:val="24"/>
          <w:szCs w:val="24"/>
        </w:rPr>
        <w:lastRenderedPageBreak/>
        <w:t xml:space="preserve">Staff Question </w:t>
      </w:r>
      <w:r>
        <w:rPr>
          <w:rFonts w:ascii="Arial" w:hAnsi="Arial" w:cs="Arial"/>
          <w:b/>
          <w:bCs/>
          <w:sz w:val="24"/>
          <w:szCs w:val="24"/>
        </w:rPr>
        <w:t>7</w:t>
      </w:r>
    </w:p>
    <w:p w14:paraId="5C9C756D" w14:textId="5EABADD1" w:rsidR="000E1F4B" w:rsidRPr="00D9404F" w:rsidRDefault="000E1F4B" w:rsidP="000E1F4B">
      <w:pPr>
        <w:spacing w:after="0"/>
        <w:rPr>
          <w:rFonts w:ascii="Arial" w:hAnsi="Arial" w:cs="Arial"/>
          <w:b/>
          <w:bCs/>
          <w:sz w:val="24"/>
          <w:szCs w:val="24"/>
        </w:rPr>
      </w:pPr>
      <w:r w:rsidRPr="00D9404F">
        <w:rPr>
          <w:rFonts w:ascii="Arial" w:hAnsi="Arial" w:cs="Arial"/>
          <w:b/>
          <w:bCs/>
          <w:sz w:val="24"/>
          <w:szCs w:val="24"/>
        </w:rPr>
        <w:t xml:space="preserve">Ref: 2024 IRM rate Generator Model, Tab </w:t>
      </w:r>
      <w:r w:rsidR="009846A2">
        <w:rPr>
          <w:rFonts w:ascii="Arial" w:hAnsi="Arial" w:cs="Arial"/>
          <w:b/>
          <w:bCs/>
          <w:sz w:val="24"/>
          <w:szCs w:val="24"/>
        </w:rPr>
        <w:t>18</w:t>
      </w:r>
    </w:p>
    <w:p w14:paraId="7951C3C4" w14:textId="1EED1B65" w:rsidR="000E1F4B" w:rsidRPr="00D9404F" w:rsidRDefault="000E1F4B" w:rsidP="000E1F4B">
      <w:pPr>
        <w:spacing w:after="0"/>
        <w:rPr>
          <w:rFonts w:ascii="Arial" w:hAnsi="Arial" w:cs="Arial"/>
          <w:sz w:val="24"/>
          <w:szCs w:val="24"/>
        </w:rPr>
      </w:pPr>
      <w:r w:rsidRPr="000E1F4B">
        <w:rPr>
          <w:rFonts w:ascii="Arial" w:hAnsi="Arial" w:cs="Arial"/>
          <w:b/>
          <w:bCs/>
          <w:sz w:val="24"/>
          <w:szCs w:val="24"/>
        </w:rPr>
        <w:t>Ref: 2024 IRM rate Generator Model, Tab</w:t>
      </w:r>
      <w:r w:rsidR="009846A2">
        <w:rPr>
          <w:rFonts w:ascii="Arial" w:hAnsi="Arial" w:cs="Arial"/>
          <w:b/>
          <w:bCs/>
          <w:sz w:val="24"/>
          <w:szCs w:val="24"/>
        </w:rPr>
        <w:t xml:space="preserve"> 20</w:t>
      </w:r>
    </w:p>
    <w:p w14:paraId="1BCEF882" w14:textId="77777777" w:rsidR="000E1F4B" w:rsidRDefault="000E1F4B" w:rsidP="000E1F4B">
      <w:pPr>
        <w:spacing w:after="200" w:line="276" w:lineRule="auto"/>
        <w:rPr>
          <w:rFonts w:ascii="Arial" w:hAnsi="Arial" w:cs="Arial"/>
          <w:sz w:val="24"/>
          <w:szCs w:val="24"/>
        </w:rPr>
      </w:pPr>
    </w:p>
    <w:p w14:paraId="235269C1" w14:textId="7D4FE413" w:rsidR="006A791C" w:rsidRDefault="006A791C" w:rsidP="006A791C">
      <w:pPr>
        <w:spacing w:after="200" w:line="276" w:lineRule="auto"/>
        <w:rPr>
          <w:rFonts w:ascii="Arial" w:hAnsi="Arial" w:cs="Arial"/>
          <w:sz w:val="24"/>
          <w:szCs w:val="24"/>
        </w:rPr>
      </w:pPr>
      <w:r>
        <w:rPr>
          <w:rFonts w:ascii="Arial" w:hAnsi="Arial" w:cs="Arial"/>
          <w:sz w:val="24"/>
          <w:szCs w:val="24"/>
        </w:rPr>
        <w:t>On O</w:t>
      </w:r>
      <w:bookmarkEnd w:id="7"/>
      <w:r>
        <w:rPr>
          <w:rFonts w:ascii="Arial" w:hAnsi="Arial" w:cs="Arial"/>
          <w:sz w:val="24"/>
          <w:szCs w:val="24"/>
        </w:rPr>
        <w:t xml:space="preserve">ctober 19, 2023, the OEB announced that electricity prices under the Regulated Price Plan (RPP) for households, small business and farms will increase as of November 1, 2023. The </w:t>
      </w:r>
      <w:r w:rsidR="00FD07CD">
        <w:rPr>
          <w:rFonts w:ascii="Arial" w:hAnsi="Arial" w:cs="Arial"/>
          <w:sz w:val="24"/>
          <w:szCs w:val="24"/>
        </w:rPr>
        <w:t xml:space="preserve">current </w:t>
      </w:r>
      <w:r w:rsidRPr="006A791C">
        <w:rPr>
          <w:rFonts w:ascii="Arial" w:hAnsi="Arial" w:cs="Arial"/>
          <w:sz w:val="24"/>
          <w:szCs w:val="24"/>
        </w:rPr>
        <w:t xml:space="preserve">Time-of-Use (TOU) hours and the change in the threshold for residential customers on </w:t>
      </w:r>
      <w:r w:rsidR="00FD07CD">
        <w:rPr>
          <w:rFonts w:ascii="Arial" w:hAnsi="Arial" w:cs="Arial"/>
          <w:sz w:val="24"/>
          <w:szCs w:val="24"/>
        </w:rPr>
        <w:t>t</w:t>
      </w:r>
      <w:r w:rsidRPr="006A791C">
        <w:rPr>
          <w:rFonts w:ascii="Arial" w:hAnsi="Arial" w:cs="Arial"/>
          <w:sz w:val="24"/>
          <w:szCs w:val="24"/>
        </w:rPr>
        <w:t>iered pricing t</w:t>
      </w:r>
      <w:r w:rsidR="00661C7D">
        <w:rPr>
          <w:rFonts w:ascii="Arial" w:hAnsi="Arial" w:cs="Arial"/>
          <w:sz w:val="24"/>
          <w:szCs w:val="24"/>
        </w:rPr>
        <w:t>ook</w:t>
      </w:r>
      <w:r w:rsidRPr="006A791C">
        <w:rPr>
          <w:rFonts w:ascii="Arial" w:hAnsi="Arial" w:cs="Arial"/>
          <w:sz w:val="24"/>
          <w:szCs w:val="24"/>
        </w:rPr>
        <w:t xml:space="preserve"> effect November 1</w:t>
      </w:r>
      <w:r w:rsidR="00661C7D">
        <w:rPr>
          <w:rFonts w:ascii="Arial" w:hAnsi="Arial" w:cs="Arial"/>
          <w:sz w:val="24"/>
          <w:szCs w:val="24"/>
        </w:rPr>
        <w:t>, 2023.</w:t>
      </w:r>
      <w:r>
        <w:rPr>
          <w:rFonts w:ascii="Arial" w:hAnsi="Arial" w:cs="Arial"/>
          <w:sz w:val="24"/>
          <w:szCs w:val="24"/>
        </w:rPr>
        <w:t xml:space="preserve"> </w:t>
      </w:r>
      <w:r w:rsidRPr="006A791C">
        <w:rPr>
          <w:rFonts w:ascii="Arial" w:hAnsi="Arial" w:cs="Arial"/>
          <w:sz w:val="24"/>
          <w:szCs w:val="24"/>
        </w:rPr>
        <w:t>Also</w:t>
      </w:r>
      <w:r w:rsidR="00FD07CD">
        <w:rPr>
          <w:rFonts w:ascii="Arial" w:hAnsi="Arial" w:cs="Arial"/>
          <w:sz w:val="24"/>
          <w:szCs w:val="24"/>
        </w:rPr>
        <w:t>,</w:t>
      </w:r>
      <w:r w:rsidRPr="006A791C">
        <w:rPr>
          <w:rFonts w:ascii="Arial" w:hAnsi="Arial" w:cs="Arial"/>
          <w:sz w:val="24"/>
          <w:szCs w:val="24"/>
        </w:rPr>
        <w:t xml:space="preserve"> effective November 1, 2023, the Ontario government’s Ontario Electricity Rebate (OER) increase</w:t>
      </w:r>
      <w:r w:rsidR="00661C7D">
        <w:rPr>
          <w:rFonts w:ascii="Arial" w:hAnsi="Arial" w:cs="Arial"/>
          <w:sz w:val="24"/>
          <w:szCs w:val="24"/>
        </w:rPr>
        <w:t>d</w:t>
      </w:r>
      <w:r w:rsidRPr="006A791C">
        <w:rPr>
          <w:rFonts w:ascii="Arial" w:hAnsi="Arial" w:cs="Arial"/>
          <w:sz w:val="24"/>
          <w:szCs w:val="24"/>
        </w:rPr>
        <w:t xml:space="preserve"> to 19.3%.</w:t>
      </w:r>
      <w:r>
        <w:rPr>
          <w:rFonts w:ascii="Arial" w:hAnsi="Arial" w:cs="Arial"/>
          <w:sz w:val="24"/>
          <w:szCs w:val="24"/>
        </w:rPr>
        <w:t xml:space="preserve"> </w:t>
      </w:r>
    </w:p>
    <w:p w14:paraId="4834CBC1" w14:textId="2AF6C6E3" w:rsidR="009B44BB" w:rsidRDefault="006A791C" w:rsidP="006A791C">
      <w:pPr>
        <w:spacing w:after="200" w:line="276" w:lineRule="auto"/>
        <w:rPr>
          <w:rFonts w:ascii="Arial" w:hAnsi="Arial" w:cs="Arial"/>
          <w:bCs/>
          <w:sz w:val="24"/>
          <w:szCs w:val="24"/>
        </w:rPr>
      </w:pPr>
      <w:r w:rsidRPr="006A791C">
        <w:rPr>
          <w:rFonts w:ascii="Arial" w:hAnsi="Arial" w:cs="Arial"/>
          <w:bCs/>
          <w:sz w:val="24"/>
          <w:szCs w:val="24"/>
        </w:rPr>
        <w:t>OEB staff has updated Hearst Power’s Rate Generator</w:t>
      </w:r>
      <w:r w:rsidR="00661C7D">
        <w:rPr>
          <w:rFonts w:ascii="Arial" w:hAnsi="Arial" w:cs="Arial"/>
          <w:bCs/>
          <w:sz w:val="24"/>
          <w:szCs w:val="24"/>
        </w:rPr>
        <w:t>, Tab 18</w:t>
      </w:r>
      <w:r w:rsidRPr="006A791C">
        <w:rPr>
          <w:rFonts w:ascii="Arial" w:hAnsi="Arial" w:cs="Arial"/>
          <w:bCs/>
          <w:sz w:val="24"/>
          <w:szCs w:val="24"/>
        </w:rPr>
        <w:t xml:space="preserve"> with the </w:t>
      </w:r>
      <w:r>
        <w:rPr>
          <w:rFonts w:ascii="Arial" w:hAnsi="Arial" w:cs="Arial"/>
          <w:bCs/>
          <w:sz w:val="24"/>
          <w:szCs w:val="24"/>
        </w:rPr>
        <w:t>updated TOU</w:t>
      </w:r>
      <w:r w:rsidRPr="006A791C">
        <w:rPr>
          <w:rFonts w:ascii="Arial" w:hAnsi="Arial" w:cs="Arial"/>
          <w:bCs/>
          <w:sz w:val="24"/>
          <w:szCs w:val="24"/>
        </w:rPr>
        <w:t xml:space="preserve"> </w:t>
      </w:r>
      <w:r w:rsidR="00A536A2">
        <w:rPr>
          <w:rFonts w:ascii="Arial" w:hAnsi="Arial" w:cs="Arial"/>
          <w:bCs/>
          <w:sz w:val="24"/>
          <w:szCs w:val="24"/>
        </w:rPr>
        <w:t>pric</w:t>
      </w:r>
      <w:r w:rsidR="00661C7D">
        <w:rPr>
          <w:rFonts w:ascii="Arial" w:hAnsi="Arial" w:cs="Arial"/>
          <w:bCs/>
          <w:sz w:val="24"/>
          <w:szCs w:val="24"/>
        </w:rPr>
        <w:t>ing</w:t>
      </w:r>
      <w:r w:rsidR="00A536A2">
        <w:rPr>
          <w:rFonts w:ascii="Arial" w:hAnsi="Arial" w:cs="Arial"/>
          <w:bCs/>
          <w:sz w:val="24"/>
          <w:szCs w:val="24"/>
        </w:rPr>
        <w:t xml:space="preserve"> </w:t>
      </w:r>
      <w:r w:rsidRPr="006A791C">
        <w:rPr>
          <w:rFonts w:ascii="Arial" w:hAnsi="Arial" w:cs="Arial"/>
          <w:bCs/>
          <w:sz w:val="24"/>
          <w:szCs w:val="24"/>
        </w:rPr>
        <w:t xml:space="preserve">and </w:t>
      </w:r>
      <w:r w:rsidR="00661C7D">
        <w:rPr>
          <w:rFonts w:ascii="Arial" w:hAnsi="Arial" w:cs="Arial"/>
          <w:bCs/>
          <w:sz w:val="24"/>
          <w:szCs w:val="24"/>
        </w:rPr>
        <w:t xml:space="preserve">Tab 20 with the </w:t>
      </w:r>
      <w:r>
        <w:rPr>
          <w:rFonts w:ascii="Arial" w:hAnsi="Arial" w:cs="Arial"/>
          <w:bCs/>
          <w:sz w:val="24"/>
          <w:szCs w:val="24"/>
        </w:rPr>
        <w:t>OER</w:t>
      </w:r>
      <w:r w:rsidRPr="006A791C">
        <w:rPr>
          <w:rFonts w:ascii="Arial" w:hAnsi="Arial" w:cs="Arial"/>
          <w:bCs/>
          <w:sz w:val="24"/>
          <w:szCs w:val="24"/>
        </w:rPr>
        <w:t xml:space="preserve"> as follows:</w:t>
      </w:r>
    </w:p>
    <w:p w14:paraId="2B424CEF" w14:textId="0CE296F3" w:rsidR="009B44BB" w:rsidRPr="009B44BB" w:rsidRDefault="009B44BB" w:rsidP="006A791C">
      <w:pPr>
        <w:spacing w:after="200" w:line="276" w:lineRule="auto"/>
        <w:rPr>
          <w:rFonts w:ascii="Arial" w:hAnsi="Arial" w:cs="Arial"/>
          <w:b/>
          <w:sz w:val="24"/>
          <w:szCs w:val="24"/>
        </w:rPr>
      </w:pPr>
      <w:r w:rsidRPr="009B44BB">
        <w:rPr>
          <w:rFonts w:ascii="Arial" w:hAnsi="Arial" w:cs="Arial"/>
          <w:b/>
          <w:sz w:val="24"/>
          <w:szCs w:val="24"/>
        </w:rPr>
        <w:t>TOU:</w:t>
      </w:r>
    </w:p>
    <w:p w14:paraId="7F29EB15" w14:textId="37560B9F" w:rsidR="000E1F4B" w:rsidRDefault="009B44BB" w:rsidP="006A791C">
      <w:pPr>
        <w:spacing w:after="200" w:line="276" w:lineRule="auto"/>
        <w:rPr>
          <w:rFonts w:ascii="Arial" w:hAnsi="Arial" w:cs="Arial"/>
          <w:bCs/>
          <w:sz w:val="24"/>
          <w:szCs w:val="24"/>
          <w:lang w:val="en-CA"/>
        </w:rPr>
      </w:pPr>
      <w:r w:rsidRPr="009B44BB">
        <w:rPr>
          <w:rFonts w:ascii="Arial" w:hAnsi="Arial" w:cs="Arial"/>
          <w:bCs/>
          <w:noProof/>
          <w:sz w:val="24"/>
          <w:szCs w:val="24"/>
          <w:lang w:val="en-CA"/>
        </w:rPr>
        <w:drawing>
          <wp:inline distT="0" distB="0" distL="0" distR="0" wp14:anchorId="0793081A" wp14:editId="7309DB52">
            <wp:extent cx="5943600" cy="9582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958215"/>
                    </a:xfrm>
                    <a:prstGeom prst="rect">
                      <a:avLst/>
                    </a:prstGeom>
                  </pic:spPr>
                </pic:pic>
              </a:graphicData>
            </a:graphic>
          </wp:inline>
        </w:drawing>
      </w:r>
    </w:p>
    <w:p w14:paraId="51170A68" w14:textId="77E7BC83" w:rsidR="009B44BB" w:rsidRPr="009B44BB" w:rsidRDefault="009B44BB" w:rsidP="006A791C">
      <w:pPr>
        <w:spacing w:after="200" w:line="276" w:lineRule="auto"/>
        <w:rPr>
          <w:rFonts w:ascii="Arial" w:hAnsi="Arial" w:cs="Arial"/>
          <w:b/>
          <w:sz w:val="24"/>
          <w:szCs w:val="24"/>
          <w:lang w:val="en-CA"/>
        </w:rPr>
      </w:pPr>
      <w:r w:rsidRPr="009B44BB">
        <w:rPr>
          <w:rFonts w:ascii="Arial" w:hAnsi="Arial" w:cs="Arial"/>
          <w:b/>
          <w:sz w:val="24"/>
          <w:szCs w:val="24"/>
          <w:lang w:val="en-CA"/>
        </w:rPr>
        <w:t>OER:</w:t>
      </w:r>
    </w:p>
    <w:p w14:paraId="7FA01AC6" w14:textId="51BD5312" w:rsidR="009B44BB" w:rsidRDefault="009B44BB" w:rsidP="006A791C">
      <w:pPr>
        <w:spacing w:after="200" w:line="276" w:lineRule="auto"/>
        <w:rPr>
          <w:rFonts w:ascii="Arial" w:hAnsi="Arial" w:cs="Arial"/>
          <w:bCs/>
          <w:sz w:val="24"/>
          <w:szCs w:val="24"/>
          <w:lang w:val="en-CA"/>
        </w:rPr>
      </w:pPr>
      <w:r w:rsidRPr="009B44BB">
        <w:rPr>
          <w:rFonts w:ascii="Arial" w:hAnsi="Arial" w:cs="Arial"/>
          <w:bCs/>
          <w:noProof/>
          <w:sz w:val="24"/>
          <w:szCs w:val="24"/>
          <w:lang w:val="en-CA"/>
        </w:rPr>
        <w:drawing>
          <wp:inline distT="0" distB="0" distL="0" distR="0" wp14:anchorId="6728A8EC" wp14:editId="1DE563EB">
            <wp:extent cx="5125165" cy="8764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125165" cy="876422"/>
                    </a:xfrm>
                    <a:prstGeom prst="rect">
                      <a:avLst/>
                    </a:prstGeom>
                  </pic:spPr>
                </pic:pic>
              </a:graphicData>
            </a:graphic>
          </wp:inline>
        </w:drawing>
      </w:r>
    </w:p>
    <w:p w14:paraId="1A25680F" w14:textId="77777777" w:rsidR="009B44BB" w:rsidRDefault="009B44BB" w:rsidP="006A791C">
      <w:pPr>
        <w:spacing w:after="200" w:line="276" w:lineRule="auto"/>
        <w:rPr>
          <w:rFonts w:ascii="Arial" w:hAnsi="Arial" w:cs="Arial"/>
          <w:bCs/>
          <w:sz w:val="24"/>
          <w:szCs w:val="24"/>
          <w:lang w:val="en-CA"/>
        </w:rPr>
      </w:pPr>
    </w:p>
    <w:p w14:paraId="041A8C15" w14:textId="213D7CAC" w:rsidR="006A791C" w:rsidRPr="006A791C" w:rsidRDefault="006A791C" w:rsidP="006A791C">
      <w:pPr>
        <w:pStyle w:val="ListParagraph"/>
        <w:numPr>
          <w:ilvl w:val="1"/>
          <w:numId w:val="5"/>
        </w:numPr>
        <w:spacing w:after="200" w:line="276" w:lineRule="auto"/>
        <w:rPr>
          <w:rFonts w:ascii="Arial" w:hAnsi="Arial" w:cs="Arial"/>
          <w:bCs/>
          <w:sz w:val="24"/>
          <w:szCs w:val="24"/>
          <w:lang w:val="en-CA"/>
        </w:rPr>
      </w:pPr>
      <w:r w:rsidRPr="00914CD1">
        <w:rPr>
          <w:rFonts w:ascii="Arial" w:hAnsi="Arial" w:cs="Arial"/>
          <w:sz w:val="24"/>
          <w:szCs w:val="24"/>
          <w:lang w:val="en-CA"/>
        </w:rPr>
        <w:t>Please confirm the accuracy of the Rate Generator updates</w:t>
      </w:r>
      <w:r w:rsidR="00A536A2">
        <w:rPr>
          <w:rFonts w:ascii="Arial" w:hAnsi="Arial" w:cs="Arial"/>
          <w:sz w:val="24"/>
          <w:szCs w:val="24"/>
          <w:lang w:val="en-CA"/>
        </w:rPr>
        <w:t>, as well as the accuracy of bill impacts</w:t>
      </w:r>
      <w:r w:rsidR="009846A2">
        <w:rPr>
          <w:rFonts w:ascii="Arial" w:hAnsi="Arial" w:cs="Arial"/>
          <w:sz w:val="24"/>
          <w:szCs w:val="24"/>
          <w:lang w:val="en-CA"/>
        </w:rPr>
        <w:t>.</w:t>
      </w:r>
    </w:p>
    <w:p w14:paraId="74F390EB" w14:textId="77777777" w:rsidR="000E1F4B" w:rsidRDefault="000E1F4B" w:rsidP="00FD72B2">
      <w:pPr>
        <w:spacing w:after="200" w:line="276" w:lineRule="auto"/>
        <w:rPr>
          <w:rFonts w:ascii="Arial" w:hAnsi="Arial" w:cs="Arial"/>
          <w:bCs/>
          <w:sz w:val="24"/>
          <w:szCs w:val="24"/>
          <w:lang w:val="en-CA"/>
        </w:rPr>
      </w:pPr>
    </w:p>
    <w:p w14:paraId="6A381F8A" w14:textId="77777777" w:rsidR="000F695C" w:rsidRDefault="000F695C" w:rsidP="009846A2">
      <w:pPr>
        <w:spacing w:after="240" w:line="240" w:lineRule="auto"/>
        <w:rPr>
          <w:rFonts w:ascii="Arial" w:hAnsi="Arial" w:cs="Arial"/>
          <w:b/>
          <w:bCs/>
          <w:sz w:val="24"/>
          <w:szCs w:val="24"/>
        </w:rPr>
      </w:pPr>
    </w:p>
    <w:p w14:paraId="679F75A4" w14:textId="77777777" w:rsidR="000F695C" w:rsidRDefault="000F695C" w:rsidP="009846A2">
      <w:pPr>
        <w:spacing w:after="240" w:line="240" w:lineRule="auto"/>
        <w:rPr>
          <w:rFonts w:ascii="Arial" w:hAnsi="Arial" w:cs="Arial"/>
          <w:b/>
          <w:bCs/>
          <w:sz w:val="24"/>
          <w:szCs w:val="24"/>
        </w:rPr>
      </w:pPr>
    </w:p>
    <w:p w14:paraId="6BF7D12C" w14:textId="77777777" w:rsidR="000F695C" w:rsidRDefault="000F695C" w:rsidP="009846A2">
      <w:pPr>
        <w:spacing w:after="240" w:line="240" w:lineRule="auto"/>
        <w:rPr>
          <w:rFonts w:ascii="Arial" w:hAnsi="Arial" w:cs="Arial"/>
          <w:b/>
          <w:bCs/>
          <w:sz w:val="24"/>
          <w:szCs w:val="24"/>
        </w:rPr>
      </w:pPr>
    </w:p>
    <w:p w14:paraId="166CEDE6" w14:textId="6B711321" w:rsidR="009846A2" w:rsidRPr="00D9404F" w:rsidRDefault="009846A2" w:rsidP="009846A2">
      <w:pPr>
        <w:spacing w:after="240" w:line="240" w:lineRule="auto"/>
        <w:rPr>
          <w:rFonts w:ascii="Arial" w:hAnsi="Arial" w:cs="Arial"/>
          <w:b/>
          <w:bCs/>
          <w:sz w:val="24"/>
          <w:szCs w:val="24"/>
        </w:rPr>
      </w:pPr>
      <w:r w:rsidRPr="00D9404F">
        <w:rPr>
          <w:rFonts w:ascii="Arial" w:hAnsi="Arial" w:cs="Arial"/>
          <w:b/>
          <w:bCs/>
          <w:sz w:val="24"/>
          <w:szCs w:val="24"/>
        </w:rPr>
        <w:lastRenderedPageBreak/>
        <w:t xml:space="preserve">Staff Question </w:t>
      </w:r>
      <w:r>
        <w:rPr>
          <w:rFonts w:ascii="Arial" w:hAnsi="Arial" w:cs="Arial"/>
          <w:b/>
          <w:bCs/>
          <w:sz w:val="24"/>
          <w:szCs w:val="24"/>
        </w:rPr>
        <w:t>8</w:t>
      </w:r>
    </w:p>
    <w:p w14:paraId="6BEF5D5B" w14:textId="39393EFA" w:rsidR="009846A2" w:rsidRPr="00D9404F" w:rsidRDefault="009846A2" w:rsidP="009846A2">
      <w:pPr>
        <w:spacing w:after="0"/>
        <w:rPr>
          <w:rFonts w:ascii="Arial" w:hAnsi="Arial" w:cs="Arial"/>
          <w:b/>
          <w:bCs/>
          <w:sz w:val="24"/>
          <w:szCs w:val="24"/>
        </w:rPr>
      </w:pPr>
      <w:r w:rsidRPr="00D9404F">
        <w:rPr>
          <w:rFonts w:ascii="Arial" w:hAnsi="Arial" w:cs="Arial"/>
          <w:b/>
          <w:bCs/>
          <w:sz w:val="24"/>
          <w:szCs w:val="24"/>
        </w:rPr>
        <w:t xml:space="preserve">Ref: </w:t>
      </w:r>
      <w:r>
        <w:rPr>
          <w:rFonts w:ascii="Arial" w:hAnsi="Arial" w:cs="Arial"/>
          <w:b/>
          <w:bCs/>
          <w:sz w:val="24"/>
          <w:szCs w:val="24"/>
        </w:rPr>
        <w:t>2024 IRM Manager Summary, PDF Page 9</w:t>
      </w:r>
      <w:r w:rsidR="00310308">
        <w:rPr>
          <w:rFonts w:ascii="Arial" w:hAnsi="Arial" w:cs="Arial"/>
          <w:b/>
          <w:bCs/>
          <w:sz w:val="24"/>
          <w:szCs w:val="24"/>
        </w:rPr>
        <w:t>, Line 9</w:t>
      </w:r>
    </w:p>
    <w:p w14:paraId="58DD4CDD" w14:textId="4A504C9A" w:rsidR="009846A2" w:rsidRPr="00D9404F" w:rsidRDefault="009846A2" w:rsidP="009846A2">
      <w:pPr>
        <w:spacing w:after="0"/>
        <w:rPr>
          <w:rFonts w:ascii="Arial" w:hAnsi="Arial" w:cs="Arial"/>
          <w:sz w:val="24"/>
          <w:szCs w:val="24"/>
        </w:rPr>
      </w:pPr>
      <w:r w:rsidRPr="000E1F4B">
        <w:rPr>
          <w:rFonts w:ascii="Arial" w:hAnsi="Arial" w:cs="Arial"/>
          <w:b/>
          <w:bCs/>
          <w:sz w:val="24"/>
          <w:szCs w:val="24"/>
        </w:rPr>
        <w:t xml:space="preserve">Ref: 2024 IRM </w:t>
      </w:r>
      <w:r w:rsidR="00310308">
        <w:rPr>
          <w:rFonts w:ascii="Arial" w:hAnsi="Arial" w:cs="Arial"/>
          <w:b/>
          <w:bCs/>
          <w:sz w:val="24"/>
          <w:szCs w:val="24"/>
        </w:rPr>
        <w:t>R</w:t>
      </w:r>
      <w:r w:rsidRPr="000E1F4B">
        <w:rPr>
          <w:rFonts w:ascii="Arial" w:hAnsi="Arial" w:cs="Arial"/>
          <w:b/>
          <w:bCs/>
          <w:sz w:val="24"/>
          <w:szCs w:val="24"/>
        </w:rPr>
        <w:t>ate Generator Model, Tab</w:t>
      </w:r>
      <w:r>
        <w:rPr>
          <w:rFonts w:ascii="Arial" w:hAnsi="Arial" w:cs="Arial"/>
          <w:b/>
          <w:bCs/>
          <w:sz w:val="24"/>
          <w:szCs w:val="24"/>
        </w:rPr>
        <w:t xml:space="preserve"> </w:t>
      </w:r>
      <w:r w:rsidR="00310308">
        <w:rPr>
          <w:rFonts w:ascii="Arial" w:hAnsi="Arial" w:cs="Arial"/>
          <w:b/>
          <w:bCs/>
          <w:sz w:val="24"/>
          <w:szCs w:val="24"/>
        </w:rPr>
        <w:t>17</w:t>
      </w:r>
      <w:r w:rsidR="00FF068E">
        <w:rPr>
          <w:rFonts w:ascii="Arial" w:hAnsi="Arial" w:cs="Arial"/>
          <w:b/>
          <w:bCs/>
          <w:sz w:val="24"/>
          <w:szCs w:val="24"/>
        </w:rPr>
        <w:t>, Cell D13</w:t>
      </w:r>
    </w:p>
    <w:p w14:paraId="3CDAAE33" w14:textId="77777777" w:rsidR="009846A2" w:rsidRDefault="009846A2" w:rsidP="009846A2">
      <w:pPr>
        <w:spacing w:after="200" w:line="276" w:lineRule="auto"/>
        <w:rPr>
          <w:rFonts w:ascii="Arial" w:hAnsi="Arial" w:cs="Arial"/>
          <w:sz w:val="24"/>
          <w:szCs w:val="24"/>
        </w:rPr>
      </w:pPr>
    </w:p>
    <w:p w14:paraId="37AD8C1D" w14:textId="5A99E3FA" w:rsidR="000E1F4B" w:rsidRDefault="009846A2" w:rsidP="009846A2">
      <w:pPr>
        <w:spacing w:after="200" w:line="276" w:lineRule="auto"/>
        <w:rPr>
          <w:rFonts w:ascii="Arial" w:hAnsi="Arial" w:cs="Arial"/>
          <w:sz w:val="24"/>
          <w:szCs w:val="24"/>
        </w:rPr>
      </w:pPr>
      <w:r>
        <w:rPr>
          <w:rFonts w:ascii="Arial" w:hAnsi="Arial" w:cs="Arial"/>
          <w:sz w:val="24"/>
          <w:szCs w:val="24"/>
        </w:rPr>
        <w:t>In the Manager Summary, Hearst Power</w:t>
      </w:r>
      <w:r w:rsidR="00310308">
        <w:rPr>
          <w:rFonts w:ascii="Arial" w:hAnsi="Arial" w:cs="Arial"/>
          <w:sz w:val="24"/>
          <w:szCs w:val="24"/>
        </w:rPr>
        <w:t xml:space="preserve"> states that it is not seeking a Price Cap Index adjustment in 2024</w:t>
      </w:r>
      <w:r w:rsidR="0061565D">
        <w:rPr>
          <w:rStyle w:val="FootnoteReference"/>
          <w:rFonts w:ascii="Arial" w:hAnsi="Arial" w:cs="Arial"/>
          <w:sz w:val="24"/>
          <w:szCs w:val="24"/>
        </w:rPr>
        <w:footnoteReference w:id="4"/>
      </w:r>
      <w:r w:rsidR="00310308">
        <w:rPr>
          <w:rFonts w:ascii="Arial" w:hAnsi="Arial" w:cs="Arial"/>
          <w:sz w:val="24"/>
          <w:szCs w:val="24"/>
        </w:rPr>
        <w:t xml:space="preserve">. However, in the Rate Generator, there is a 4.8% Price Cap Index applied in </w:t>
      </w:r>
      <w:r w:rsidR="00716CE9">
        <w:rPr>
          <w:rFonts w:ascii="Arial" w:hAnsi="Arial" w:cs="Arial"/>
          <w:sz w:val="24"/>
          <w:szCs w:val="24"/>
        </w:rPr>
        <w:t>Tab 17 of the</w:t>
      </w:r>
      <w:r w:rsidR="00310308">
        <w:rPr>
          <w:rFonts w:ascii="Arial" w:hAnsi="Arial" w:cs="Arial"/>
          <w:sz w:val="24"/>
          <w:szCs w:val="24"/>
        </w:rPr>
        <w:t xml:space="preserve"> model.</w:t>
      </w:r>
    </w:p>
    <w:p w14:paraId="58DB0913" w14:textId="01491B20" w:rsidR="00661C7D" w:rsidRDefault="00310308" w:rsidP="00310308">
      <w:pPr>
        <w:pStyle w:val="ListParagraph"/>
        <w:numPr>
          <w:ilvl w:val="0"/>
          <w:numId w:val="14"/>
        </w:numPr>
        <w:spacing w:after="200" w:line="276" w:lineRule="auto"/>
        <w:rPr>
          <w:rFonts w:ascii="Arial" w:hAnsi="Arial" w:cs="Arial"/>
          <w:bCs/>
          <w:sz w:val="24"/>
          <w:szCs w:val="24"/>
          <w:lang w:val="en-CA"/>
        </w:rPr>
      </w:pPr>
      <w:r>
        <w:rPr>
          <w:rFonts w:ascii="Arial" w:hAnsi="Arial" w:cs="Arial"/>
          <w:bCs/>
          <w:sz w:val="24"/>
          <w:szCs w:val="24"/>
          <w:lang w:val="en-CA"/>
        </w:rPr>
        <w:t>Please provide a</w:t>
      </w:r>
      <w:r w:rsidR="00661C7D">
        <w:rPr>
          <w:rFonts w:ascii="Arial" w:hAnsi="Arial" w:cs="Arial"/>
          <w:bCs/>
          <w:sz w:val="24"/>
          <w:szCs w:val="24"/>
          <w:lang w:val="en-CA"/>
        </w:rPr>
        <w:t xml:space="preserve"> more detailed</w:t>
      </w:r>
      <w:r>
        <w:rPr>
          <w:rFonts w:ascii="Arial" w:hAnsi="Arial" w:cs="Arial"/>
          <w:bCs/>
          <w:sz w:val="24"/>
          <w:szCs w:val="24"/>
          <w:lang w:val="en-CA"/>
        </w:rPr>
        <w:t xml:space="preserve"> explanation</w:t>
      </w:r>
      <w:r w:rsidR="00661C7D">
        <w:rPr>
          <w:rFonts w:ascii="Arial" w:hAnsi="Arial" w:cs="Arial"/>
          <w:bCs/>
          <w:sz w:val="24"/>
          <w:szCs w:val="24"/>
          <w:lang w:val="en-CA"/>
        </w:rPr>
        <w:t xml:space="preserve"> </w:t>
      </w:r>
      <w:r w:rsidR="000F51CB">
        <w:rPr>
          <w:rFonts w:ascii="Arial" w:hAnsi="Arial" w:cs="Arial"/>
          <w:bCs/>
          <w:sz w:val="24"/>
          <w:szCs w:val="24"/>
          <w:lang w:val="en-CA"/>
        </w:rPr>
        <w:t xml:space="preserve">of </w:t>
      </w:r>
      <w:r w:rsidR="00661C7D">
        <w:rPr>
          <w:rFonts w:ascii="Arial" w:hAnsi="Arial" w:cs="Arial"/>
          <w:bCs/>
          <w:sz w:val="24"/>
          <w:szCs w:val="24"/>
          <w:lang w:val="en-CA"/>
        </w:rPr>
        <w:t>why Hearst Power is forgoing the inflationary increase for its 2024 rates.</w:t>
      </w:r>
    </w:p>
    <w:p w14:paraId="304EFBFF" w14:textId="3D5D7652" w:rsidR="00310308" w:rsidRDefault="00661C7D" w:rsidP="00661C7D">
      <w:pPr>
        <w:pStyle w:val="ListParagraph"/>
        <w:numPr>
          <w:ilvl w:val="0"/>
          <w:numId w:val="14"/>
        </w:numPr>
        <w:spacing w:after="200" w:line="276" w:lineRule="auto"/>
        <w:rPr>
          <w:rFonts w:ascii="Arial" w:hAnsi="Arial" w:cs="Arial"/>
          <w:bCs/>
          <w:sz w:val="24"/>
          <w:szCs w:val="24"/>
          <w:lang w:val="en-CA"/>
        </w:rPr>
      </w:pPr>
      <w:r w:rsidRPr="00661C7D">
        <w:rPr>
          <w:rFonts w:ascii="Arial" w:hAnsi="Arial" w:cs="Arial"/>
          <w:bCs/>
          <w:sz w:val="24"/>
          <w:szCs w:val="24"/>
          <w:lang w:val="en-CA"/>
        </w:rPr>
        <w:t>Please update the rate generator to match Hearst</w:t>
      </w:r>
      <w:r>
        <w:rPr>
          <w:rFonts w:ascii="Arial" w:hAnsi="Arial" w:cs="Arial"/>
          <w:bCs/>
          <w:sz w:val="24"/>
          <w:szCs w:val="24"/>
          <w:lang w:val="en-CA"/>
        </w:rPr>
        <w:t xml:space="preserve"> Power</w:t>
      </w:r>
      <w:r w:rsidRPr="00661C7D">
        <w:rPr>
          <w:rFonts w:ascii="Arial" w:hAnsi="Arial" w:cs="Arial"/>
          <w:bCs/>
          <w:sz w:val="24"/>
          <w:szCs w:val="24"/>
          <w:lang w:val="en-CA"/>
        </w:rPr>
        <w:t xml:space="preserve">’s request as per its Manager’s Summary or explain the </w:t>
      </w:r>
      <w:r w:rsidR="00310308" w:rsidRPr="00661C7D">
        <w:rPr>
          <w:rFonts w:ascii="Arial" w:hAnsi="Arial" w:cs="Arial"/>
          <w:bCs/>
          <w:sz w:val="24"/>
          <w:szCs w:val="24"/>
          <w:lang w:val="en-CA"/>
        </w:rPr>
        <w:t>discrepancy</w:t>
      </w:r>
      <w:r w:rsidR="00091DAC" w:rsidRPr="00661C7D">
        <w:rPr>
          <w:rFonts w:ascii="Arial" w:hAnsi="Arial" w:cs="Arial"/>
          <w:bCs/>
          <w:sz w:val="24"/>
          <w:szCs w:val="24"/>
          <w:lang w:val="en-CA"/>
        </w:rPr>
        <w:t xml:space="preserve"> </w:t>
      </w:r>
      <w:r w:rsidR="00FD07CD">
        <w:rPr>
          <w:rFonts w:ascii="Arial" w:hAnsi="Arial" w:cs="Arial"/>
          <w:bCs/>
          <w:sz w:val="24"/>
          <w:szCs w:val="24"/>
          <w:lang w:val="en-CA"/>
        </w:rPr>
        <w:t xml:space="preserve">noted </w:t>
      </w:r>
      <w:r w:rsidR="00091DAC" w:rsidRPr="00661C7D">
        <w:rPr>
          <w:rFonts w:ascii="Arial" w:hAnsi="Arial" w:cs="Arial"/>
          <w:bCs/>
          <w:sz w:val="24"/>
          <w:szCs w:val="24"/>
          <w:lang w:val="en-CA"/>
        </w:rPr>
        <w:t>above</w:t>
      </w:r>
      <w:r w:rsidR="00310308" w:rsidRPr="00661C7D">
        <w:rPr>
          <w:rFonts w:ascii="Arial" w:hAnsi="Arial" w:cs="Arial"/>
          <w:bCs/>
          <w:sz w:val="24"/>
          <w:szCs w:val="24"/>
          <w:lang w:val="en-CA"/>
        </w:rPr>
        <w:t>.</w:t>
      </w:r>
    </w:p>
    <w:p w14:paraId="17577755" w14:textId="4EF76083" w:rsidR="00661C7D" w:rsidRPr="00661C7D" w:rsidRDefault="00661C7D" w:rsidP="00661C7D">
      <w:pPr>
        <w:pStyle w:val="ListParagraph"/>
        <w:numPr>
          <w:ilvl w:val="0"/>
          <w:numId w:val="14"/>
        </w:numPr>
        <w:spacing w:after="200" w:line="276" w:lineRule="auto"/>
        <w:rPr>
          <w:rFonts w:ascii="Arial" w:hAnsi="Arial" w:cs="Arial"/>
          <w:bCs/>
          <w:sz w:val="24"/>
          <w:szCs w:val="24"/>
          <w:lang w:val="en-CA"/>
        </w:rPr>
      </w:pPr>
      <w:r>
        <w:rPr>
          <w:rFonts w:ascii="Arial" w:hAnsi="Arial" w:cs="Arial"/>
          <w:bCs/>
          <w:sz w:val="24"/>
          <w:szCs w:val="24"/>
          <w:lang w:val="en-CA"/>
        </w:rPr>
        <w:t xml:space="preserve">Please provide Hearst Power’s most recent Return on Equity (ROE). </w:t>
      </w:r>
    </w:p>
    <w:p w14:paraId="5D0478C8" w14:textId="77777777" w:rsidR="009846A2" w:rsidRDefault="009846A2" w:rsidP="00FD72B2">
      <w:pPr>
        <w:spacing w:after="200" w:line="276" w:lineRule="auto"/>
        <w:rPr>
          <w:rFonts w:ascii="Arial" w:hAnsi="Arial" w:cs="Arial"/>
          <w:bCs/>
          <w:sz w:val="24"/>
          <w:szCs w:val="24"/>
          <w:lang w:val="en-CA"/>
        </w:rPr>
      </w:pPr>
    </w:p>
    <w:sectPr w:rsidR="009846A2">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783A0" w14:textId="77777777" w:rsidR="00E13AD1" w:rsidRDefault="00E13AD1" w:rsidP="00E15F8C">
      <w:pPr>
        <w:spacing w:after="0" w:line="240" w:lineRule="auto"/>
      </w:pPr>
      <w:r>
        <w:separator/>
      </w:r>
    </w:p>
  </w:endnote>
  <w:endnote w:type="continuationSeparator" w:id="0">
    <w:p w14:paraId="69D5E438" w14:textId="77777777" w:rsidR="00E13AD1" w:rsidRDefault="00E13AD1" w:rsidP="00E15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5F896" w14:textId="77777777" w:rsidR="00E13AD1" w:rsidRDefault="00E13AD1" w:rsidP="00E15F8C">
      <w:pPr>
        <w:spacing w:after="0" w:line="240" w:lineRule="auto"/>
      </w:pPr>
      <w:r>
        <w:separator/>
      </w:r>
    </w:p>
  </w:footnote>
  <w:footnote w:type="continuationSeparator" w:id="0">
    <w:p w14:paraId="0174F1DF" w14:textId="77777777" w:rsidR="00E13AD1" w:rsidRDefault="00E13AD1" w:rsidP="00E15F8C">
      <w:pPr>
        <w:spacing w:after="0" w:line="240" w:lineRule="auto"/>
      </w:pPr>
      <w:r>
        <w:continuationSeparator/>
      </w:r>
    </w:p>
  </w:footnote>
  <w:footnote w:id="1">
    <w:p w14:paraId="3D12A5BF" w14:textId="77777777" w:rsidR="00914CD1" w:rsidRDefault="00914CD1" w:rsidP="00914CD1">
      <w:pPr>
        <w:pStyle w:val="FootnoteText"/>
        <w:rPr>
          <w:rFonts w:ascii="Arial" w:hAnsi="Arial" w:cs="Arial"/>
          <w:lang w:val="en-US"/>
        </w:rPr>
      </w:pPr>
      <w:r>
        <w:rPr>
          <w:rStyle w:val="FootnoteReference"/>
          <w:rFonts w:ascii="Arial" w:hAnsi="Arial" w:cs="Arial"/>
        </w:rPr>
        <w:footnoteRef/>
      </w:r>
      <w:r>
        <w:rPr>
          <w:rFonts w:ascii="Arial" w:hAnsi="Arial" w:cs="Arial"/>
        </w:rPr>
        <w:t xml:space="preserve"> </w:t>
      </w:r>
      <w:r>
        <w:rPr>
          <w:rFonts w:ascii="Arial" w:hAnsi="Arial" w:cs="Arial"/>
          <w:lang w:val="en-US"/>
        </w:rPr>
        <w:t>EB-2023-0268, Decision and Order, page 1</w:t>
      </w:r>
    </w:p>
  </w:footnote>
  <w:footnote w:id="2">
    <w:p w14:paraId="0F6D5480" w14:textId="77777777" w:rsidR="00914CD1" w:rsidRDefault="00914CD1" w:rsidP="00914CD1">
      <w:pPr>
        <w:pStyle w:val="FootnoteText"/>
        <w:rPr>
          <w:rFonts w:ascii="Arial" w:hAnsi="Arial" w:cs="Arial"/>
          <w:lang w:val="en-US"/>
        </w:rPr>
      </w:pPr>
      <w:r>
        <w:rPr>
          <w:rStyle w:val="FootnoteReference"/>
          <w:rFonts w:ascii="Arial" w:hAnsi="Arial" w:cs="Arial"/>
        </w:rPr>
        <w:footnoteRef/>
      </w:r>
      <w:r>
        <w:rPr>
          <w:rFonts w:ascii="Arial" w:hAnsi="Arial" w:cs="Arial"/>
        </w:rPr>
        <w:t xml:space="preserve"> EB-2023-0222, OEB Letter, 2024 Preliminary Uniform Transmission Rates and Hydro One Sub-Transmission Rates, issued September 28, 2023</w:t>
      </w:r>
    </w:p>
  </w:footnote>
  <w:footnote w:id="3">
    <w:p w14:paraId="704F6A3E" w14:textId="77777777" w:rsidR="00914CD1" w:rsidRDefault="00914CD1" w:rsidP="00914CD1">
      <w:pPr>
        <w:pStyle w:val="FootnoteText"/>
        <w:rPr>
          <w:lang w:val="en-US"/>
        </w:rPr>
      </w:pPr>
      <w:r>
        <w:rPr>
          <w:rStyle w:val="FootnoteReference"/>
          <w:rFonts w:ascii="Arial" w:hAnsi="Arial" w:cs="Arial"/>
        </w:rPr>
        <w:footnoteRef/>
      </w:r>
      <w:r>
        <w:rPr>
          <w:rFonts w:ascii="Arial" w:hAnsi="Arial" w:cs="Arial"/>
        </w:rPr>
        <w:t xml:space="preserve"> </w:t>
      </w:r>
      <w:r>
        <w:rPr>
          <w:rFonts w:ascii="Arial" w:hAnsi="Arial" w:cs="Arial"/>
          <w:lang w:val="en-US"/>
        </w:rPr>
        <w:t>EB-2023-0030, Partial Decision and Rate Order, page 12</w:t>
      </w:r>
    </w:p>
  </w:footnote>
  <w:footnote w:id="4">
    <w:p w14:paraId="5CCBE40E" w14:textId="1514AD62" w:rsidR="0061565D" w:rsidRPr="00EE175B" w:rsidRDefault="0061565D">
      <w:pPr>
        <w:pStyle w:val="FootnoteText"/>
        <w:rPr>
          <w:lang w:val="en-US"/>
        </w:rPr>
      </w:pPr>
      <w:r>
        <w:rPr>
          <w:rStyle w:val="FootnoteReference"/>
        </w:rPr>
        <w:footnoteRef/>
      </w:r>
      <w:r>
        <w:t xml:space="preserve"> </w:t>
      </w:r>
      <w:r>
        <w:rPr>
          <w:lang w:val="en-US"/>
        </w:rPr>
        <w:t>Hearst Power IRM Manager Summary, PDF Page 9, Line 9, November 22</w:t>
      </w:r>
      <w:r w:rsidR="00EE175B">
        <w:rPr>
          <w:lang w:val="en-US"/>
        </w:rPr>
        <w:t>,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9F898" w14:textId="7600F80F" w:rsidR="00E15F8C" w:rsidRPr="00690864" w:rsidRDefault="00E15F8C" w:rsidP="00E15F8C">
    <w:pPr>
      <w:tabs>
        <w:tab w:val="center" w:pos="4680"/>
        <w:tab w:val="right" w:pos="9360"/>
      </w:tabs>
      <w:spacing w:after="0" w:line="240" w:lineRule="auto"/>
      <w:jc w:val="right"/>
    </w:pPr>
    <w:r>
      <w:t>Hearst Power Distribution Co. Ltd.</w:t>
    </w:r>
  </w:p>
  <w:p w14:paraId="0AF2C354" w14:textId="77777777" w:rsidR="00E15F8C" w:rsidRPr="00690864" w:rsidRDefault="00E15F8C" w:rsidP="00E15F8C">
    <w:pPr>
      <w:tabs>
        <w:tab w:val="center" w:pos="4680"/>
        <w:tab w:val="right" w:pos="9360"/>
      </w:tabs>
      <w:spacing w:after="0" w:line="240" w:lineRule="auto"/>
      <w:jc w:val="right"/>
    </w:pPr>
    <w:r w:rsidRPr="00690864">
      <w:t>2024 IRM Application</w:t>
    </w:r>
  </w:p>
  <w:p w14:paraId="1E3C1468" w14:textId="14455BF3" w:rsidR="00E15F8C" w:rsidRPr="00690864" w:rsidRDefault="00E15F8C" w:rsidP="00E15F8C">
    <w:pPr>
      <w:tabs>
        <w:tab w:val="center" w:pos="4680"/>
        <w:tab w:val="right" w:pos="9360"/>
      </w:tabs>
      <w:spacing w:after="0" w:line="240" w:lineRule="auto"/>
      <w:jc w:val="right"/>
    </w:pPr>
    <w:r w:rsidRPr="00690864">
      <w:t>EB-202</w:t>
    </w:r>
    <w:r>
      <w:t>3</w:t>
    </w:r>
    <w:r w:rsidRPr="00690864">
      <w:t>-00</w:t>
    </w:r>
    <w:r>
      <w:t>27</w:t>
    </w:r>
  </w:p>
  <w:sdt>
    <w:sdtPr>
      <w:id w:val="-1318336367"/>
      <w:docPartObj>
        <w:docPartGallery w:val="Page Numbers (Top of Page)"/>
        <w:docPartUnique/>
      </w:docPartObj>
    </w:sdtPr>
    <w:sdtEndPr/>
    <w:sdtContent>
      <w:p w14:paraId="01E797AD" w14:textId="77777777" w:rsidR="00E15F8C" w:rsidRPr="00690864" w:rsidRDefault="00E15F8C" w:rsidP="00E15F8C">
        <w:pPr>
          <w:tabs>
            <w:tab w:val="center" w:pos="4680"/>
            <w:tab w:val="right" w:pos="9360"/>
          </w:tabs>
          <w:spacing w:after="0" w:line="240" w:lineRule="auto"/>
          <w:jc w:val="right"/>
        </w:pPr>
        <w:r w:rsidRPr="00690864">
          <w:t xml:space="preserve">Page </w:t>
        </w:r>
        <w:r w:rsidRPr="00690864">
          <w:rPr>
            <w:b/>
            <w:bCs/>
            <w:sz w:val="24"/>
            <w:szCs w:val="24"/>
          </w:rPr>
          <w:fldChar w:fldCharType="begin"/>
        </w:r>
        <w:r w:rsidRPr="00690864">
          <w:rPr>
            <w:b/>
            <w:bCs/>
          </w:rPr>
          <w:instrText xml:space="preserve"> PAGE </w:instrText>
        </w:r>
        <w:r w:rsidRPr="00690864">
          <w:rPr>
            <w:b/>
            <w:bCs/>
            <w:sz w:val="24"/>
            <w:szCs w:val="24"/>
          </w:rPr>
          <w:fldChar w:fldCharType="separate"/>
        </w:r>
        <w:r>
          <w:rPr>
            <w:b/>
            <w:bCs/>
            <w:sz w:val="24"/>
            <w:szCs w:val="24"/>
          </w:rPr>
          <w:t>1</w:t>
        </w:r>
        <w:r w:rsidRPr="00690864">
          <w:rPr>
            <w:b/>
            <w:bCs/>
            <w:sz w:val="24"/>
            <w:szCs w:val="24"/>
          </w:rPr>
          <w:fldChar w:fldCharType="end"/>
        </w:r>
        <w:r w:rsidRPr="00690864">
          <w:t xml:space="preserve"> of </w:t>
        </w:r>
        <w:r w:rsidRPr="00690864">
          <w:rPr>
            <w:b/>
            <w:bCs/>
            <w:sz w:val="24"/>
            <w:szCs w:val="24"/>
          </w:rPr>
          <w:fldChar w:fldCharType="begin"/>
        </w:r>
        <w:r w:rsidRPr="00690864">
          <w:rPr>
            <w:b/>
            <w:bCs/>
          </w:rPr>
          <w:instrText xml:space="preserve"> NUMPAGES  </w:instrText>
        </w:r>
        <w:r w:rsidRPr="00690864">
          <w:rPr>
            <w:b/>
            <w:bCs/>
            <w:sz w:val="24"/>
            <w:szCs w:val="24"/>
          </w:rPr>
          <w:fldChar w:fldCharType="separate"/>
        </w:r>
        <w:r>
          <w:rPr>
            <w:b/>
            <w:bCs/>
            <w:sz w:val="24"/>
            <w:szCs w:val="24"/>
          </w:rPr>
          <w:t>5</w:t>
        </w:r>
        <w:r w:rsidRPr="00690864">
          <w:rPr>
            <w:b/>
            <w:bCs/>
            <w:sz w:val="24"/>
            <w:szCs w:val="24"/>
          </w:rPr>
          <w:fldChar w:fldCharType="end"/>
        </w:r>
      </w:p>
    </w:sdtContent>
  </w:sdt>
  <w:p w14:paraId="2DF43BF2" w14:textId="77777777" w:rsidR="00E15F8C" w:rsidRPr="00E15F8C" w:rsidRDefault="00E15F8C" w:rsidP="00E15F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2744F"/>
    <w:multiLevelType w:val="hybridMultilevel"/>
    <w:tmpl w:val="44B2B9C8"/>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8F5D39"/>
    <w:multiLevelType w:val="hybridMultilevel"/>
    <w:tmpl w:val="3472887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D66B6B"/>
    <w:multiLevelType w:val="hybridMultilevel"/>
    <w:tmpl w:val="977035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A023BA"/>
    <w:multiLevelType w:val="hybridMultilevel"/>
    <w:tmpl w:val="1A6049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262C10"/>
    <w:multiLevelType w:val="hybridMultilevel"/>
    <w:tmpl w:val="F01AB9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335004"/>
    <w:multiLevelType w:val="hybridMultilevel"/>
    <w:tmpl w:val="D34245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1873A3"/>
    <w:multiLevelType w:val="hybridMultilevel"/>
    <w:tmpl w:val="A61CF7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1A0852"/>
    <w:multiLevelType w:val="hybridMultilevel"/>
    <w:tmpl w:val="14429A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475005"/>
    <w:multiLevelType w:val="hybridMultilevel"/>
    <w:tmpl w:val="0540C0E0"/>
    <w:lvl w:ilvl="0" w:tplc="5D806C9C">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7B16712"/>
    <w:multiLevelType w:val="hybridMultilevel"/>
    <w:tmpl w:val="73F635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161164"/>
    <w:multiLevelType w:val="hybridMultilevel"/>
    <w:tmpl w:val="43E89E2E"/>
    <w:lvl w:ilvl="0" w:tplc="04090019">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B1D795B"/>
    <w:multiLevelType w:val="hybridMultilevel"/>
    <w:tmpl w:val="9B6287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F10738"/>
    <w:multiLevelType w:val="hybridMultilevel"/>
    <w:tmpl w:val="2F4013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D95CB6"/>
    <w:multiLevelType w:val="hybridMultilevel"/>
    <w:tmpl w:val="8D2682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99944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51945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1788026">
    <w:abstractNumId w:val="9"/>
  </w:num>
  <w:num w:numId="4" w16cid:durableId="1345206588">
    <w:abstractNumId w:val="5"/>
  </w:num>
  <w:num w:numId="5" w16cid:durableId="1965695238">
    <w:abstractNumId w:val="1"/>
  </w:num>
  <w:num w:numId="6" w16cid:durableId="248732935">
    <w:abstractNumId w:val="8"/>
  </w:num>
  <w:num w:numId="7" w16cid:durableId="862595348">
    <w:abstractNumId w:val="0"/>
  </w:num>
  <w:num w:numId="8" w16cid:durableId="654800043">
    <w:abstractNumId w:val="10"/>
  </w:num>
  <w:num w:numId="9" w16cid:durableId="1792480728">
    <w:abstractNumId w:val="13"/>
  </w:num>
  <w:num w:numId="10" w16cid:durableId="807011942">
    <w:abstractNumId w:val="3"/>
  </w:num>
  <w:num w:numId="11" w16cid:durableId="518158804">
    <w:abstractNumId w:val="12"/>
  </w:num>
  <w:num w:numId="12" w16cid:durableId="829105163">
    <w:abstractNumId w:val="4"/>
  </w:num>
  <w:num w:numId="13" w16cid:durableId="1823816842">
    <w:abstractNumId w:val="2"/>
  </w:num>
  <w:num w:numId="14" w16cid:durableId="18891417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F8C"/>
    <w:rsid w:val="00091DAC"/>
    <w:rsid w:val="000C5A16"/>
    <w:rsid w:val="000E1F4B"/>
    <w:rsid w:val="000E2A6C"/>
    <w:rsid w:val="000F4A6B"/>
    <w:rsid w:val="000F51CB"/>
    <w:rsid w:val="000F695C"/>
    <w:rsid w:val="00121D4D"/>
    <w:rsid w:val="00167C9B"/>
    <w:rsid w:val="002166C5"/>
    <w:rsid w:val="002F5044"/>
    <w:rsid w:val="00310308"/>
    <w:rsid w:val="003B3757"/>
    <w:rsid w:val="00420878"/>
    <w:rsid w:val="00560317"/>
    <w:rsid w:val="00590D4E"/>
    <w:rsid w:val="00613EA1"/>
    <w:rsid w:val="0061565D"/>
    <w:rsid w:val="00661C7D"/>
    <w:rsid w:val="006A791C"/>
    <w:rsid w:val="006E18CF"/>
    <w:rsid w:val="00716CE9"/>
    <w:rsid w:val="0075035B"/>
    <w:rsid w:val="007D1523"/>
    <w:rsid w:val="007E0FB2"/>
    <w:rsid w:val="008B061E"/>
    <w:rsid w:val="00914CD1"/>
    <w:rsid w:val="00963A6C"/>
    <w:rsid w:val="009846A2"/>
    <w:rsid w:val="009859A7"/>
    <w:rsid w:val="0099570F"/>
    <w:rsid w:val="009B44BB"/>
    <w:rsid w:val="009F2F5C"/>
    <w:rsid w:val="00A536A2"/>
    <w:rsid w:val="00A554B6"/>
    <w:rsid w:val="00AA0B78"/>
    <w:rsid w:val="00BF4E45"/>
    <w:rsid w:val="00C03563"/>
    <w:rsid w:val="00C24482"/>
    <w:rsid w:val="00D11F03"/>
    <w:rsid w:val="00D32634"/>
    <w:rsid w:val="00D84E11"/>
    <w:rsid w:val="00D9404F"/>
    <w:rsid w:val="00D9608A"/>
    <w:rsid w:val="00DB1B3A"/>
    <w:rsid w:val="00DB5A45"/>
    <w:rsid w:val="00E02D6A"/>
    <w:rsid w:val="00E13AD1"/>
    <w:rsid w:val="00E15F8C"/>
    <w:rsid w:val="00E86801"/>
    <w:rsid w:val="00EE175B"/>
    <w:rsid w:val="00F46B2A"/>
    <w:rsid w:val="00F81031"/>
    <w:rsid w:val="00F839EE"/>
    <w:rsid w:val="00FD07CD"/>
    <w:rsid w:val="00FD72B2"/>
    <w:rsid w:val="00FF0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92B616"/>
  <w15:chartTrackingRefBased/>
  <w15:docId w15:val="{4E6F1F62-788E-4981-8089-A04C1CC51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6A2"/>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5F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F8C"/>
    <w:rPr>
      <w:kern w:val="0"/>
      <w14:ligatures w14:val="none"/>
    </w:rPr>
  </w:style>
  <w:style w:type="paragraph" w:styleId="Footer">
    <w:name w:val="footer"/>
    <w:basedOn w:val="Normal"/>
    <w:link w:val="FooterChar"/>
    <w:uiPriority w:val="99"/>
    <w:unhideWhenUsed/>
    <w:rsid w:val="00E15F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F8C"/>
    <w:rPr>
      <w:kern w:val="0"/>
      <w14:ligatures w14:val="none"/>
    </w:rPr>
  </w:style>
  <w:style w:type="paragraph" w:styleId="FootnoteText">
    <w:name w:val="footnote text"/>
    <w:basedOn w:val="Normal"/>
    <w:link w:val="FootnoteTextChar"/>
    <w:uiPriority w:val="99"/>
    <w:semiHidden/>
    <w:unhideWhenUsed/>
    <w:rsid w:val="00914CD1"/>
    <w:pPr>
      <w:spacing w:after="0" w:line="240" w:lineRule="auto"/>
    </w:pPr>
    <w:rPr>
      <w:sz w:val="20"/>
      <w:szCs w:val="20"/>
      <w:lang w:val="en-CA"/>
    </w:rPr>
  </w:style>
  <w:style w:type="character" w:customStyle="1" w:styleId="FootnoteTextChar">
    <w:name w:val="Footnote Text Char"/>
    <w:basedOn w:val="DefaultParagraphFont"/>
    <w:link w:val="FootnoteText"/>
    <w:uiPriority w:val="99"/>
    <w:semiHidden/>
    <w:rsid w:val="00914CD1"/>
    <w:rPr>
      <w:kern w:val="0"/>
      <w:sz w:val="20"/>
      <w:szCs w:val="20"/>
      <w:lang w:val="en-CA"/>
      <w14:ligatures w14:val="none"/>
    </w:rPr>
  </w:style>
  <w:style w:type="character" w:styleId="FootnoteReference">
    <w:name w:val="footnote reference"/>
    <w:basedOn w:val="DefaultParagraphFont"/>
    <w:uiPriority w:val="99"/>
    <w:semiHidden/>
    <w:unhideWhenUsed/>
    <w:rsid w:val="00914CD1"/>
    <w:rPr>
      <w:vertAlign w:val="superscript"/>
    </w:rPr>
  </w:style>
  <w:style w:type="paragraph" w:styleId="ListParagraph">
    <w:name w:val="List Paragraph"/>
    <w:basedOn w:val="Normal"/>
    <w:uiPriority w:val="34"/>
    <w:qFormat/>
    <w:rsid w:val="007D1523"/>
    <w:pPr>
      <w:ind w:left="720"/>
      <w:contextualSpacing/>
    </w:pPr>
  </w:style>
  <w:style w:type="character" w:styleId="CommentReference">
    <w:name w:val="annotation reference"/>
    <w:basedOn w:val="DefaultParagraphFont"/>
    <w:uiPriority w:val="99"/>
    <w:semiHidden/>
    <w:unhideWhenUsed/>
    <w:rsid w:val="00D32634"/>
    <w:rPr>
      <w:sz w:val="16"/>
      <w:szCs w:val="16"/>
    </w:rPr>
  </w:style>
  <w:style w:type="paragraph" w:styleId="CommentText">
    <w:name w:val="annotation text"/>
    <w:basedOn w:val="Normal"/>
    <w:link w:val="CommentTextChar"/>
    <w:uiPriority w:val="99"/>
    <w:unhideWhenUsed/>
    <w:rsid w:val="00D32634"/>
    <w:pPr>
      <w:spacing w:line="240" w:lineRule="auto"/>
    </w:pPr>
    <w:rPr>
      <w:sz w:val="20"/>
      <w:szCs w:val="20"/>
    </w:rPr>
  </w:style>
  <w:style w:type="character" w:customStyle="1" w:styleId="CommentTextChar">
    <w:name w:val="Comment Text Char"/>
    <w:basedOn w:val="DefaultParagraphFont"/>
    <w:link w:val="CommentText"/>
    <w:uiPriority w:val="99"/>
    <w:rsid w:val="00D32634"/>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32634"/>
    <w:rPr>
      <w:b/>
      <w:bCs/>
    </w:rPr>
  </w:style>
  <w:style w:type="character" w:customStyle="1" w:styleId="CommentSubjectChar">
    <w:name w:val="Comment Subject Char"/>
    <w:basedOn w:val="CommentTextChar"/>
    <w:link w:val="CommentSubject"/>
    <w:uiPriority w:val="99"/>
    <w:semiHidden/>
    <w:rsid w:val="00D32634"/>
    <w:rPr>
      <w:b/>
      <w:bCs/>
      <w:kern w:val="0"/>
      <w:sz w:val="20"/>
      <w:szCs w:val="20"/>
      <w14:ligatures w14:val="none"/>
    </w:rPr>
  </w:style>
  <w:style w:type="paragraph" w:styleId="Revision">
    <w:name w:val="Revision"/>
    <w:hidden/>
    <w:uiPriority w:val="99"/>
    <w:semiHidden/>
    <w:rsid w:val="00661C7D"/>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C3EF5-BB2A-4FDB-BD31-189C460A4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888</Words>
  <Characters>4495</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 Zhang</dc:creator>
  <cp:keywords/>
  <dc:description/>
  <cp:lastModifiedBy>Lizzie Zhang</cp:lastModifiedBy>
  <cp:revision>2</cp:revision>
  <dcterms:created xsi:type="dcterms:W3CDTF">2024-01-17T20:14:00Z</dcterms:created>
  <dcterms:modified xsi:type="dcterms:W3CDTF">2024-01-17T20:14:00Z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9f9142a5-b743-4673-abf3-a47101d3abb8</vt:lpwstr>
  </property>
</Properties>
</file>