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99854" w14:textId="77777777" w:rsidR="00934A95" w:rsidRPr="00690864" w:rsidRDefault="00934A95" w:rsidP="00934A95">
      <w:pPr>
        <w:spacing w:after="0" w:line="240" w:lineRule="auto"/>
        <w:jc w:val="center"/>
        <w:rPr>
          <w:rFonts w:ascii="Arial" w:hAnsi="Arial" w:cs="Arial"/>
          <w:b/>
          <w:bCs/>
          <w:sz w:val="28"/>
          <w:szCs w:val="28"/>
        </w:rPr>
      </w:pPr>
      <w:r>
        <w:rPr>
          <w:rFonts w:ascii="Arial" w:hAnsi="Arial" w:cs="Arial"/>
          <w:b/>
          <w:bCs/>
          <w:sz w:val="28"/>
          <w:szCs w:val="28"/>
        </w:rPr>
        <w:t>Hearst Power Distribution Co. Ltd</w:t>
      </w:r>
      <w:r w:rsidRPr="00690864">
        <w:rPr>
          <w:rFonts w:ascii="Arial" w:hAnsi="Arial" w:cs="Arial"/>
          <w:b/>
          <w:bCs/>
          <w:sz w:val="28"/>
          <w:szCs w:val="28"/>
        </w:rPr>
        <w:t>. (</w:t>
      </w:r>
      <w:r>
        <w:rPr>
          <w:rFonts w:ascii="Arial" w:hAnsi="Arial" w:cs="Arial"/>
          <w:b/>
          <w:bCs/>
          <w:sz w:val="28"/>
          <w:szCs w:val="28"/>
        </w:rPr>
        <w:t>Hearst Power</w:t>
      </w:r>
      <w:r w:rsidRPr="00690864">
        <w:rPr>
          <w:rFonts w:ascii="Arial" w:hAnsi="Arial" w:cs="Arial"/>
          <w:b/>
          <w:bCs/>
          <w:sz w:val="28"/>
          <w:szCs w:val="28"/>
        </w:rPr>
        <w:t>)</w:t>
      </w:r>
    </w:p>
    <w:p w14:paraId="60059120" w14:textId="4F8BD7A8" w:rsidR="00934A95" w:rsidRPr="00690864" w:rsidRDefault="003C6CF9" w:rsidP="00934A95">
      <w:pPr>
        <w:spacing w:after="0" w:line="240" w:lineRule="auto"/>
        <w:jc w:val="center"/>
        <w:rPr>
          <w:rFonts w:ascii="Arial" w:hAnsi="Arial" w:cs="Arial"/>
          <w:b/>
          <w:bCs/>
          <w:sz w:val="28"/>
          <w:szCs w:val="28"/>
        </w:rPr>
      </w:pPr>
      <w:r>
        <w:rPr>
          <w:rFonts w:ascii="Arial" w:hAnsi="Arial" w:cs="Arial"/>
          <w:b/>
          <w:bCs/>
          <w:sz w:val="28"/>
          <w:szCs w:val="28"/>
        </w:rPr>
        <w:t xml:space="preserve">Follow-up </w:t>
      </w:r>
      <w:r w:rsidR="00934A95" w:rsidRPr="00690864">
        <w:rPr>
          <w:rFonts w:ascii="Arial" w:hAnsi="Arial" w:cs="Arial"/>
          <w:b/>
          <w:bCs/>
          <w:sz w:val="28"/>
          <w:szCs w:val="28"/>
        </w:rPr>
        <w:t>Staff Questions</w:t>
      </w:r>
    </w:p>
    <w:p w14:paraId="509D64D2" w14:textId="4C9711D4" w:rsidR="00934A95" w:rsidRPr="00690864" w:rsidRDefault="00934A95" w:rsidP="00934A95">
      <w:pPr>
        <w:spacing w:after="0" w:line="240" w:lineRule="auto"/>
        <w:jc w:val="center"/>
        <w:rPr>
          <w:rFonts w:ascii="Arial" w:hAnsi="Arial" w:cs="Arial"/>
          <w:b/>
          <w:bCs/>
          <w:sz w:val="28"/>
          <w:szCs w:val="28"/>
        </w:rPr>
      </w:pPr>
      <w:r w:rsidRPr="00690864">
        <w:rPr>
          <w:rFonts w:ascii="Arial" w:hAnsi="Arial" w:cs="Arial"/>
          <w:b/>
          <w:bCs/>
          <w:sz w:val="28"/>
          <w:szCs w:val="28"/>
        </w:rPr>
        <w:t xml:space="preserve">January </w:t>
      </w:r>
      <w:r>
        <w:rPr>
          <w:rFonts w:ascii="Arial" w:hAnsi="Arial" w:cs="Arial"/>
          <w:b/>
          <w:bCs/>
          <w:sz w:val="28"/>
          <w:szCs w:val="28"/>
        </w:rPr>
        <w:t>29</w:t>
      </w:r>
      <w:r w:rsidRPr="00690864">
        <w:rPr>
          <w:rFonts w:ascii="Arial" w:hAnsi="Arial" w:cs="Arial"/>
          <w:b/>
          <w:bCs/>
          <w:sz w:val="28"/>
          <w:szCs w:val="28"/>
        </w:rPr>
        <w:t>, 2024</w:t>
      </w:r>
    </w:p>
    <w:p w14:paraId="4131B138" w14:textId="77777777" w:rsidR="00934A95" w:rsidRPr="00690864" w:rsidRDefault="00934A95" w:rsidP="00934A95">
      <w:pPr>
        <w:spacing w:after="0" w:line="240" w:lineRule="auto"/>
        <w:rPr>
          <w:rFonts w:ascii="Arial" w:hAnsi="Arial" w:cs="Arial"/>
          <w:b/>
          <w:bCs/>
        </w:rPr>
      </w:pPr>
    </w:p>
    <w:p w14:paraId="2A687E86" w14:textId="77777777" w:rsidR="00934A95" w:rsidRPr="00690864" w:rsidRDefault="00934A95" w:rsidP="00934A95">
      <w:pPr>
        <w:spacing w:after="0" w:line="240" w:lineRule="auto"/>
        <w:rPr>
          <w:rFonts w:ascii="Arial" w:hAnsi="Arial" w:cs="Arial"/>
          <w:sz w:val="24"/>
          <w:szCs w:val="24"/>
        </w:rPr>
      </w:pPr>
      <w:r w:rsidRPr="00690864">
        <w:rPr>
          <w:rFonts w:ascii="Arial" w:hAnsi="Arial" w:cs="Arial"/>
          <w:sz w:val="24"/>
          <w:szCs w:val="24"/>
        </w:rPr>
        <w:t xml:space="preserve">Please note, that </w:t>
      </w:r>
      <w:r>
        <w:rPr>
          <w:rFonts w:ascii="Arial" w:hAnsi="Arial" w:cs="Arial"/>
          <w:sz w:val="24"/>
          <w:szCs w:val="24"/>
        </w:rPr>
        <w:t>Hearst Power</w:t>
      </w:r>
      <w:r w:rsidRPr="00690864">
        <w:rPr>
          <w:rFonts w:ascii="Arial"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Freedom of Information and Protection of Privacy Act), unless filed in accordance with rule 9A of the OEB’s Rules of Practice and Procedure.</w:t>
      </w:r>
    </w:p>
    <w:p w14:paraId="6FD0B36F" w14:textId="77777777" w:rsidR="006E18CF" w:rsidRDefault="006E18CF"/>
    <w:p w14:paraId="0D94C194" w14:textId="14C81962" w:rsidR="00210DB9" w:rsidRPr="001F16A3" w:rsidRDefault="00210DB9" w:rsidP="00210DB9">
      <w:pPr>
        <w:spacing w:after="0"/>
        <w:rPr>
          <w:rFonts w:ascii="Arial" w:hAnsi="Arial" w:cs="Arial"/>
          <w:b/>
          <w:sz w:val="24"/>
          <w:szCs w:val="24"/>
        </w:rPr>
      </w:pPr>
      <w:r w:rsidRPr="001F16A3">
        <w:rPr>
          <w:rFonts w:ascii="Arial" w:hAnsi="Arial" w:cs="Arial"/>
          <w:b/>
          <w:sz w:val="24"/>
          <w:szCs w:val="24"/>
        </w:rPr>
        <w:t>Staff Question</w:t>
      </w:r>
      <w:r>
        <w:rPr>
          <w:rFonts w:ascii="Arial" w:hAnsi="Arial" w:cs="Arial"/>
          <w:b/>
          <w:sz w:val="24"/>
          <w:szCs w:val="24"/>
        </w:rPr>
        <w:t xml:space="preserve"> 9</w:t>
      </w:r>
    </w:p>
    <w:p w14:paraId="1ED31313" w14:textId="77777777" w:rsidR="00210DB9" w:rsidRPr="001F16A3" w:rsidRDefault="00210DB9" w:rsidP="00210DB9">
      <w:pPr>
        <w:spacing w:after="0"/>
        <w:rPr>
          <w:rFonts w:ascii="Arial" w:hAnsi="Arial" w:cs="Arial"/>
          <w:b/>
          <w:sz w:val="24"/>
          <w:szCs w:val="24"/>
        </w:rPr>
      </w:pPr>
    </w:p>
    <w:p w14:paraId="228F7E3F" w14:textId="7E784A23" w:rsidR="00210DB9" w:rsidRPr="000D1A5A" w:rsidRDefault="00210DB9" w:rsidP="00210DB9">
      <w:pPr>
        <w:spacing w:after="0"/>
        <w:rPr>
          <w:rFonts w:ascii="Arial" w:hAnsi="Arial" w:cs="Arial"/>
          <w:b/>
          <w:sz w:val="24"/>
          <w:szCs w:val="24"/>
        </w:rPr>
      </w:pPr>
      <w:r w:rsidRPr="000D1A5A">
        <w:rPr>
          <w:rFonts w:ascii="Arial" w:hAnsi="Arial" w:cs="Arial"/>
          <w:b/>
          <w:sz w:val="24"/>
          <w:szCs w:val="24"/>
        </w:rPr>
        <w:t xml:space="preserve">Ref </w:t>
      </w:r>
      <w:r w:rsidR="002F4743">
        <w:rPr>
          <w:rFonts w:ascii="Arial" w:hAnsi="Arial" w:cs="Arial"/>
          <w:b/>
          <w:sz w:val="24"/>
          <w:szCs w:val="24"/>
        </w:rPr>
        <w:t>1</w:t>
      </w:r>
      <w:r w:rsidRPr="000D1A5A">
        <w:rPr>
          <w:rFonts w:ascii="Arial" w:hAnsi="Arial" w:cs="Arial"/>
          <w:b/>
          <w:sz w:val="24"/>
          <w:szCs w:val="24"/>
        </w:rPr>
        <w:t>: 2024 IRM GA Analysis Workform, Tab Account 1588, Cells G20 &amp; H20</w:t>
      </w:r>
      <w:r w:rsidRPr="000D1A5A">
        <w:rPr>
          <w:rFonts w:ascii="Arial" w:hAnsi="Arial" w:cs="Arial"/>
          <w:b/>
          <w:sz w:val="24"/>
          <w:szCs w:val="24"/>
        </w:rPr>
        <w:br/>
      </w:r>
      <w:r w:rsidRPr="002F4743">
        <w:rPr>
          <w:rFonts w:ascii="Arial" w:hAnsi="Arial" w:cs="Arial"/>
          <w:b/>
          <w:bCs/>
          <w:sz w:val="24"/>
          <w:szCs w:val="24"/>
        </w:rPr>
        <w:t xml:space="preserve">Ref 2: </w:t>
      </w:r>
      <w:hyperlink r:id="rId7" w:history="1">
        <w:r w:rsidRPr="002F4743">
          <w:rPr>
            <w:rStyle w:val="Hyperlink"/>
            <w:rFonts w:ascii="Arial" w:hAnsi="Arial" w:cs="Arial"/>
            <w:b/>
            <w:bCs/>
            <w:sz w:val="24"/>
            <w:szCs w:val="24"/>
          </w:rPr>
          <w:t>Chapter 3 Filing Requirements for Electricity Distributors (oeb.ca)</w:t>
        </w:r>
      </w:hyperlink>
      <w:r w:rsidRPr="002F4743">
        <w:rPr>
          <w:rFonts w:ascii="Arial" w:hAnsi="Arial" w:cs="Arial"/>
          <w:b/>
          <w:bCs/>
          <w:sz w:val="24"/>
          <w:szCs w:val="24"/>
        </w:rPr>
        <w:t>, p13</w:t>
      </w:r>
    </w:p>
    <w:p w14:paraId="75EAEF28" w14:textId="77777777" w:rsidR="00210DB9" w:rsidRPr="000D1A5A" w:rsidRDefault="00210DB9" w:rsidP="00210DB9">
      <w:pPr>
        <w:spacing w:after="0"/>
        <w:rPr>
          <w:rFonts w:ascii="Arial" w:hAnsi="Arial" w:cs="Arial"/>
          <w:bCs/>
          <w:sz w:val="24"/>
          <w:szCs w:val="24"/>
        </w:rPr>
      </w:pPr>
    </w:p>
    <w:p w14:paraId="50E5BB2E" w14:textId="77777777" w:rsidR="00210DB9" w:rsidRPr="000D1A5A" w:rsidRDefault="00210DB9" w:rsidP="00210DB9">
      <w:pPr>
        <w:spacing w:after="0"/>
        <w:rPr>
          <w:rFonts w:ascii="Arial" w:hAnsi="Arial" w:cs="Arial"/>
          <w:bCs/>
          <w:sz w:val="24"/>
          <w:szCs w:val="24"/>
        </w:rPr>
      </w:pPr>
      <w:r w:rsidRPr="000D1A5A">
        <w:rPr>
          <w:rFonts w:ascii="Arial" w:hAnsi="Arial" w:cs="Arial"/>
          <w:bCs/>
          <w:sz w:val="24"/>
          <w:szCs w:val="24"/>
        </w:rPr>
        <w:t>Reference 2 Cell H20 states that “The annual Account 1588 balance relative to cost of power is expected to be small. If it is greater than +/-1%, provide an explanation in the text box below.”</w:t>
      </w:r>
    </w:p>
    <w:p w14:paraId="184AB20C" w14:textId="77777777" w:rsidR="00210DB9" w:rsidRPr="000D1A5A" w:rsidRDefault="00210DB9" w:rsidP="00210DB9">
      <w:pPr>
        <w:spacing w:after="0"/>
        <w:rPr>
          <w:rFonts w:ascii="Arial" w:hAnsi="Arial" w:cs="Arial"/>
          <w:bCs/>
          <w:sz w:val="24"/>
          <w:szCs w:val="24"/>
        </w:rPr>
      </w:pPr>
    </w:p>
    <w:p w14:paraId="049D4424" w14:textId="77777777" w:rsidR="00210DB9" w:rsidRPr="000D1A5A" w:rsidRDefault="00210DB9" w:rsidP="00210DB9">
      <w:pPr>
        <w:spacing w:after="0"/>
        <w:rPr>
          <w:rFonts w:ascii="Arial" w:hAnsi="Arial" w:cs="Arial"/>
          <w:bCs/>
          <w:sz w:val="24"/>
          <w:szCs w:val="24"/>
        </w:rPr>
      </w:pPr>
      <w:r w:rsidRPr="000D1A5A">
        <w:rPr>
          <w:rFonts w:ascii="Arial" w:hAnsi="Arial" w:cs="Arial"/>
          <w:bCs/>
          <w:sz w:val="24"/>
          <w:szCs w:val="24"/>
        </w:rPr>
        <w:t>Reference 3 states that “To further support a conclusion that GA charges have been appropriately allocated between customer classes, distributors must also perform a reasonability test for Account 1588. “</w:t>
      </w:r>
    </w:p>
    <w:p w14:paraId="204BBB06" w14:textId="77777777" w:rsidR="00210DB9" w:rsidRPr="000D1A5A" w:rsidRDefault="00210DB9" w:rsidP="00210DB9">
      <w:pPr>
        <w:spacing w:after="0"/>
        <w:rPr>
          <w:rFonts w:ascii="Arial" w:hAnsi="Arial" w:cs="Arial"/>
          <w:bCs/>
          <w:sz w:val="24"/>
          <w:szCs w:val="24"/>
        </w:rPr>
      </w:pPr>
    </w:p>
    <w:p w14:paraId="14529386" w14:textId="77777777" w:rsidR="00210DB9" w:rsidRPr="000D1A5A" w:rsidRDefault="00210DB9" w:rsidP="00210DB9">
      <w:pPr>
        <w:spacing w:after="0"/>
        <w:rPr>
          <w:rFonts w:ascii="Arial" w:hAnsi="Arial" w:cs="Arial"/>
          <w:bCs/>
          <w:sz w:val="24"/>
          <w:szCs w:val="24"/>
        </w:rPr>
      </w:pPr>
      <w:r w:rsidRPr="000D1A5A">
        <w:rPr>
          <w:rFonts w:ascii="Arial" w:hAnsi="Arial" w:cs="Arial"/>
          <w:bCs/>
          <w:sz w:val="24"/>
          <w:szCs w:val="24"/>
        </w:rPr>
        <w:t>Question(s):</w:t>
      </w:r>
    </w:p>
    <w:p w14:paraId="3EF233F4" w14:textId="77777777" w:rsidR="00210DB9" w:rsidRPr="000D1A5A" w:rsidRDefault="00210DB9" w:rsidP="00210DB9">
      <w:pPr>
        <w:spacing w:after="0"/>
        <w:rPr>
          <w:rFonts w:ascii="Arial" w:hAnsi="Arial" w:cs="Arial"/>
          <w:b/>
          <w:sz w:val="24"/>
          <w:szCs w:val="24"/>
        </w:rPr>
      </w:pPr>
    </w:p>
    <w:p w14:paraId="6CBFDAED" w14:textId="77777777" w:rsidR="00210DB9" w:rsidRPr="000D1A5A" w:rsidRDefault="00210DB9" w:rsidP="00210DB9">
      <w:pPr>
        <w:pStyle w:val="ListParagraph"/>
        <w:numPr>
          <w:ilvl w:val="0"/>
          <w:numId w:val="1"/>
        </w:numPr>
        <w:spacing w:after="0"/>
        <w:rPr>
          <w:rFonts w:ascii="Arial" w:hAnsi="Arial" w:cs="Arial"/>
          <w:bCs/>
          <w:sz w:val="24"/>
          <w:szCs w:val="24"/>
        </w:rPr>
      </w:pPr>
      <w:r w:rsidRPr="000D1A5A">
        <w:rPr>
          <w:rFonts w:ascii="Arial" w:hAnsi="Arial" w:cs="Arial"/>
          <w:bCs/>
          <w:sz w:val="24"/>
          <w:szCs w:val="24"/>
        </w:rPr>
        <w:t>Please explain why Hearst Power's Account 1588 variance of 2.1% is much greater than the 1% threshold.</w:t>
      </w:r>
    </w:p>
    <w:p w14:paraId="173E9449" w14:textId="77777777" w:rsidR="00210DB9" w:rsidRPr="000D1A5A" w:rsidRDefault="00210DB9" w:rsidP="00210DB9">
      <w:pPr>
        <w:pStyle w:val="ListParagraph"/>
        <w:numPr>
          <w:ilvl w:val="0"/>
          <w:numId w:val="1"/>
        </w:numPr>
        <w:spacing w:after="0"/>
        <w:rPr>
          <w:rFonts w:ascii="Arial" w:hAnsi="Arial" w:cs="Arial"/>
          <w:bCs/>
          <w:sz w:val="24"/>
          <w:szCs w:val="24"/>
        </w:rPr>
      </w:pPr>
      <w:r w:rsidRPr="000D1A5A">
        <w:rPr>
          <w:rFonts w:ascii="Arial" w:hAnsi="Arial" w:cs="Arial"/>
          <w:bCs/>
          <w:sz w:val="24"/>
          <w:szCs w:val="24"/>
        </w:rPr>
        <w:t>Please confirm the split of the IESO Charge Type CT148 between the Account 1588 and 1589 balances is correct. If not confirmed, please revise the schedules as needed.</w:t>
      </w:r>
    </w:p>
    <w:p w14:paraId="56CB746F" w14:textId="77777777" w:rsidR="00210DB9" w:rsidRDefault="00210DB9" w:rsidP="00210DB9">
      <w:pPr>
        <w:pStyle w:val="ListParagraph"/>
        <w:numPr>
          <w:ilvl w:val="0"/>
          <w:numId w:val="1"/>
        </w:numPr>
        <w:spacing w:after="0"/>
        <w:rPr>
          <w:rFonts w:ascii="Arial" w:hAnsi="Arial" w:cs="Arial"/>
          <w:bCs/>
          <w:sz w:val="24"/>
          <w:szCs w:val="24"/>
        </w:rPr>
      </w:pPr>
      <w:r w:rsidRPr="000D1A5A">
        <w:rPr>
          <w:rFonts w:ascii="Arial" w:hAnsi="Arial" w:cs="Arial"/>
          <w:bCs/>
          <w:sz w:val="24"/>
          <w:szCs w:val="24"/>
        </w:rPr>
        <w:t>Please also confirm the RPP portion of CT 148 is correctly captured in Account 4705.  If not confirmed, please revise the schedules as needed.</w:t>
      </w:r>
    </w:p>
    <w:p w14:paraId="563E9DD7" w14:textId="52BD7F7E" w:rsidR="003C35A5" w:rsidRDefault="00210DB9" w:rsidP="00210DB9">
      <w:pPr>
        <w:pStyle w:val="ListParagraph"/>
        <w:numPr>
          <w:ilvl w:val="0"/>
          <w:numId w:val="1"/>
        </w:numPr>
        <w:spacing w:after="0"/>
        <w:rPr>
          <w:rFonts w:ascii="Arial" w:hAnsi="Arial" w:cs="Arial"/>
          <w:bCs/>
          <w:sz w:val="24"/>
          <w:szCs w:val="24"/>
        </w:rPr>
      </w:pPr>
      <w:r w:rsidRPr="002A75A0">
        <w:rPr>
          <w:rFonts w:ascii="Arial" w:hAnsi="Arial" w:cs="Arial"/>
          <w:bCs/>
          <w:sz w:val="24"/>
          <w:szCs w:val="24"/>
        </w:rPr>
        <w:t>OE</w:t>
      </w:r>
      <w:r>
        <w:rPr>
          <w:rFonts w:ascii="Arial" w:hAnsi="Arial" w:cs="Arial"/>
          <w:bCs/>
          <w:sz w:val="24"/>
          <w:szCs w:val="24"/>
        </w:rPr>
        <w:t>B</w:t>
      </w:r>
      <w:r w:rsidRPr="002A75A0">
        <w:rPr>
          <w:rFonts w:ascii="Arial" w:hAnsi="Arial" w:cs="Arial"/>
          <w:bCs/>
          <w:sz w:val="24"/>
          <w:szCs w:val="24"/>
        </w:rPr>
        <w:t xml:space="preserve"> staff noted that large balances are not expected for Account 1588</w:t>
      </w:r>
      <w:r>
        <w:rPr>
          <w:rFonts w:ascii="Arial" w:hAnsi="Arial" w:cs="Arial"/>
          <w:bCs/>
          <w:sz w:val="24"/>
          <w:szCs w:val="24"/>
        </w:rPr>
        <w:t>,</w:t>
      </w:r>
      <w:r w:rsidRPr="002A75A0">
        <w:rPr>
          <w:rFonts w:ascii="Arial" w:hAnsi="Arial" w:cs="Arial"/>
          <w:bCs/>
          <w:sz w:val="24"/>
          <w:szCs w:val="24"/>
        </w:rPr>
        <w:t xml:space="preserve"> as it should only hold the variance between commodity costs based on actual line losses and commodity revenues</w:t>
      </w:r>
      <w:r>
        <w:rPr>
          <w:rFonts w:ascii="Arial" w:hAnsi="Arial" w:cs="Arial"/>
          <w:bCs/>
          <w:sz w:val="24"/>
          <w:szCs w:val="24"/>
        </w:rPr>
        <w:t xml:space="preserve"> </w:t>
      </w:r>
      <w:r w:rsidRPr="002A75A0">
        <w:rPr>
          <w:rFonts w:ascii="Arial" w:hAnsi="Arial" w:cs="Arial"/>
          <w:bCs/>
          <w:sz w:val="24"/>
          <w:szCs w:val="24"/>
        </w:rPr>
        <w:t>calculated based on approved line losses</w:t>
      </w:r>
      <w:r>
        <w:rPr>
          <w:rFonts w:ascii="Arial" w:hAnsi="Arial" w:cs="Arial"/>
          <w:bCs/>
          <w:sz w:val="24"/>
          <w:szCs w:val="24"/>
        </w:rPr>
        <w:t xml:space="preserve">.  Please confirm that the actual line loss is the same as the approved line loss of 1.0598.  If not confirmed, please explain whether Hearst Power is going to address </w:t>
      </w:r>
      <w:r w:rsidR="00A9412F">
        <w:rPr>
          <w:rFonts w:ascii="Arial" w:hAnsi="Arial" w:cs="Arial"/>
          <w:bCs/>
          <w:sz w:val="24"/>
          <w:szCs w:val="24"/>
        </w:rPr>
        <w:t>its</w:t>
      </w:r>
      <w:r>
        <w:rPr>
          <w:rFonts w:ascii="Arial" w:hAnsi="Arial" w:cs="Arial"/>
          <w:bCs/>
          <w:sz w:val="24"/>
          <w:szCs w:val="24"/>
        </w:rPr>
        <w:t xml:space="preserve"> loss factor changes in </w:t>
      </w:r>
      <w:r w:rsidR="00A9412F">
        <w:rPr>
          <w:rFonts w:ascii="Arial" w:hAnsi="Arial" w:cs="Arial"/>
          <w:bCs/>
          <w:sz w:val="24"/>
          <w:szCs w:val="24"/>
        </w:rPr>
        <w:t>the next</w:t>
      </w:r>
      <w:r>
        <w:rPr>
          <w:rFonts w:ascii="Arial" w:hAnsi="Arial" w:cs="Arial"/>
          <w:bCs/>
          <w:sz w:val="24"/>
          <w:szCs w:val="24"/>
        </w:rPr>
        <w:t xml:space="preserve"> Cost of Services application.       </w:t>
      </w:r>
    </w:p>
    <w:p w14:paraId="4AD0EDF9" w14:textId="77777777" w:rsidR="003C35A5" w:rsidRDefault="003C35A5">
      <w:pPr>
        <w:rPr>
          <w:rFonts w:ascii="Arial" w:hAnsi="Arial" w:cs="Arial"/>
          <w:bCs/>
          <w:sz w:val="24"/>
          <w:szCs w:val="24"/>
          <w:lang w:val="en-CA"/>
        </w:rPr>
      </w:pPr>
      <w:r>
        <w:rPr>
          <w:rFonts w:ascii="Arial" w:hAnsi="Arial" w:cs="Arial"/>
          <w:bCs/>
          <w:sz w:val="24"/>
          <w:szCs w:val="24"/>
        </w:rPr>
        <w:br w:type="page"/>
      </w:r>
    </w:p>
    <w:p w14:paraId="00D25C86" w14:textId="0B06F465" w:rsidR="003C35A5" w:rsidRDefault="003C35A5" w:rsidP="003C35A5">
      <w:pPr>
        <w:spacing w:line="240" w:lineRule="auto"/>
        <w:contextualSpacing/>
        <w:jc w:val="both"/>
        <w:rPr>
          <w:rFonts w:ascii="Arial" w:hAnsi="Arial" w:cs="Arial"/>
          <w:b/>
          <w:bCs/>
          <w:color w:val="0070C0"/>
          <w:sz w:val="24"/>
          <w:szCs w:val="24"/>
        </w:rPr>
      </w:pPr>
      <w:r w:rsidRPr="00954DFE">
        <w:rPr>
          <w:rFonts w:ascii="Arial" w:hAnsi="Arial" w:cs="Arial"/>
          <w:b/>
          <w:bCs/>
          <w:color w:val="0070C0"/>
          <w:sz w:val="24"/>
          <w:szCs w:val="24"/>
        </w:rPr>
        <w:lastRenderedPageBreak/>
        <w:t xml:space="preserve">Response: </w:t>
      </w:r>
    </w:p>
    <w:p w14:paraId="6DB5A7F8" w14:textId="314695B7" w:rsidR="003C35A5" w:rsidRDefault="003C35A5" w:rsidP="003C35A5">
      <w:pPr>
        <w:pStyle w:val="ListParagraph"/>
        <w:numPr>
          <w:ilvl w:val="0"/>
          <w:numId w:val="5"/>
        </w:numPr>
        <w:spacing w:line="240" w:lineRule="auto"/>
        <w:jc w:val="both"/>
        <w:rPr>
          <w:rFonts w:ascii="Arial" w:hAnsi="Arial" w:cs="Arial"/>
          <w:b/>
          <w:bCs/>
          <w:color w:val="0070C0"/>
          <w:sz w:val="24"/>
          <w:szCs w:val="24"/>
        </w:rPr>
      </w:pPr>
      <w:r>
        <w:rPr>
          <w:rFonts w:ascii="Arial" w:hAnsi="Arial" w:cs="Arial"/>
          <w:b/>
          <w:bCs/>
          <w:color w:val="0070C0"/>
          <w:sz w:val="24"/>
          <w:szCs w:val="24"/>
        </w:rPr>
        <w:t xml:space="preserve">Please refer to </w:t>
      </w:r>
      <w:r w:rsidR="00570252">
        <w:rPr>
          <w:rFonts w:ascii="Arial" w:hAnsi="Arial" w:cs="Arial"/>
          <w:b/>
          <w:bCs/>
          <w:color w:val="0070C0"/>
          <w:sz w:val="24"/>
          <w:szCs w:val="24"/>
        </w:rPr>
        <w:t>a</w:t>
      </w:r>
      <w:r>
        <w:rPr>
          <w:rFonts w:ascii="Arial" w:hAnsi="Arial" w:cs="Arial"/>
          <w:b/>
          <w:bCs/>
          <w:color w:val="0070C0"/>
          <w:sz w:val="24"/>
          <w:szCs w:val="24"/>
        </w:rPr>
        <w:t>nswer of OEB Staff Question 4 for a thorough answer.</w:t>
      </w:r>
    </w:p>
    <w:p w14:paraId="0AE5FD99" w14:textId="5E9AF690" w:rsidR="003C35A5" w:rsidRDefault="003C35A5" w:rsidP="003C35A5">
      <w:pPr>
        <w:pStyle w:val="ListParagraph"/>
        <w:numPr>
          <w:ilvl w:val="0"/>
          <w:numId w:val="5"/>
        </w:numPr>
        <w:spacing w:line="240" w:lineRule="auto"/>
        <w:jc w:val="both"/>
        <w:rPr>
          <w:rFonts w:ascii="Arial" w:hAnsi="Arial" w:cs="Arial"/>
          <w:b/>
          <w:bCs/>
          <w:color w:val="0070C0"/>
          <w:sz w:val="24"/>
          <w:szCs w:val="24"/>
        </w:rPr>
      </w:pPr>
      <w:r>
        <w:rPr>
          <w:rFonts w:ascii="Arial" w:hAnsi="Arial" w:cs="Arial"/>
          <w:b/>
          <w:bCs/>
          <w:color w:val="0070C0"/>
          <w:sz w:val="24"/>
          <w:szCs w:val="24"/>
        </w:rPr>
        <w:t>Hearst Power confirms that the split between CT148 is correct.</w:t>
      </w:r>
    </w:p>
    <w:p w14:paraId="540CAC4C" w14:textId="67B67B09" w:rsidR="003C35A5" w:rsidRDefault="003C35A5" w:rsidP="003C35A5">
      <w:pPr>
        <w:pStyle w:val="ListParagraph"/>
        <w:numPr>
          <w:ilvl w:val="0"/>
          <w:numId w:val="5"/>
        </w:numPr>
        <w:spacing w:line="240" w:lineRule="auto"/>
        <w:jc w:val="both"/>
        <w:rPr>
          <w:rFonts w:ascii="Arial" w:hAnsi="Arial" w:cs="Arial"/>
          <w:b/>
          <w:bCs/>
          <w:color w:val="0070C0"/>
          <w:sz w:val="24"/>
          <w:szCs w:val="24"/>
        </w:rPr>
      </w:pPr>
      <w:r>
        <w:rPr>
          <w:rFonts w:ascii="Arial" w:hAnsi="Arial" w:cs="Arial"/>
          <w:b/>
          <w:bCs/>
          <w:color w:val="0070C0"/>
          <w:sz w:val="24"/>
          <w:szCs w:val="24"/>
        </w:rPr>
        <w:t>Hearst Power confirms that RPP portion of CT148 is captured correctly.</w:t>
      </w:r>
    </w:p>
    <w:p w14:paraId="3AA2330D" w14:textId="11254859" w:rsidR="00210DB9" w:rsidRPr="003C35A5" w:rsidRDefault="003C35A5" w:rsidP="003C35A5">
      <w:pPr>
        <w:pStyle w:val="ListParagraph"/>
        <w:numPr>
          <w:ilvl w:val="0"/>
          <w:numId w:val="5"/>
        </w:numPr>
        <w:spacing w:line="240" w:lineRule="auto"/>
        <w:jc w:val="both"/>
        <w:rPr>
          <w:rFonts w:ascii="Arial" w:hAnsi="Arial" w:cs="Arial"/>
          <w:b/>
          <w:bCs/>
          <w:color w:val="0070C0"/>
          <w:sz w:val="24"/>
          <w:szCs w:val="24"/>
        </w:rPr>
      </w:pPr>
      <w:r>
        <w:rPr>
          <w:rFonts w:ascii="Arial" w:hAnsi="Arial" w:cs="Arial"/>
          <w:b/>
          <w:bCs/>
          <w:color w:val="0070C0"/>
          <w:sz w:val="24"/>
          <w:szCs w:val="24"/>
        </w:rPr>
        <w:t>The variance is directly related to volume due to higher line loss value set in the 2021 Cost of Service application.  The loss factor will be addressed in the next COS application.</w:t>
      </w:r>
    </w:p>
    <w:p w14:paraId="3F140D17" w14:textId="690681F0" w:rsidR="00A9412F" w:rsidRPr="001F16A3" w:rsidRDefault="00A9412F" w:rsidP="00A9412F">
      <w:pPr>
        <w:spacing w:after="0"/>
        <w:rPr>
          <w:rFonts w:ascii="Arial" w:hAnsi="Arial" w:cs="Arial"/>
          <w:b/>
          <w:sz w:val="24"/>
          <w:szCs w:val="24"/>
        </w:rPr>
      </w:pPr>
      <w:r w:rsidRPr="001F16A3">
        <w:rPr>
          <w:rFonts w:ascii="Arial" w:hAnsi="Arial" w:cs="Arial"/>
          <w:b/>
          <w:sz w:val="24"/>
          <w:szCs w:val="24"/>
        </w:rPr>
        <w:t>Staff Question</w:t>
      </w:r>
      <w:r>
        <w:rPr>
          <w:rFonts w:ascii="Arial" w:hAnsi="Arial" w:cs="Arial"/>
          <w:b/>
          <w:sz w:val="24"/>
          <w:szCs w:val="24"/>
        </w:rPr>
        <w:t xml:space="preserve"> 10</w:t>
      </w:r>
    </w:p>
    <w:p w14:paraId="7F47027E" w14:textId="77777777" w:rsidR="00A9412F" w:rsidRPr="001F16A3" w:rsidRDefault="00A9412F" w:rsidP="00A9412F">
      <w:pPr>
        <w:spacing w:after="0"/>
        <w:rPr>
          <w:rFonts w:ascii="Arial" w:hAnsi="Arial" w:cs="Arial"/>
          <w:b/>
          <w:sz w:val="24"/>
          <w:szCs w:val="24"/>
        </w:rPr>
      </w:pPr>
    </w:p>
    <w:p w14:paraId="4A687EC9" w14:textId="77777777" w:rsidR="00A9412F" w:rsidRPr="00A9412F" w:rsidRDefault="00A9412F" w:rsidP="00A9412F">
      <w:pPr>
        <w:spacing w:line="240" w:lineRule="auto"/>
        <w:contextualSpacing/>
        <w:jc w:val="both"/>
        <w:rPr>
          <w:rFonts w:ascii="Arial" w:hAnsi="Arial" w:cs="Arial"/>
          <w:b/>
          <w:sz w:val="24"/>
          <w:szCs w:val="24"/>
        </w:rPr>
      </w:pPr>
      <w:r w:rsidRPr="00A9412F">
        <w:rPr>
          <w:rFonts w:ascii="Arial" w:hAnsi="Arial" w:cs="Arial"/>
          <w:b/>
          <w:sz w:val="24"/>
          <w:szCs w:val="24"/>
        </w:rPr>
        <w:t>Ref: 2024 IRM Rate Generator Model, Tabs 11, 20</w:t>
      </w:r>
    </w:p>
    <w:p w14:paraId="25D4B246" w14:textId="77777777" w:rsidR="00A9412F" w:rsidRPr="00A9412F" w:rsidRDefault="00A9412F" w:rsidP="00A9412F">
      <w:pPr>
        <w:spacing w:line="240" w:lineRule="auto"/>
        <w:contextualSpacing/>
        <w:jc w:val="both"/>
        <w:rPr>
          <w:rFonts w:ascii="Arial" w:hAnsi="Arial" w:cs="Arial"/>
          <w:bCs/>
          <w:sz w:val="24"/>
          <w:szCs w:val="24"/>
        </w:rPr>
      </w:pPr>
    </w:p>
    <w:p w14:paraId="6BC7E551" w14:textId="01E4EBF9" w:rsidR="00A9412F" w:rsidRPr="00A9412F" w:rsidRDefault="00A9412F" w:rsidP="00A9412F">
      <w:pPr>
        <w:spacing w:line="256" w:lineRule="auto"/>
        <w:rPr>
          <w:rFonts w:ascii="Arial" w:hAnsi="Arial" w:cs="Arial"/>
          <w:bCs/>
          <w:sz w:val="24"/>
          <w:szCs w:val="24"/>
        </w:rPr>
      </w:pPr>
      <w:r w:rsidRPr="00A9412F">
        <w:rPr>
          <w:rFonts w:ascii="Arial" w:hAnsi="Arial" w:cs="Arial"/>
          <w:bCs/>
          <w:sz w:val="24"/>
          <w:szCs w:val="24"/>
        </w:rPr>
        <w:t>On January 18</w:t>
      </w:r>
      <w:r w:rsidRPr="00A9412F">
        <w:rPr>
          <w:rFonts w:ascii="Arial" w:hAnsi="Arial" w:cs="Arial"/>
          <w:bCs/>
          <w:sz w:val="24"/>
          <w:szCs w:val="24"/>
          <w:vertAlign w:val="superscript"/>
        </w:rPr>
        <w:t>th</w:t>
      </w:r>
      <w:r w:rsidRPr="00A9412F">
        <w:rPr>
          <w:rFonts w:ascii="Arial" w:hAnsi="Arial" w:cs="Arial"/>
          <w:bCs/>
          <w:sz w:val="24"/>
          <w:szCs w:val="24"/>
        </w:rPr>
        <w:t>, 2024, the OEB issued the final 2024 Uniform Transmission Rates.</w:t>
      </w:r>
      <w:r w:rsidRPr="00A9412F">
        <w:rPr>
          <w:rFonts w:ascii="Arial" w:hAnsi="Arial" w:cs="Arial"/>
          <w:bCs/>
          <w:sz w:val="24"/>
          <w:szCs w:val="24"/>
          <w:vertAlign w:val="superscript"/>
        </w:rPr>
        <w:footnoteReference w:id="1"/>
      </w:r>
      <w:r w:rsidRPr="00A9412F">
        <w:rPr>
          <w:rFonts w:ascii="Arial" w:hAnsi="Arial" w:cs="Arial"/>
          <w:bCs/>
          <w:sz w:val="24"/>
          <w:szCs w:val="24"/>
        </w:rPr>
        <w:t xml:space="preserve"> There is a $0.02 difference in the Net</w:t>
      </w:r>
      <w:r w:rsidR="003C6CF9">
        <w:rPr>
          <w:rFonts w:ascii="Arial" w:hAnsi="Arial" w:cs="Arial"/>
          <w:bCs/>
          <w:sz w:val="24"/>
          <w:szCs w:val="24"/>
        </w:rPr>
        <w:t>work</w:t>
      </w:r>
      <w:r w:rsidRPr="00A9412F">
        <w:rPr>
          <w:rFonts w:ascii="Arial" w:hAnsi="Arial" w:cs="Arial"/>
          <w:bCs/>
          <w:sz w:val="24"/>
          <w:szCs w:val="24"/>
        </w:rPr>
        <w:t xml:space="preserve"> Service Rate.</w:t>
      </w:r>
    </w:p>
    <w:p w14:paraId="6EB555F9" w14:textId="77777777" w:rsidR="00A9412F" w:rsidRPr="00A9412F" w:rsidRDefault="00A9412F" w:rsidP="00A9412F">
      <w:pPr>
        <w:spacing w:line="240" w:lineRule="auto"/>
        <w:jc w:val="both"/>
        <w:rPr>
          <w:rFonts w:ascii="Arial" w:eastAsia="Calibri" w:hAnsi="Arial" w:cs="Arial"/>
          <w:bCs/>
          <w:sz w:val="24"/>
          <w:szCs w:val="24"/>
        </w:rPr>
      </w:pPr>
      <w:r w:rsidRPr="00A9412F">
        <w:rPr>
          <w:rFonts w:ascii="Arial" w:eastAsia="Calibri" w:hAnsi="Arial" w:cs="Arial"/>
          <w:bCs/>
          <w:sz w:val="24"/>
          <w:szCs w:val="24"/>
        </w:rPr>
        <w:t>OEB staff has updated Atikokan Hydro’s Rate Generator with the final UTRs as follows:</w:t>
      </w:r>
    </w:p>
    <w:p w14:paraId="3DB033E8" w14:textId="77777777" w:rsidR="00A9412F" w:rsidRPr="00A9412F" w:rsidRDefault="00A9412F" w:rsidP="00A9412F">
      <w:pPr>
        <w:spacing w:line="256" w:lineRule="auto"/>
      </w:pPr>
      <w:r w:rsidRPr="00A9412F">
        <w:rPr>
          <w:noProof/>
        </w:rPr>
        <w:drawing>
          <wp:inline distT="0" distB="0" distL="0" distR="0" wp14:anchorId="202F9828" wp14:editId="5CED0BE0">
            <wp:extent cx="6342199" cy="1065249"/>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3912" cy="1073935"/>
                    </a:xfrm>
                    <a:prstGeom prst="rect">
                      <a:avLst/>
                    </a:prstGeom>
                    <a:noFill/>
                  </pic:spPr>
                </pic:pic>
              </a:graphicData>
            </a:graphic>
          </wp:inline>
        </w:drawing>
      </w:r>
    </w:p>
    <w:p w14:paraId="2BC42E43" w14:textId="77777777" w:rsidR="00A9412F" w:rsidRPr="00A9412F" w:rsidRDefault="00A9412F" w:rsidP="00A9412F">
      <w:pPr>
        <w:numPr>
          <w:ilvl w:val="0"/>
          <w:numId w:val="2"/>
        </w:numPr>
        <w:spacing w:after="0" w:line="240" w:lineRule="auto"/>
        <w:contextualSpacing/>
        <w:rPr>
          <w:rFonts w:ascii="Arial" w:hAnsi="Arial" w:cs="Arial"/>
          <w:sz w:val="24"/>
          <w:szCs w:val="24"/>
        </w:rPr>
      </w:pPr>
      <w:r w:rsidRPr="00A9412F">
        <w:rPr>
          <w:rFonts w:ascii="Arial" w:hAnsi="Arial" w:cs="Arial"/>
          <w:sz w:val="24"/>
          <w:szCs w:val="24"/>
        </w:rPr>
        <w:t>Please confirm the accuracy of the Rate Generator updates, as well as the accuracy of the resulting Retail Transmission Service Rates.</w:t>
      </w:r>
    </w:p>
    <w:p w14:paraId="7E3094D6" w14:textId="3FC4D933" w:rsidR="00A9412F" w:rsidRDefault="00A9412F" w:rsidP="00A9412F"/>
    <w:p w14:paraId="55326123" w14:textId="0380657A" w:rsidR="003C35A5" w:rsidRDefault="003C35A5" w:rsidP="003C35A5">
      <w:pPr>
        <w:spacing w:line="240" w:lineRule="auto"/>
        <w:contextualSpacing/>
        <w:jc w:val="both"/>
        <w:rPr>
          <w:rFonts w:ascii="Arial" w:hAnsi="Arial" w:cs="Arial"/>
          <w:b/>
          <w:bCs/>
          <w:color w:val="0070C0"/>
          <w:sz w:val="24"/>
          <w:szCs w:val="24"/>
        </w:rPr>
      </w:pPr>
      <w:r w:rsidRPr="00954DFE">
        <w:rPr>
          <w:rFonts w:ascii="Arial" w:hAnsi="Arial" w:cs="Arial"/>
          <w:b/>
          <w:bCs/>
          <w:color w:val="0070C0"/>
          <w:sz w:val="24"/>
          <w:szCs w:val="24"/>
        </w:rPr>
        <w:t xml:space="preserve">Response: </w:t>
      </w:r>
      <w:r>
        <w:rPr>
          <w:rFonts w:ascii="Arial" w:hAnsi="Arial" w:cs="Arial"/>
          <w:b/>
          <w:bCs/>
          <w:color w:val="0070C0"/>
          <w:sz w:val="24"/>
          <w:szCs w:val="24"/>
        </w:rPr>
        <w:t xml:space="preserve">Hearst Power confirms that the </w:t>
      </w:r>
      <w:r w:rsidR="00084BB6">
        <w:rPr>
          <w:rFonts w:ascii="Arial" w:hAnsi="Arial" w:cs="Arial"/>
          <w:b/>
          <w:bCs/>
          <w:color w:val="0070C0"/>
          <w:sz w:val="24"/>
          <w:szCs w:val="24"/>
        </w:rPr>
        <w:t>update</w:t>
      </w:r>
      <w:r>
        <w:rPr>
          <w:rFonts w:ascii="Arial" w:hAnsi="Arial" w:cs="Arial"/>
          <w:b/>
          <w:bCs/>
          <w:color w:val="0070C0"/>
          <w:sz w:val="24"/>
          <w:szCs w:val="24"/>
        </w:rPr>
        <w:t xml:space="preserve">d rates are accurate. </w:t>
      </w:r>
    </w:p>
    <w:p w14:paraId="2D24929C" w14:textId="77777777" w:rsidR="003C35A5" w:rsidRPr="003C35A5" w:rsidRDefault="003C35A5" w:rsidP="003C35A5">
      <w:pPr>
        <w:spacing w:line="240" w:lineRule="auto"/>
        <w:contextualSpacing/>
        <w:jc w:val="both"/>
        <w:rPr>
          <w:rFonts w:ascii="Arial" w:hAnsi="Arial" w:cs="Arial"/>
          <w:b/>
          <w:bCs/>
          <w:color w:val="0070C0"/>
          <w:sz w:val="24"/>
          <w:szCs w:val="24"/>
        </w:rPr>
      </w:pPr>
    </w:p>
    <w:p w14:paraId="233C136A" w14:textId="77777777" w:rsidR="0097009C" w:rsidRDefault="0097009C" w:rsidP="0097009C">
      <w:pPr>
        <w:spacing w:after="0"/>
        <w:rPr>
          <w:rFonts w:ascii="Arial" w:hAnsi="Arial" w:cs="Arial"/>
          <w:b/>
          <w:sz w:val="24"/>
          <w:szCs w:val="24"/>
        </w:rPr>
      </w:pPr>
    </w:p>
    <w:p w14:paraId="5CB7DDFA" w14:textId="00188327" w:rsidR="0097009C" w:rsidRPr="001F16A3" w:rsidRDefault="0097009C" w:rsidP="0097009C">
      <w:pPr>
        <w:spacing w:after="0"/>
        <w:rPr>
          <w:rFonts w:ascii="Arial" w:hAnsi="Arial" w:cs="Arial"/>
          <w:b/>
          <w:sz w:val="24"/>
          <w:szCs w:val="24"/>
        </w:rPr>
      </w:pPr>
      <w:r w:rsidRPr="001F16A3">
        <w:rPr>
          <w:rFonts w:ascii="Arial" w:hAnsi="Arial" w:cs="Arial"/>
          <w:b/>
          <w:sz w:val="24"/>
          <w:szCs w:val="24"/>
        </w:rPr>
        <w:t>Staff Question</w:t>
      </w:r>
      <w:r>
        <w:rPr>
          <w:rFonts w:ascii="Arial" w:hAnsi="Arial" w:cs="Arial"/>
          <w:b/>
          <w:sz w:val="24"/>
          <w:szCs w:val="24"/>
        </w:rPr>
        <w:t xml:space="preserve"> 1</w:t>
      </w:r>
      <w:r w:rsidR="00A035BD">
        <w:rPr>
          <w:rFonts w:ascii="Arial" w:hAnsi="Arial" w:cs="Arial"/>
          <w:b/>
          <w:sz w:val="24"/>
          <w:szCs w:val="24"/>
        </w:rPr>
        <w:t>1</w:t>
      </w:r>
    </w:p>
    <w:p w14:paraId="14CBB5D6" w14:textId="77777777" w:rsidR="0097009C" w:rsidRPr="001F16A3" w:rsidRDefault="0097009C" w:rsidP="0097009C">
      <w:pPr>
        <w:spacing w:after="0"/>
        <w:rPr>
          <w:rFonts w:ascii="Arial" w:hAnsi="Arial" w:cs="Arial"/>
          <w:b/>
          <w:sz w:val="24"/>
          <w:szCs w:val="24"/>
        </w:rPr>
      </w:pPr>
    </w:p>
    <w:p w14:paraId="0794EA5C" w14:textId="76AA32CF" w:rsidR="0097009C" w:rsidRDefault="0097009C" w:rsidP="0097009C">
      <w:pPr>
        <w:rPr>
          <w:rFonts w:ascii="Arial" w:hAnsi="Arial" w:cs="Arial"/>
          <w:b/>
          <w:sz w:val="24"/>
          <w:szCs w:val="24"/>
        </w:rPr>
      </w:pPr>
      <w:r w:rsidRPr="00A9412F">
        <w:rPr>
          <w:rFonts w:ascii="Arial" w:hAnsi="Arial" w:cs="Arial"/>
          <w:b/>
          <w:sz w:val="24"/>
          <w:szCs w:val="24"/>
        </w:rPr>
        <w:t>Ref: 2024 IRM Rate Generator Model, Tab</w:t>
      </w:r>
      <w:r>
        <w:rPr>
          <w:rFonts w:ascii="Arial" w:hAnsi="Arial" w:cs="Arial"/>
          <w:b/>
          <w:sz w:val="24"/>
          <w:szCs w:val="24"/>
        </w:rPr>
        <w:t xml:space="preserve"> 3</w:t>
      </w:r>
    </w:p>
    <w:p w14:paraId="0FBF9AEE" w14:textId="1DE20B57" w:rsidR="0097009C" w:rsidRDefault="00A035BD" w:rsidP="0097009C">
      <w:pPr>
        <w:rPr>
          <w:rFonts w:ascii="Arial" w:hAnsi="Arial" w:cs="Arial"/>
          <w:bCs/>
          <w:sz w:val="24"/>
          <w:szCs w:val="24"/>
        </w:rPr>
      </w:pPr>
      <w:r>
        <w:rPr>
          <w:rFonts w:ascii="Arial" w:hAnsi="Arial" w:cs="Arial"/>
          <w:bCs/>
          <w:sz w:val="24"/>
          <w:szCs w:val="24"/>
        </w:rPr>
        <w:t>OEB staff has updated the Rate Generator with the corrected RRR data, regarding Hearst Power’s response to Staff Question 6.</w:t>
      </w:r>
    </w:p>
    <w:p w14:paraId="58878442" w14:textId="77777777" w:rsidR="00A035BD" w:rsidRPr="00A035BD" w:rsidRDefault="00A035BD" w:rsidP="00A035BD">
      <w:pPr>
        <w:pStyle w:val="ListParagraph"/>
        <w:numPr>
          <w:ilvl w:val="0"/>
          <w:numId w:val="3"/>
        </w:numPr>
        <w:rPr>
          <w:rFonts w:ascii="Arial" w:hAnsi="Arial" w:cs="Arial"/>
          <w:bCs/>
          <w:sz w:val="24"/>
          <w:szCs w:val="24"/>
        </w:rPr>
      </w:pPr>
      <w:r w:rsidRPr="00A035BD">
        <w:rPr>
          <w:rFonts w:ascii="Arial" w:hAnsi="Arial" w:cs="Arial"/>
          <w:bCs/>
          <w:sz w:val="24"/>
          <w:szCs w:val="24"/>
        </w:rPr>
        <w:t>Please confirm the accuracy of the Rate Generator updates</w:t>
      </w:r>
      <w:r>
        <w:rPr>
          <w:rFonts w:ascii="Arial" w:hAnsi="Arial" w:cs="Arial"/>
          <w:bCs/>
          <w:sz w:val="24"/>
          <w:szCs w:val="24"/>
        </w:rPr>
        <w:t xml:space="preserve">, </w:t>
      </w:r>
      <w:r w:rsidRPr="00A035BD">
        <w:rPr>
          <w:rFonts w:ascii="Arial" w:hAnsi="Arial" w:cs="Arial"/>
          <w:bCs/>
          <w:sz w:val="24"/>
          <w:szCs w:val="24"/>
        </w:rPr>
        <w:t>as well as the accuracy of bill impacts.</w:t>
      </w:r>
    </w:p>
    <w:p w14:paraId="69546EBE" w14:textId="5D51447C" w:rsidR="003C35A5" w:rsidRPr="003C35A5" w:rsidRDefault="003C35A5" w:rsidP="003C35A5">
      <w:pPr>
        <w:spacing w:line="240" w:lineRule="auto"/>
        <w:jc w:val="both"/>
        <w:rPr>
          <w:rFonts w:ascii="Arial" w:hAnsi="Arial" w:cs="Arial"/>
          <w:b/>
          <w:bCs/>
          <w:color w:val="0070C0"/>
          <w:sz w:val="24"/>
          <w:szCs w:val="24"/>
        </w:rPr>
      </w:pPr>
      <w:r w:rsidRPr="003C35A5">
        <w:rPr>
          <w:rFonts w:ascii="Arial" w:hAnsi="Arial" w:cs="Arial"/>
          <w:b/>
          <w:bCs/>
          <w:color w:val="0070C0"/>
          <w:sz w:val="24"/>
          <w:szCs w:val="24"/>
        </w:rPr>
        <w:t xml:space="preserve">Response: </w:t>
      </w:r>
      <w:r>
        <w:rPr>
          <w:rFonts w:ascii="Arial" w:hAnsi="Arial" w:cs="Arial"/>
          <w:b/>
          <w:bCs/>
          <w:color w:val="0070C0"/>
          <w:sz w:val="24"/>
          <w:szCs w:val="24"/>
        </w:rPr>
        <w:t>H</w:t>
      </w:r>
      <w:r w:rsidRPr="003C35A5">
        <w:rPr>
          <w:rFonts w:ascii="Arial" w:hAnsi="Arial" w:cs="Arial"/>
          <w:b/>
          <w:bCs/>
          <w:color w:val="0070C0"/>
          <w:sz w:val="24"/>
          <w:szCs w:val="24"/>
        </w:rPr>
        <w:t xml:space="preserve">earst Power confirms </w:t>
      </w:r>
      <w:r>
        <w:rPr>
          <w:rFonts w:ascii="Arial" w:hAnsi="Arial" w:cs="Arial"/>
          <w:b/>
          <w:bCs/>
          <w:color w:val="0070C0"/>
          <w:sz w:val="24"/>
          <w:szCs w:val="24"/>
        </w:rPr>
        <w:t>that the update to Tab 3 and bill impacts are accurate</w:t>
      </w:r>
      <w:r w:rsidRPr="003C35A5">
        <w:rPr>
          <w:rFonts w:ascii="Arial" w:hAnsi="Arial" w:cs="Arial"/>
          <w:b/>
          <w:bCs/>
          <w:color w:val="0070C0"/>
          <w:sz w:val="24"/>
          <w:szCs w:val="24"/>
        </w:rPr>
        <w:t xml:space="preserve">. </w:t>
      </w:r>
    </w:p>
    <w:sectPr w:rsidR="003C35A5" w:rsidRPr="003C35A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C468" w14:textId="77777777" w:rsidR="000C46FD" w:rsidRDefault="000C46FD" w:rsidP="00934A95">
      <w:pPr>
        <w:spacing w:after="0" w:line="240" w:lineRule="auto"/>
      </w:pPr>
      <w:r>
        <w:separator/>
      </w:r>
    </w:p>
  </w:endnote>
  <w:endnote w:type="continuationSeparator" w:id="0">
    <w:p w14:paraId="7F2A1564" w14:textId="77777777" w:rsidR="000C46FD" w:rsidRDefault="000C46FD" w:rsidP="0093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9E7E" w14:textId="77777777" w:rsidR="000C46FD" w:rsidRDefault="000C46FD" w:rsidP="00934A95">
      <w:pPr>
        <w:spacing w:after="0" w:line="240" w:lineRule="auto"/>
      </w:pPr>
      <w:r>
        <w:separator/>
      </w:r>
    </w:p>
  </w:footnote>
  <w:footnote w:type="continuationSeparator" w:id="0">
    <w:p w14:paraId="7ACAAECB" w14:textId="77777777" w:rsidR="000C46FD" w:rsidRDefault="000C46FD" w:rsidP="00934A95">
      <w:pPr>
        <w:spacing w:after="0" w:line="240" w:lineRule="auto"/>
      </w:pPr>
      <w:r>
        <w:continuationSeparator/>
      </w:r>
    </w:p>
  </w:footnote>
  <w:footnote w:id="1">
    <w:p w14:paraId="0CED65F2" w14:textId="77777777" w:rsidR="00A9412F" w:rsidRDefault="00A9412F" w:rsidP="00A9412F">
      <w:pPr>
        <w:pStyle w:val="FootnoteText"/>
      </w:pPr>
      <w:r>
        <w:rPr>
          <w:rStyle w:val="FootnoteReference"/>
        </w:rPr>
        <w:footnoteRef/>
      </w:r>
      <w:r>
        <w:t xml:space="preserve"> EB-2023-0222, Decision and Order, 2024 Uniform Transmission Rates, issued January 18,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8B4B" w14:textId="77777777" w:rsidR="00934A95" w:rsidRPr="00690864" w:rsidRDefault="00934A95" w:rsidP="00934A95">
    <w:pPr>
      <w:tabs>
        <w:tab w:val="center" w:pos="4680"/>
        <w:tab w:val="right" w:pos="9360"/>
      </w:tabs>
      <w:spacing w:after="0" w:line="240" w:lineRule="auto"/>
      <w:jc w:val="right"/>
    </w:pPr>
    <w:r>
      <w:t>Hearst Power Distribution Co. Ltd.</w:t>
    </w:r>
  </w:p>
  <w:p w14:paraId="0568A826" w14:textId="77777777" w:rsidR="00934A95" w:rsidRPr="00690864" w:rsidRDefault="00934A95" w:rsidP="00934A95">
    <w:pPr>
      <w:tabs>
        <w:tab w:val="center" w:pos="4680"/>
        <w:tab w:val="right" w:pos="9360"/>
      </w:tabs>
      <w:spacing w:after="0" w:line="240" w:lineRule="auto"/>
      <w:jc w:val="right"/>
    </w:pPr>
    <w:r w:rsidRPr="00690864">
      <w:t>2024 IRM Application</w:t>
    </w:r>
  </w:p>
  <w:p w14:paraId="1B075C80" w14:textId="77777777" w:rsidR="00934A95" w:rsidRPr="00690864" w:rsidRDefault="00934A95" w:rsidP="00934A95">
    <w:pPr>
      <w:tabs>
        <w:tab w:val="center" w:pos="4680"/>
        <w:tab w:val="right" w:pos="9360"/>
      </w:tabs>
      <w:spacing w:after="0" w:line="240" w:lineRule="auto"/>
      <w:jc w:val="right"/>
    </w:pPr>
    <w:r w:rsidRPr="00690864">
      <w:t>EB-202</w:t>
    </w:r>
    <w:r>
      <w:t>3</w:t>
    </w:r>
    <w:r w:rsidRPr="00690864">
      <w:t>-00</w:t>
    </w:r>
    <w:r>
      <w:t>27</w:t>
    </w:r>
  </w:p>
  <w:sdt>
    <w:sdtPr>
      <w:id w:val="-1318336367"/>
      <w:docPartObj>
        <w:docPartGallery w:val="Page Numbers (Top of Page)"/>
        <w:docPartUnique/>
      </w:docPartObj>
    </w:sdtPr>
    <w:sdtEndPr/>
    <w:sdtContent>
      <w:p w14:paraId="047451CD" w14:textId="77777777" w:rsidR="00934A95" w:rsidRPr="00690864" w:rsidRDefault="00934A95" w:rsidP="00934A95">
        <w:pPr>
          <w:tabs>
            <w:tab w:val="center" w:pos="4680"/>
            <w:tab w:val="right" w:pos="9360"/>
          </w:tabs>
          <w:spacing w:after="0" w:line="240" w:lineRule="auto"/>
          <w:jc w:val="right"/>
        </w:pPr>
        <w:r w:rsidRPr="00690864">
          <w:t xml:space="preserve">Page </w:t>
        </w:r>
        <w:r w:rsidRPr="00690864">
          <w:rPr>
            <w:b/>
            <w:bCs/>
            <w:sz w:val="24"/>
            <w:szCs w:val="24"/>
          </w:rPr>
          <w:fldChar w:fldCharType="begin"/>
        </w:r>
        <w:r w:rsidRPr="00690864">
          <w:rPr>
            <w:b/>
            <w:bCs/>
          </w:rPr>
          <w:instrText xml:space="preserve"> PAGE </w:instrText>
        </w:r>
        <w:r w:rsidRPr="00690864">
          <w:rPr>
            <w:b/>
            <w:bCs/>
            <w:sz w:val="24"/>
            <w:szCs w:val="24"/>
          </w:rPr>
          <w:fldChar w:fldCharType="separate"/>
        </w:r>
        <w:r>
          <w:rPr>
            <w:b/>
            <w:bCs/>
            <w:sz w:val="24"/>
            <w:szCs w:val="24"/>
          </w:rPr>
          <w:t>1</w:t>
        </w:r>
        <w:r w:rsidRPr="00690864">
          <w:rPr>
            <w:b/>
            <w:bCs/>
            <w:sz w:val="24"/>
            <w:szCs w:val="24"/>
          </w:rPr>
          <w:fldChar w:fldCharType="end"/>
        </w:r>
        <w:r w:rsidRPr="00690864">
          <w:t xml:space="preserve"> of </w:t>
        </w:r>
        <w:r w:rsidRPr="00690864">
          <w:rPr>
            <w:b/>
            <w:bCs/>
            <w:sz w:val="24"/>
            <w:szCs w:val="24"/>
          </w:rPr>
          <w:fldChar w:fldCharType="begin"/>
        </w:r>
        <w:r w:rsidRPr="00690864">
          <w:rPr>
            <w:b/>
            <w:bCs/>
          </w:rPr>
          <w:instrText xml:space="preserve"> NUMPAGES  </w:instrText>
        </w:r>
        <w:r w:rsidRPr="00690864">
          <w:rPr>
            <w:b/>
            <w:bCs/>
            <w:sz w:val="24"/>
            <w:szCs w:val="24"/>
          </w:rPr>
          <w:fldChar w:fldCharType="separate"/>
        </w:r>
        <w:r>
          <w:rPr>
            <w:b/>
            <w:bCs/>
            <w:sz w:val="24"/>
            <w:szCs w:val="24"/>
          </w:rPr>
          <w:t>5</w:t>
        </w:r>
        <w:r w:rsidRPr="00690864">
          <w:rPr>
            <w:b/>
            <w:bCs/>
            <w:sz w:val="24"/>
            <w:szCs w:val="24"/>
          </w:rPr>
          <w:fldChar w:fldCharType="end"/>
        </w:r>
      </w:p>
    </w:sdtContent>
  </w:sdt>
  <w:p w14:paraId="28CEC86D" w14:textId="77777777" w:rsidR="00934A95" w:rsidRPr="00934A95" w:rsidRDefault="00934A95" w:rsidP="00934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11B9"/>
    <w:multiLevelType w:val="hybridMultilevel"/>
    <w:tmpl w:val="45148CD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3E3B23"/>
    <w:multiLevelType w:val="hybridMultilevel"/>
    <w:tmpl w:val="B66A77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E343A"/>
    <w:multiLevelType w:val="hybridMultilevel"/>
    <w:tmpl w:val="87BEF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F5D39"/>
    <w:multiLevelType w:val="hybridMultilevel"/>
    <w:tmpl w:val="347288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A0852"/>
    <w:multiLevelType w:val="hybridMultilevel"/>
    <w:tmpl w:val="14429A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3607693">
    <w:abstractNumId w:val="1"/>
  </w:num>
  <w:num w:numId="2" w16cid:durableId="1318609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940830">
    <w:abstractNumId w:val="2"/>
  </w:num>
  <w:num w:numId="4" w16cid:durableId="1029374380">
    <w:abstractNumId w:val="3"/>
  </w:num>
  <w:num w:numId="5" w16cid:durableId="199428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95"/>
    <w:rsid w:val="00084BB6"/>
    <w:rsid w:val="000C46FD"/>
    <w:rsid w:val="00210DB9"/>
    <w:rsid w:val="002F4743"/>
    <w:rsid w:val="003C35A5"/>
    <w:rsid w:val="003C6CF9"/>
    <w:rsid w:val="00470305"/>
    <w:rsid w:val="00570252"/>
    <w:rsid w:val="006E18CF"/>
    <w:rsid w:val="00934A95"/>
    <w:rsid w:val="0097009C"/>
    <w:rsid w:val="00A035BD"/>
    <w:rsid w:val="00A9412F"/>
    <w:rsid w:val="00F4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79834"/>
  <w15:chartTrackingRefBased/>
  <w15:docId w15:val="{238D428E-CA00-4747-A20F-B65375E4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9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95"/>
    <w:rPr>
      <w:kern w:val="0"/>
      <w14:ligatures w14:val="none"/>
    </w:rPr>
  </w:style>
  <w:style w:type="paragraph" w:styleId="Footer">
    <w:name w:val="footer"/>
    <w:basedOn w:val="Normal"/>
    <w:link w:val="FooterChar"/>
    <w:uiPriority w:val="99"/>
    <w:unhideWhenUsed/>
    <w:rsid w:val="0093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A95"/>
    <w:rPr>
      <w:kern w:val="0"/>
      <w14:ligatures w14:val="none"/>
    </w:rPr>
  </w:style>
  <w:style w:type="paragraph" w:styleId="ListParagraph">
    <w:name w:val="List Paragraph"/>
    <w:basedOn w:val="Normal"/>
    <w:uiPriority w:val="34"/>
    <w:qFormat/>
    <w:rsid w:val="00210DB9"/>
    <w:pPr>
      <w:spacing w:after="200" w:line="276" w:lineRule="auto"/>
      <w:ind w:left="720"/>
      <w:contextualSpacing/>
    </w:pPr>
    <w:rPr>
      <w:lang w:val="en-CA"/>
    </w:rPr>
  </w:style>
  <w:style w:type="character" w:styleId="Hyperlink">
    <w:name w:val="Hyperlink"/>
    <w:basedOn w:val="DefaultParagraphFont"/>
    <w:uiPriority w:val="99"/>
    <w:semiHidden/>
    <w:unhideWhenUsed/>
    <w:rsid w:val="00210DB9"/>
    <w:rPr>
      <w:color w:val="0000FF"/>
      <w:u w:val="single"/>
    </w:rPr>
  </w:style>
  <w:style w:type="paragraph" w:styleId="FootnoteText">
    <w:name w:val="footnote text"/>
    <w:basedOn w:val="Normal"/>
    <w:link w:val="FootnoteTextChar"/>
    <w:uiPriority w:val="99"/>
    <w:semiHidden/>
    <w:unhideWhenUsed/>
    <w:rsid w:val="00A94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12F"/>
    <w:rPr>
      <w:kern w:val="0"/>
      <w:sz w:val="20"/>
      <w:szCs w:val="20"/>
      <w14:ligatures w14:val="none"/>
    </w:rPr>
  </w:style>
  <w:style w:type="character" w:styleId="FootnoteReference">
    <w:name w:val="footnote reference"/>
    <w:basedOn w:val="DefaultParagraphFont"/>
    <w:uiPriority w:val="99"/>
    <w:semiHidden/>
    <w:unhideWhenUsed/>
    <w:rsid w:val="00A9412F"/>
    <w:rPr>
      <w:vertAlign w:val="superscript"/>
    </w:rPr>
  </w:style>
  <w:style w:type="paragraph" w:styleId="Revision">
    <w:name w:val="Revision"/>
    <w:hidden/>
    <w:uiPriority w:val="99"/>
    <w:semiHidden/>
    <w:rsid w:val="003C6CF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oeb.ca/sites/default/files/OEB-Filing-Reqs-Chapter-3-2024-202306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Zhang</dc:creator>
  <cp:keywords/>
  <dc:description/>
  <cp:lastModifiedBy>Jessy Richard</cp:lastModifiedBy>
  <cp:revision>4</cp:revision>
  <dcterms:created xsi:type="dcterms:W3CDTF">2024-01-30T14:19:00Z</dcterms:created>
  <dcterms:modified xsi:type="dcterms:W3CDTF">2024-01-30T14:25:00Z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b48563e8-f814-479f-bb39-d066b30b3d34</vt:lpwstr>
  </property>
</Properties>
</file>