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658B7" w14:textId="36C587C2" w:rsidR="000C13BE" w:rsidRDefault="009D0C6D" w:rsidP="00BA3BEA">
      <w:pPr>
        <w:spacing w:after="0" w:line="240" w:lineRule="auto"/>
        <w:jc w:val="right"/>
        <w:rPr>
          <w:rFonts w:ascii="Times New Roman" w:hAnsi="Times New Roman" w:cs="Times New Roman"/>
          <w:b/>
          <w:bCs/>
        </w:rPr>
      </w:pPr>
      <w:r w:rsidRPr="009D0C6D">
        <w:rPr>
          <w:rFonts w:ascii="Times New Roman" w:hAnsi="Times New Roman" w:cs="Times New Roman"/>
          <w:b/>
          <w:bCs/>
        </w:rPr>
        <w:t>EB-2021-0243/EB-2022-0235</w:t>
      </w:r>
    </w:p>
    <w:p w14:paraId="5555059A" w14:textId="77777777" w:rsidR="009D0C6D" w:rsidRDefault="009D0C6D" w:rsidP="00BA3BEA">
      <w:pPr>
        <w:spacing w:after="0" w:line="240" w:lineRule="auto"/>
        <w:jc w:val="center"/>
        <w:rPr>
          <w:rFonts w:ascii="Times New Roman" w:hAnsi="Times New Roman" w:cs="Times New Roman"/>
          <w:b/>
          <w:bCs/>
        </w:rPr>
      </w:pPr>
    </w:p>
    <w:p w14:paraId="4A90B7BE" w14:textId="54C64514" w:rsidR="009D0C6D" w:rsidRDefault="009D0C6D" w:rsidP="00BA3BEA">
      <w:pPr>
        <w:spacing w:after="0" w:line="240" w:lineRule="auto"/>
        <w:jc w:val="center"/>
        <w:rPr>
          <w:rFonts w:ascii="Times New Roman" w:hAnsi="Times New Roman" w:cs="Times New Roman"/>
          <w:b/>
          <w:bCs/>
        </w:rPr>
      </w:pPr>
      <w:r>
        <w:rPr>
          <w:rFonts w:ascii="Times New Roman" w:hAnsi="Times New Roman" w:cs="Times New Roman"/>
          <w:b/>
          <w:bCs/>
        </w:rPr>
        <w:t>ONTARIO ENERGY BOARD</w:t>
      </w:r>
    </w:p>
    <w:p w14:paraId="4E6D18F2" w14:textId="77777777" w:rsidR="009D0C6D" w:rsidRDefault="009D0C6D" w:rsidP="00BA3BEA">
      <w:pPr>
        <w:spacing w:after="0" w:line="240" w:lineRule="auto"/>
        <w:jc w:val="center"/>
        <w:rPr>
          <w:rFonts w:ascii="Times New Roman" w:hAnsi="Times New Roman" w:cs="Times New Roman"/>
          <w:b/>
          <w:bCs/>
        </w:rPr>
      </w:pPr>
    </w:p>
    <w:p w14:paraId="0FBFF3FA" w14:textId="39C4D005" w:rsidR="009D0C6D" w:rsidRDefault="009D0C6D" w:rsidP="00BA3BEA">
      <w:pPr>
        <w:spacing w:after="0" w:line="240" w:lineRule="auto"/>
        <w:jc w:val="center"/>
        <w:rPr>
          <w:rFonts w:ascii="Times New Roman" w:hAnsi="Times New Roman" w:cs="Times New Roman"/>
        </w:rPr>
      </w:pPr>
      <w:r>
        <w:rPr>
          <w:rFonts w:ascii="Times New Roman" w:hAnsi="Times New Roman" w:cs="Times New Roman"/>
          <w:b/>
          <w:bCs/>
        </w:rPr>
        <w:t xml:space="preserve">IN THE MATTER OF </w:t>
      </w:r>
      <w:r w:rsidRPr="009D0C6D">
        <w:rPr>
          <w:rFonts w:ascii="Times New Roman" w:hAnsi="Times New Roman" w:cs="Times New Roman"/>
        </w:rPr>
        <w:t xml:space="preserve">the </w:t>
      </w:r>
      <w:r w:rsidRPr="009D0C6D">
        <w:rPr>
          <w:rFonts w:ascii="Times New Roman" w:hAnsi="Times New Roman" w:cs="Times New Roman"/>
          <w:i/>
          <w:iCs/>
        </w:rPr>
        <w:t>Ontario Energy Board Act</w:t>
      </w:r>
      <w:r w:rsidRPr="009D0C6D">
        <w:rPr>
          <w:rFonts w:ascii="Times New Roman" w:hAnsi="Times New Roman" w:cs="Times New Roman"/>
        </w:rPr>
        <w:t xml:space="preserve">, 1998 </w:t>
      </w:r>
    </w:p>
    <w:p w14:paraId="0EC91B28" w14:textId="15F4B613" w:rsidR="009D0C6D" w:rsidRDefault="009D0C6D" w:rsidP="00BA3BEA">
      <w:pPr>
        <w:spacing w:after="0" w:line="240" w:lineRule="auto"/>
        <w:jc w:val="center"/>
        <w:rPr>
          <w:rFonts w:ascii="Times New Roman" w:hAnsi="Times New Roman" w:cs="Times New Roman"/>
        </w:rPr>
      </w:pPr>
      <w:r w:rsidRPr="009D0C6D">
        <w:rPr>
          <w:rFonts w:ascii="Times New Roman" w:hAnsi="Times New Roman" w:cs="Times New Roman"/>
        </w:rPr>
        <w:t>S.O. 1998,</w:t>
      </w:r>
      <w:r w:rsidR="009973FD">
        <w:rPr>
          <w:rFonts w:ascii="Times New Roman" w:hAnsi="Times New Roman" w:cs="Times New Roman"/>
        </w:rPr>
        <w:t xml:space="preserve"> </w:t>
      </w:r>
      <w:r w:rsidRPr="009D0C6D">
        <w:rPr>
          <w:rFonts w:ascii="Times New Roman" w:hAnsi="Times New Roman" w:cs="Times New Roman"/>
        </w:rPr>
        <w:t>c. 15, Schedule B, as amended;</w:t>
      </w:r>
    </w:p>
    <w:p w14:paraId="4E4D0C29" w14:textId="77777777" w:rsidR="009D0C6D" w:rsidRDefault="009D0C6D" w:rsidP="00BA3BEA">
      <w:pPr>
        <w:spacing w:after="0" w:line="240" w:lineRule="auto"/>
        <w:jc w:val="center"/>
        <w:rPr>
          <w:rFonts w:ascii="Times New Roman" w:hAnsi="Times New Roman" w:cs="Times New Roman"/>
        </w:rPr>
      </w:pPr>
    </w:p>
    <w:p w14:paraId="32B1BC27" w14:textId="77777777" w:rsidR="009D0C6D" w:rsidRDefault="009D0C6D" w:rsidP="00BA3BEA">
      <w:pPr>
        <w:spacing w:after="0" w:line="240" w:lineRule="auto"/>
        <w:jc w:val="center"/>
        <w:rPr>
          <w:rFonts w:ascii="Times New Roman" w:hAnsi="Times New Roman" w:cs="Times New Roman"/>
        </w:rPr>
      </w:pPr>
      <w:r w:rsidRPr="009D0C6D">
        <w:rPr>
          <w:rFonts w:ascii="Times New Roman" w:hAnsi="Times New Roman" w:cs="Times New Roman"/>
          <w:b/>
          <w:bCs/>
        </w:rPr>
        <w:t>AND IN THE MATTER OF</w:t>
      </w:r>
      <w:r>
        <w:rPr>
          <w:rFonts w:ascii="Times New Roman" w:hAnsi="Times New Roman" w:cs="Times New Roman"/>
        </w:rPr>
        <w:t xml:space="preserve"> a Generic Hearing on Uniform </w:t>
      </w:r>
    </w:p>
    <w:p w14:paraId="161A4D92" w14:textId="467286FF" w:rsidR="009D0C6D" w:rsidRDefault="009D0C6D" w:rsidP="00BA3BEA">
      <w:pPr>
        <w:spacing w:after="0" w:line="240" w:lineRule="auto"/>
        <w:jc w:val="center"/>
        <w:rPr>
          <w:rFonts w:ascii="Times New Roman" w:hAnsi="Times New Roman" w:cs="Times New Roman"/>
        </w:rPr>
      </w:pPr>
      <w:r>
        <w:rPr>
          <w:rFonts w:ascii="Times New Roman" w:hAnsi="Times New Roman" w:cs="Times New Roman"/>
        </w:rPr>
        <w:t xml:space="preserve">Transmission Rates Related Issues </w:t>
      </w:r>
    </w:p>
    <w:p w14:paraId="5189A28E" w14:textId="77777777" w:rsidR="00C535D9" w:rsidRDefault="00C535D9" w:rsidP="00BA3BEA">
      <w:pPr>
        <w:spacing w:after="0" w:line="240" w:lineRule="auto"/>
        <w:jc w:val="center"/>
        <w:rPr>
          <w:rFonts w:ascii="Times New Roman" w:hAnsi="Times New Roman" w:cs="Times New Roman"/>
        </w:rPr>
      </w:pPr>
    </w:p>
    <w:p w14:paraId="06A90972" w14:textId="77777777" w:rsidR="00C535D9" w:rsidRDefault="00C535D9" w:rsidP="00BA3BEA">
      <w:pPr>
        <w:spacing w:after="0" w:line="240" w:lineRule="auto"/>
        <w:jc w:val="center"/>
        <w:rPr>
          <w:rFonts w:ascii="Times New Roman" w:hAnsi="Times New Roman" w:cs="Times New Roman"/>
          <w:b/>
          <w:bCs/>
        </w:rPr>
      </w:pPr>
    </w:p>
    <w:p w14:paraId="36974C23" w14:textId="4C9E5493" w:rsidR="00B32C69" w:rsidRDefault="00B32C69" w:rsidP="00BA3BEA">
      <w:pPr>
        <w:spacing w:after="0" w:line="240" w:lineRule="auto"/>
        <w:jc w:val="center"/>
        <w:rPr>
          <w:rFonts w:ascii="Times New Roman" w:hAnsi="Times New Roman" w:cs="Times New Roman"/>
          <w:b/>
          <w:bCs/>
        </w:rPr>
      </w:pPr>
      <w:r>
        <w:rPr>
          <w:rFonts w:ascii="Times New Roman" w:hAnsi="Times New Roman" w:cs="Times New Roman"/>
          <w:b/>
          <w:bCs/>
        </w:rPr>
        <w:t>JOINT SUBMISSION OF:</w:t>
      </w:r>
    </w:p>
    <w:p w14:paraId="5DC00310" w14:textId="77777777" w:rsidR="00B32C69" w:rsidRDefault="00B32C69" w:rsidP="00BA3BEA">
      <w:pPr>
        <w:spacing w:after="0" w:line="240" w:lineRule="auto"/>
        <w:jc w:val="center"/>
        <w:rPr>
          <w:rFonts w:ascii="Times New Roman" w:hAnsi="Times New Roman" w:cs="Times New Roman"/>
          <w:b/>
          <w:bCs/>
        </w:rPr>
      </w:pPr>
    </w:p>
    <w:p w14:paraId="5EAF33D9" w14:textId="47C89ED0" w:rsidR="00B32C69" w:rsidRDefault="00B32C69" w:rsidP="00BA3BEA">
      <w:pPr>
        <w:spacing w:after="0" w:line="240" w:lineRule="auto"/>
        <w:jc w:val="center"/>
        <w:rPr>
          <w:rFonts w:ascii="Times New Roman" w:hAnsi="Times New Roman" w:cs="Times New Roman"/>
        </w:rPr>
      </w:pPr>
      <w:r>
        <w:rPr>
          <w:rFonts w:ascii="Times New Roman" w:hAnsi="Times New Roman" w:cs="Times New Roman"/>
        </w:rPr>
        <w:t>Niagara-on-the-Lake Hydro Inc.</w:t>
      </w:r>
    </w:p>
    <w:p w14:paraId="50A977D1" w14:textId="565461F2" w:rsidR="00B32C69" w:rsidRDefault="00B32C69" w:rsidP="00BA3BEA">
      <w:pPr>
        <w:spacing w:after="0" w:line="240" w:lineRule="auto"/>
        <w:jc w:val="center"/>
        <w:rPr>
          <w:rFonts w:ascii="Times New Roman" w:hAnsi="Times New Roman" w:cs="Times New Roman"/>
        </w:rPr>
      </w:pPr>
      <w:r>
        <w:rPr>
          <w:rFonts w:ascii="Times New Roman" w:hAnsi="Times New Roman" w:cs="Times New Roman"/>
        </w:rPr>
        <w:t>Canadian Niagara Power Inc.</w:t>
      </w:r>
    </w:p>
    <w:p w14:paraId="671D5E81" w14:textId="2F183C67" w:rsidR="00B32C69" w:rsidRDefault="00B32C69" w:rsidP="00BA3BEA">
      <w:pPr>
        <w:spacing w:after="0" w:line="240" w:lineRule="auto"/>
        <w:jc w:val="center"/>
        <w:rPr>
          <w:rFonts w:ascii="Times New Roman" w:hAnsi="Times New Roman" w:cs="Times New Roman"/>
        </w:rPr>
      </w:pPr>
      <w:proofErr w:type="spellStart"/>
      <w:r>
        <w:rPr>
          <w:rFonts w:ascii="Times New Roman" w:hAnsi="Times New Roman" w:cs="Times New Roman"/>
        </w:rPr>
        <w:t>Entegrus</w:t>
      </w:r>
      <w:proofErr w:type="spellEnd"/>
      <w:r>
        <w:rPr>
          <w:rFonts w:ascii="Times New Roman" w:hAnsi="Times New Roman" w:cs="Times New Roman"/>
        </w:rPr>
        <w:t xml:space="preserve"> Powerlines Inc.</w:t>
      </w:r>
    </w:p>
    <w:p w14:paraId="471F3253" w14:textId="521EEE51" w:rsidR="00B32C69" w:rsidRPr="00B32C69" w:rsidRDefault="00B32C69" w:rsidP="00BA3BEA">
      <w:pPr>
        <w:spacing w:after="0" w:line="240" w:lineRule="auto"/>
        <w:jc w:val="center"/>
        <w:rPr>
          <w:rFonts w:ascii="Times New Roman" w:hAnsi="Times New Roman" w:cs="Times New Roman"/>
        </w:rPr>
      </w:pPr>
      <w:r>
        <w:rPr>
          <w:rFonts w:ascii="Times New Roman" w:hAnsi="Times New Roman" w:cs="Times New Roman"/>
        </w:rPr>
        <w:t>Halton Hills Hydro Inc.</w:t>
      </w:r>
    </w:p>
    <w:p w14:paraId="620F1592" w14:textId="77777777" w:rsidR="00B32C69" w:rsidRDefault="00B32C69" w:rsidP="00BA3BEA">
      <w:pPr>
        <w:spacing w:after="0" w:line="240" w:lineRule="auto"/>
        <w:jc w:val="center"/>
        <w:rPr>
          <w:rFonts w:ascii="Times New Roman" w:hAnsi="Times New Roman" w:cs="Times New Roman"/>
          <w:b/>
          <w:bCs/>
        </w:rPr>
      </w:pPr>
    </w:p>
    <w:p w14:paraId="6ACECC40" w14:textId="77777777" w:rsidR="00B32C69" w:rsidRPr="00BA3BEA" w:rsidRDefault="00B32C69" w:rsidP="00BA3BEA">
      <w:pPr>
        <w:spacing w:after="0" w:line="240" w:lineRule="auto"/>
        <w:jc w:val="center"/>
        <w:rPr>
          <w:rFonts w:ascii="Times New Roman" w:hAnsi="Times New Roman" w:cs="Times New Roman"/>
          <w:b/>
          <w:bCs/>
        </w:rPr>
      </w:pPr>
    </w:p>
    <w:p w14:paraId="73958C2C" w14:textId="3BED0F31" w:rsidR="00C535D9" w:rsidRDefault="00C7283D" w:rsidP="00D7366B">
      <w:pPr>
        <w:spacing w:after="0" w:line="360" w:lineRule="auto"/>
        <w:jc w:val="center"/>
        <w:rPr>
          <w:rFonts w:ascii="Times New Roman" w:hAnsi="Times New Roman" w:cs="Times New Roman"/>
          <w:b/>
          <w:bCs/>
        </w:rPr>
      </w:pPr>
      <w:bookmarkStart w:id="0" w:name="_Hlk158721943"/>
      <w:r>
        <w:rPr>
          <w:rFonts w:ascii="Times New Roman" w:hAnsi="Times New Roman" w:cs="Times New Roman"/>
          <w:b/>
          <w:bCs/>
        </w:rPr>
        <w:t>Proposed Draft Detailed Issues List</w:t>
      </w:r>
    </w:p>
    <w:p w14:paraId="101782DD" w14:textId="77777777" w:rsidR="00675E80" w:rsidRDefault="00675E80" w:rsidP="00D7366B">
      <w:pPr>
        <w:spacing w:after="0" w:line="360" w:lineRule="auto"/>
        <w:jc w:val="center"/>
        <w:rPr>
          <w:rFonts w:ascii="Times New Roman" w:hAnsi="Times New Roman" w:cs="Times New Roman"/>
          <w:b/>
          <w:bCs/>
        </w:rPr>
      </w:pPr>
    </w:p>
    <w:p w14:paraId="62C9F1DA" w14:textId="4D6F0F70" w:rsidR="00675E80" w:rsidRDefault="00675E80" w:rsidP="00675E80">
      <w:pPr>
        <w:spacing w:after="0" w:line="360" w:lineRule="auto"/>
        <w:rPr>
          <w:rFonts w:ascii="Times New Roman" w:hAnsi="Times New Roman" w:cs="Times New Roman"/>
        </w:rPr>
      </w:pPr>
      <w:r>
        <w:rPr>
          <w:rFonts w:ascii="Times New Roman" w:hAnsi="Times New Roman" w:cs="Times New Roman"/>
        </w:rPr>
        <w:t>The following</w:t>
      </w:r>
      <w:r w:rsidR="00C7283D">
        <w:rPr>
          <w:rFonts w:ascii="Times New Roman" w:hAnsi="Times New Roman" w:cs="Times New Roman"/>
        </w:rPr>
        <w:t xml:space="preserve"> are the proposed detailed issues list for Issue 4</w:t>
      </w:r>
      <w:r>
        <w:rPr>
          <w:rFonts w:ascii="Times New Roman" w:hAnsi="Times New Roman" w:cs="Times New Roman"/>
        </w:rPr>
        <w:t>.</w:t>
      </w:r>
      <w:r w:rsidR="00C7283D">
        <w:rPr>
          <w:rFonts w:ascii="Times New Roman" w:hAnsi="Times New Roman" w:cs="Times New Roman"/>
        </w:rPr>
        <w:t xml:space="preserve">  These build on the issues list proposed by OEB staff.</w:t>
      </w:r>
    </w:p>
    <w:p w14:paraId="59BA653C" w14:textId="77777777" w:rsidR="00C7283D" w:rsidRDefault="00C7283D" w:rsidP="00675E80">
      <w:pPr>
        <w:spacing w:after="0" w:line="360" w:lineRule="auto"/>
        <w:rPr>
          <w:rFonts w:ascii="Times New Roman" w:hAnsi="Times New Roman" w:cs="Times New Roman"/>
        </w:rPr>
      </w:pPr>
    </w:p>
    <w:p w14:paraId="5730B207" w14:textId="77777777" w:rsidR="00C7283D" w:rsidRPr="00C7283D" w:rsidRDefault="00C7283D" w:rsidP="00C7283D">
      <w:pPr>
        <w:spacing w:after="240" w:line="276" w:lineRule="auto"/>
        <w:ind w:left="1440" w:hanging="533"/>
        <w:contextualSpacing/>
        <w:rPr>
          <w:rFonts w:ascii="Arial" w:hAnsi="Arial" w:cs="Arial"/>
          <w:kern w:val="0"/>
          <w:lang w:val="en-CA"/>
          <w14:ligatures w14:val="none"/>
        </w:rPr>
      </w:pPr>
      <w:r w:rsidRPr="00C7283D">
        <w:rPr>
          <w:rFonts w:ascii="Arial" w:hAnsi="Arial" w:cs="Arial"/>
          <w:kern w:val="0"/>
          <w:lang w:val="en-CA"/>
          <w14:ligatures w14:val="none"/>
        </w:rPr>
        <w:t>4.1    Should double peak billing customer mitigation measures be implemented for both transmission-connected customers and distribution-connected customers?</w:t>
      </w:r>
      <w:r w:rsidRPr="00C7283D">
        <w:rPr>
          <w:rFonts w:ascii="Arial" w:hAnsi="Arial" w:cs="Arial"/>
          <w:kern w:val="0"/>
          <w:vertAlign w:val="superscript"/>
          <w:lang w:val="en-CA"/>
          <w14:ligatures w14:val="none"/>
        </w:rPr>
        <w:footnoteReference w:id="1"/>
      </w:r>
    </w:p>
    <w:p w14:paraId="022AAD4F" w14:textId="77777777" w:rsidR="00C7283D" w:rsidRPr="00C7283D" w:rsidRDefault="00C7283D" w:rsidP="00C7283D">
      <w:pPr>
        <w:spacing w:after="240" w:line="276" w:lineRule="auto"/>
        <w:ind w:left="1440" w:hanging="533"/>
        <w:contextualSpacing/>
        <w:rPr>
          <w:rFonts w:ascii="Arial" w:hAnsi="Arial" w:cs="Arial"/>
          <w:kern w:val="0"/>
          <w:lang w:val="en-CA"/>
          <w14:ligatures w14:val="none"/>
        </w:rPr>
      </w:pPr>
    </w:p>
    <w:p w14:paraId="3A475F5B" w14:textId="77777777" w:rsidR="00C7283D" w:rsidRPr="00C7283D" w:rsidRDefault="00C7283D" w:rsidP="00C7283D">
      <w:pPr>
        <w:spacing w:after="240" w:line="276" w:lineRule="auto"/>
        <w:ind w:left="1440" w:hanging="533"/>
        <w:contextualSpacing/>
        <w:rPr>
          <w:rFonts w:ascii="Arial" w:hAnsi="Arial" w:cs="Arial"/>
          <w:kern w:val="0"/>
          <w:vertAlign w:val="superscript"/>
          <w:lang w:val="en-CA"/>
          <w14:ligatures w14:val="none"/>
        </w:rPr>
      </w:pPr>
      <w:r w:rsidRPr="00C7283D">
        <w:rPr>
          <w:rFonts w:ascii="Arial" w:hAnsi="Arial" w:cs="Arial"/>
          <w:kern w:val="0"/>
          <w:lang w:val="en-CA"/>
          <w14:ligatures w14:val="none"/>
        </w:rPr>
        <w:t>4.2</w:t>
      </w:r>
      <w:r w:rsidRPr="00C7283D">
        <w:rPr>
          <w:rFonts w:ascii="Arial" w:hAnsi="Arial" w:cs="Arial"/>
          <w:kern w:val="0"/>
          <w:lang w:val="en-CA"/>
          <w14:ligatures w14:val="none"/>
        </w:rPr>
        <w:tab/>
        <w:t>Should double peak billing customer mitigation measures be implemented for both planned transmission outages and unplanned transmission outages?</w:t>
      </w:r>
      <w:r w:rsidRPr="00C7283D">
        <w:rPr>
          <w:rFonts w:ascii="Arial" w:hAnsi="Arial" w:cs="Arial"/>
          <w:kern w:val="0"/>
          <w:vertAlign w:val="superscript"/>
          <w:lang w:val="en-CA"/>
          <w14:ligatures w14:val="none"/>
        </w:rPr>
        <w:footnoteReference w:id="2"/>
      </w:r>
    </w:p>
    <w:p w14:paraId="5F21ED9E" w14:textId="77777777" w:rsidR="00C7283D" w:rsidRPr="00C7283D" w:rsidRDefault="00C7283D" w:rsidP="00C7283D">
      <w:pPr>
        <w:spacing w:after="240" w:line="276" w:lineRule="auto"/>
        <w:ind w:left="1440" w:hanging="533"/>
        <w:rPr>
          <w:rFonts w:ascii="Arial" w:hAnsi="Arial" w:cs="Arial"/>
          <w:kern w:val="0"/>
          <w:lang w:val="en-CA"/>
          <w14:ligatures w14:val="none"/>
        </w:rPr>
      </w:pPr>
      <w:r w:rsidRPr="00C7283D">
        <w:rPr>
          <w:rFonts w:ascii="Arial" w:hAnsi="Arial" w:cs="Arial"/>
          <w:kern w:val="0"/>
          <w:lang w:val="en-CA"/>
          <w14:ligatures w14:val="none"/>
        </w:rPr>
        <w:t xml:space="preserve">4.3 </w:t>
      </w:r>
      <w:r w:rsidRPr="00C7283D">
        <w:rPr>
          <w:rFonts w:ascii="Arial" w:hAnsi="Arial" w:cs="Arial"/>
          <w:kern w:val="0"/>
          <w:lang w:val="en-CA"/>
          <w14:ligatures w14:val="none"/>
        </w:rPr>
        <w:tab/>
        <w:t>Should transmission charges be on a per delivery point basis, whereby the customer’s charges would be calculated separately for each delivery point, or on an aggregate per customer basis, whereby the transmission charges would be calculated on the customer’s aggregate demand for all delivery points for a given time interval?</w:t>
      </w:r>
      <w:r w:rsidRPr="00C7283D">
        <w:rPr>
          <w:rFonts w:ascii="Arial" w:hAnsi="Arial" w:cs="Arial"/>
          <w:kern w:val="0"/>
          <w:vertAlign w:val="superscript"/>
          <w:lang w:val="en-CA"/>
          <w14:ligatures w14:val="none"/>
        </w:rPr>
        <w:footnoteReference w:id="3"/>
      </w:r>
    </w:p>
    <w:p w14:paraId="33A5A2C9" w14:textId="77777777" w:rsidR="00C7283D" w:rsidRPr="00C7283D" w:rsidRDefault="00C7283D" w:rsidP="00C7283D">
      <w:pPr>
        <w:spacing w:after="240" w:line="276" w:lineRule="auto"/>
        <w:ind w:left="1440" w:hanging="533"/>
        <w:rPr>
          <w:rFonts w:ascii="Arial" w:hAnsi="Arial" w:cs="Arial"/>
          <w:kern w:val="0"/>
          <w:lang w:val="en-CA"/>
          <w14:ligatures w14:val="none"/>
        </w:rPr>
      </w:pPr>
      <w:r w:rsidRPr="00C7283D">
        <w:rPr>
          <w:rFonts w:ascii="Arial" w:hAnsi="Arial" w:cs="Arial"/>
          <w:kern w:val="0"/>
          <w:lang w:val="en-CA"/>
          <w14:ligatures w14:val="none"/>
        </w:rPr>
        <w:t>4.4</w:t>
      </w:r>
      <w:r w:rsidRPr="00C7283D">
        <w:rPr>
          <w:rFonts w:ascii="Arial" w:hAnsi="Arial" w:cs="Arial"/>
          <w:kern w:val="0"/>
          <w:lang w:val="en-CA"/>
          <w14:ligatures w14:val="none"/>
        </w:rPr>
        <w:tab/>
        <w:t>Should the definition of the transmission charge determinants, used to establish UTRs and bill transmission charges, be revised to exclude the impact of planned transmission outages on customers with multiple delivery points?</w:t>
      </w:r>
      <w:r w:rsidRPr="00C7283D">
        <w:rPr>
          <w:rFonts w:ascii="Arial" w:hAnsi="Arial" w:cs="Arial"/>
          <w:kern w:val="0"/>
          <w:vertAlign w:val="superscript"/>
          <w:lang w:val="en-CA"/>
          <w14:ligatures w14:val="none"/>
        </w:rPr>
        <w:footnoteReference w:id="4"/>
      </w:r>
    </w:p>
    <w:p w14:paraId="7462D16F" w14:textId="77777777" w:rsidR="00C7283D" w:rsidRPr="00C7283D" w:rsidRDefault="00C7283D" w:rsidP="00C7283D">
      <w:pPr>
        <w:spacing w:after="240" w:line="276" w:lineRule="auto"/>
        <w:ind w:left="1440" w:hanging="533"/>
        <w:contextualSpacing/>
        <w:rPr>
          <w:rFonts w:ascii="Arial" w:hAnsi="Arial" w:cs="Arial"/>
          <w:kern w:val="0"/>
          <w:lang w:val="en-CA"/>
          <w14:ligatures w14:val="none"/>
        </w:rPr>
      </w:pPr>
      <w:r w:rsidRPr="00C7283D">
        <w:rPr>
          <w:rFonts w:ascii="Arial" w:hAnsi="Arial" w:cs="Arial"/>
          <w:kern w:val="0"/>
          <w:lang w:val="en-CA"/>
          <w14:ligatures w14:val="none"/>
        </w:rPr>
        <w:lastRenderedPageBreak/>
        <w:t>4.5</w:t>
      </w:r>
      <w:r w:rsidRPr="00C7283D">
        <w:rPr>
          <w:rFonts w:ascii="Arial" w:hAnsi="Arial" w:cs="Arial"/>
          <w:kern w:val="0"/>
          <w:lang w:val="en-CA"/>
          <w14:ligatures w14:val="none"/>
        </w:rPr>
        <w:tab/>
        <w:t>Should double peak billing impact be refunded to customers and then tracked in a deferral account by the transmitter, to be later brought forward by the transmitter for disposition in its next rebasing application?</w:t>
      </w:r>
      <w:r w:rsidRPr="00C7283D">
        <w:rPr>
          <w:rFonts w:ascii="Arial" w:hAnsi="Arial" w:cs="Arial"/>
          <w:kern w:val="0"/>
          <w:vertAlign w:val="superscript"/>
          <w:lang w:val="en-CA"/>
          <w14:ligatures w14:val="none"/>
        </w:rPr>
        <w:footnoteReference w:id="5"/>
      </w:r>
      <w:r w:rsidRPr="00C7283D">
        <w:rPr>
          <w:rFonts w:ascii="Arial" w:hAnsi="Arial" w:cs="Arial"/>
          <w:kern w:val="0"/>
          <w:lang w:val="en-CA"/>
          <w14:ligatures w14:val="none"/>
        </w:rPr>
        <w:t xml:space="preserve"> </w:t>
      </w:r>
    </w:p>
    <w:p w14:paraId="0E09760E" w14:textId="77777777" w:rsidR="00C7283D" w:rsidRPr="00C7283D" w:rsidRDefault="00C7283D" w:rsidP="00C7283D">
      <w:pPr>
        <w:spacing w:after="240" w:line="276" w:lineRule="auto"/>
        <w:ind w:left="1440" w:hanging="533"/>
        <w:contextualSpacing/>
        <w:rPr>
          <w:rFonts w:ascii="Arial" w:hAnsi="Arial" w:cs="Arial"/>
          <w:kern w:val="0"/>
          <w:lang w:val="en-CA"/>
          <w14:ligatures w14:val="none"/>
        </w:rPr>
      </w:pPr>
    </w:p>
    <w:p w14:paraId="1C02ABC3" w14:textId="77777777" w:rsidR="00C7283D" w:rsidRPr="00C7283D" w:rsidRDefault="00C7283D" w:rsidP="00C7283D">
      <w:pPr>
        <w:spacing w:after="240" w:line="276" w:lineRule="auto"/>
        <w:ind w:left="1440" w:hanging="533"/>
        <w:contextualSpacing/>
        <w:rPr>
          <w:rFonts w:ascii="Arial" w:hAnsi="Arial" w:cs="Arial"/>
          <w:kern w:val="0"/>
          <w:lang w:val="en-CA"/>
          <w14:ligatures w14:val="none"/>
        </w:rPr>
      </w:pPr>
      <w:r w:rsidRPr="00C7283D">
        <w:rPr>
          <w:rFonts w:ascii="Arial" w:hAnsi="Arial" w:cs="Arial"/>
          <w:kern w:val="0"/>
          <w:lang w:val="en-CA"/>
          <w14:ligatures w14:val="none"/>
        </w:rPr>
        <w:t>4.6</w:t>
      </w:r>
      <w:r w:rsidRPr="00C7283D">
        <w:rPr>
          <w:rFonts w:ascii="Arial" w:hAnsi="Arial" w:cs="Arial"/>
          <w:kern w:val="0"/>
          <w:lang w:val="en-CA"/>
          <w14:ligatures w14:val="none"/>
        </w:rPr>
        <w:tab/>
        <w:t>Are their other options or variations on the options above that should be considered?</w:t>
      </w:r>
    </w:p>
    <w:p w14:paraId="2D8425EB" w14:textId="77777777" w:rsidR="00C7283D" w:rsidRPr="00C7283D" w:rsidRDefault="00C7283D" w:rsidP="00C7283D">
      <w:pPr>
        <w:spacing w:after="200" w:line="276" w:lineRule="auto"/>
        <w:rPr>
          <w:kern w:val="0"/>
          <w:lang w:val="en-CA"/>
          <w14:ligatures w14:val="none"/>
        </w:rPr>
      </w:pPr>
      <w:r w:rsidRPr="00C7283D">
        <w:rPr>
          <w:kern w:val="0"/>
          <w:lang w:val="en-CA"/>
          <w14:ligatures w14:val="none"/>
        </w:rPr>
        <w:tab/>
      </w:r>
    </w:p>
    <w:p w14:paraId="1D022EB5" w14:textId="77777777" w:rsidR="00C7283D" w:rsidRDefault="00C7283D" w:rsidP="00675E80">
      <w:pPr>
        <w:spacing w:after="0" w:line="360" w:lineRule="auto"/>
        <w:rPr>
          <w:rFonts w:ascii="Times New Roman" w:hAnsi="Times New Roman" w:cs="Times New Roman"/>
        </w:rPr>
      </w:pPr>
    </w:p>
    <w:p w14:paraId="6EFB37A5" w14:textId="77777777" w:rsidR="00675E80" w:rsidRDefault="00675E80" w:rsidP="00675E80">
      <w:pPr>
        <w:spacing w:after="0" w:line="360" w:lineRule="auto"/>
        <w:rPr>
          <w:rFonts w:ascii="Times New Roman" w:hAnsi="Times New Roman" w:cs="Times New Roman"/>
        </w:rPr>
      </w:pPr>
    </w:p>
    <w:bookmarkEnd w:id="0"/>
    <w:sectPr w:rsidR="00675E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96661" w14:textId="77777777" w:rsidR="00C7283D" w:rsidRDefault="00C7283D" w:rsidP="00C7283D">
      <w:pPr>
        <w:spacing w:after="0" w:line="240" w:lineRule="auto"/>
      </w:pPr>
      <w:r>
        <w:separator/>
      </w:r>
    </w:p>
  </w:endnote>
  <w:endnote w:type="continuationSeparator" w:id="0">
    <w:p w14:paraId="6D0E4317" w14:textId="77777777" w:rsidR="00C7283D" w:rsidRDefault="00C7283D" w:rsidP="00C7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DBBDC" w14:textId="77777777" w:rsidR="00C7283D" w:rsidRDefault="00C7283D" w:rsidP="00C7283D">
      <w:pPr>
        <w:spacing w:after="0" w:line="240" w:lineRule="auto"/>
      </w:pPr>
      <w:r>
        <w:separator/>
      </w:r>
    </w:p>
  </w:footnote>
  <w:footnote w:type="continuationSeparator" w:id="0">
    <w:p w14:paraId="4E4CC631" w14:textId="77777777" w:rsidR="00C7283D" w:rsidRDefault="00C7283D" w:rsidP="00C7283D">
      <w:pPr>
        <w:spacing w:after="0" w:line="240" w:lineRule="auto"/>
      </w:pPr>
      <w:r>
        <w:continuationSeparator/>
      </w:r>
    </w:p>
  </w:footnote>
  <w:footnote w:id="1">
    <w:p w14:paraId="41AF6630" w14:textId="77777777" w:rsidR="00C7283D" w:rsidRDefault="00C7283D" w:rsidP="00C7283D">
      <w:pPr>
        <w:pStyle w:val="FootnoteText"/>
      </w:pPr>
      <w:r>
        <w:rPr>
          <w:rStyle w:val="FootnoteReference"/>
        </w:rPr>
        <w:footnoteRef/>
      </w:r>
      <w:r>
        <w:t xml:space="preserve"> </w:t>
      </w:r>
      <w:r w:rsidRPr="008D14D9">
        <w:rPr>
          <w:rFonts w:ascii="Arial" w:hAnsi="Arial" w:cs="Arial"/>
        </w:rPr>
        <w:t xml:space="preserve">Ibid, page </w:t>
      </w:r>
      <w:r>
        <w:rPr>
          <w:rFonts w:ascii="Arial" w:hAnsi="Arial" w:cs="Arial"/>
        </w:rPr>
        <w:t>5</w:t>
      </w:r>
    </w:p>
  </w:footnote>
  <w:footnote w:id="2">
    <w:p w14:paraId="00F013A9" w14:textId="77777777" w:rsidR="00C7283D" w:rsidRDefault="00C7283D" w:rsidP="00C7283D">
      <w:pPr>
        <w:pStyle w:val="FootnoteText"/>
      </w:pPr>
      <w:r>
        <w:rPr>
          <w:rStyle w:val="FootnoteReference"/>
        </w:rPr>
        <w:footnoteRef/>
      </w:r>
      <w:r>
        <w:t xml:space="preserve"> </w:t>
      </w:r>
      <w:r w:rsidRPr="008D14D9">
        <w:rPr>
          <w:rFonts w:ascii="Arial" w:hAnsi="Arial" w:cs="Arial"/>
        </w:rPr>
        <w:t>Ibad, page 4</w:t>
      </w:r>
    </w:p>
  </w:footnote>
  <w:footnote w:id="3">
    <w:p w14:paraId="152EF42B" w14:textId="77777777" w:rsidR="00C7283D" w:rsidRPr="00535FEB" w:rsidRDefault="00C7283D" w:rsidP="00C7283D">
      <w:pPr>
        <w:pStyle w:val="FootnoteText"/>
        <w:rPr>
          <w:rFonts w:ascii="Arial" w:hAnsi="Arial" w:cs="Arial"/>
        </w:rPr>
      </w:pPr>
      <w:r w:rsidRPr="00535FEB">
        <w:rPr>
          <w:rStyle w:val="FootnoteReference"/>
          <w:rFonts w:ascii="Arial" w:hAnsi="Arial" w:cs="Arial"/>
        </w:rPr>
        <w:footnoteRef/>
      </w:r>
      <w:r w:rsidRPr="00535FEB">
        <w:rPr>
          <w:rFonts w:ascii="Arial" w:hAnsi="Arial" w:cs="Arial"/>
        </w:rPr>
        <w:t xml:space="preserve"> HONI Background Report on Issues 4 and 5/6, April 2, 2024 / Issue 4</w:t>
      </w:r>
      <w:r>
        <w:rPr>
          <w:rFonts w:ascii="Arial" w:hAnsi="Arial" w:cs="Arial"/>
        </w:rPr>
        <w:t xml:space="preserve"> </w:t>
      </w:r>
      <w:r w:rsidRPr="00535FEB">
        <w:rPr>
          <w:rFonts w:ascii="Arial" w:hAnsi="Arial" w:cs="Arial"/>
        </w:rPr>
        <w:t>/ page</w:t>
      </w:r>
      <w:r>
        <w:rPr>
          <w:rFonts w:ascii="Arial" w:hAnsi="Arial" w:cs="Arial"/>
        </w:rPr>
        <w:t>s</w:t>
      </w:r>
      <w:r w:rsidRPr="00535FEB">
        <w:rPr>
          <w:rFonts w:ascii="Arial" w:hAnsi="Arial" w:cs="Arial"/>
        </w:rPr>
        <w:t xml:space="preserve"> 7</w:t>
      </w:r>
      <w:r>
        <w:rPr>
          <w:rFonts w:ascii="Arial" w:hAnsi="Arial" w:cs="Arial"/>
        </w:rPr>
        <w:t xml:space="preserve"> and 8</w:t>
      </w:r>
    </w:p>
  </w:footnote>
  <w:footnote w:id="4">
    <w:p w14:paraId="4559CAD2" w14:textId="77777777" w:rsidR="00C7283D" w:rsidRPr="00795090" w:rsidRDefault="00C7283D" w:rsidP="00C7283D">
      <w:pPr>
        <w:pStyle w:val="FootnoteText"/>
        <w:rPr>
          <w:rFonts w:ascii="Arial" w:hAnsi="Arial" w:cs="Arial"/>
        </w:rPr>
      </w:pPr>
      <w:r w:rsidRPr="00795090">
        <w:rPr>
          <w:rStyle w:val="FootnoteReference"/>
          <w:rFonts w:ascii="Arial" w:hAnsi="Arial" w:cs="Arial"/>
        </w:rPr>
        <w:footnoteRef/>
      </w:r>
      <w:r w:rsidRPr="00795090">
        <w:rPr>
          <w:rFonts w:ascii="Arial" w:hAnsi="Arial" w:cs="Arial"/>
        </w:rPr>
        <w:t xml:space="preserve"> Ibid., page 9</w:t>
      </w:r>
    </w:p>
  </w:footnote>
  <w:footnote w:id="5">
    <w:p w14:paraId="20C6BE48" w14:textId="77777777" w:rsidR="00C7283D" w:rsidRPr="00795090" w:rsidRDefault="00C7283D" w:rsidP="00C7283D">
      <w:pPr>
        <w:pStyle w:val="FootnoteText"/>
        <w:rPr>
          <w:rFonts w:ascii="Arial" w:hAnsi="Arial" w:cs="Arial"/>
        </w:rPr>
      </w:pPr>
      <w:r w:rsidRPr="00795090">
        <w:rPr>
          <w:rStyle w:val="FootnoteReference"/>
          <w:rFonts w:ascii="Arial" w:hAnsi="Arial" w:cs="Arial"/>
        </w:rPr>
        <w:footnoteRef/>
      </w:r>
      <w:r w:rsidRPr="00795090">
        <w:rPr>
          <w:rFonts w:ascii="Arial" w:hAnsi="Arial" w:cs="Arial"/>
        </w:rPr>
        <w:t xml:space="preserve"> Ibid., page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A39"/>
    <w:multiLevelType w:val="hybridMultilevel"/>
    <w:tmpl w:val="0B94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912"/>
    <w:multiLevelType w:val="hybridMultilevel"/>
    <w:tmpl w:val="F3DE39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D272C2"/>
    <w:multiLevelType w:val="hybridMultilevel"/>
    <w:tmpl w:val="A31850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A17C62"/>
    <w:multiLevelType w:val="hybridMultilevel"/>
    <w:tmpl w:val="1036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135F8"/>
    <w:multiLevelType w:val="hybridMultilevel"/>
    <w:tmpl w:val="72D6197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15:restartNumberingAfterBreak="0">
    <w:nsid w:val="2B521853"/>
    <w:multiLevelType w:val="hybridMultilevel"/>
    <w:tmpl w:val="43268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476F6"/>
    <w:multiLevelType w:val="hybridMultilevel"/>
    <w:tmpl w:val="3C0CF272"/>
    <w:lvl w:ilvl="0" w:tplc="583ED94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A5151"/>
    <w:multiLevelType w:val="hybridMultilevel"/>
    <w:tmpl w:val="86108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567ED8"/>
    <w:multiLevelType w:val="hybridMultilevel"/>
    <w:tmpl w:val="FBBA96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DE5277"/>
    <w:multiLevelType w:val="hybridMultilevel"/>
    <w:tmpl w:val="39D89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A34B64"/>
    <w:multiLevelType w:val="hybridMultilevel"/>
    <w:tmpl w:val="0E3A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06230"/>
    <w:multiLevelType w:val="hybridMultilevel"/>
    <w:tmpl w:val="482C5652"/>
    <w:lvl w:ilvl="0" w:tplc="9976D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2085F"/>
    <w:multiLevelType w:val="hybridMultilevel"/>
    <w:tmpl w:val="8F6EDDF4"/>
    <w:lvl w:ilvl="0" w:tplc="2E7A451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580988">
    <w:abstractNumId w:val="10"/>
  </w:num>
  <w:num w:numId="2" w16cid:durableId="443768818">
    <w:abstractNumId w:val="0"/>
  </w:num>
  <w:num w:numId="3" w16cid:durableId="1652714920">
    <w:abstractNumId w:val="3"/>
  </w:num>
  <w:num w:numId="4" w16cid:durableId="1045374175">
    <w:abstractNumId w:val="4"/>
  </w:num>
  <w:num w:numId="5" w16cid:durableId="1617715632">
    <w:abstractNumId w:val="11"/>
  </w:num>
  <w:num w:numId="6" w16cid:durableId="63337313">
    <w:abstractNumId w:val="5"/>
  </w:num>
  <w:num w:numId="7" w16cid:durableId="850341991">
    <w:abstractNumId w:val="2"/>
  </w:num>
  <w:num w:numId="8" w16cid:durableId="76947814">
    <w:abstractNumId w:val="1"/>
  </w:num>
  <w:num w:numId="9" w16cid:durableId="1619677958">
    <w:abstractNumId w:val="8"/>
  </w:num>
  <w:num w:numId="10" w16cid:durableId="1658194579">
    <w:abstractNumId w:val="7"/>
  </w:num>
  <w:num w:numId="11" w16cid:durableId="1142625173">
    <w:abstractNumId w:val="9"/>
  </w:num>
  <w:num w:numId="12" w16cid:durableId="32077696">
    <w:abstractNumId w:val="6"/>
  </w:num>
  <w:num w:numId="13" w16cid:durableId="622421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6D"/>
    <w:rsid w:val="000970F9"/>
    <w:rsid w:val="000C13BE"/>
    <w:rsid w:val="0012259A"/>
    <w:rsid w:val="001C4A10"/>
    <w:rsid w:val="00210F6A"/>
    <w:rsid w:val="00230722"/>
    <w:rsid w:val="002410DD"/>
    <w:rsid w:val="002E743B"/>
    <w:rsid w:val="00347F9D"/>
    <w:rsid w:val="00357247"/>
    <w:rsid w:val="003D51FE"/>
    <w:rsid w:val="00425C0F"/>
    <w:rsid w:val="00437FC2"/>
    <w:rsid w:val="004614A5"/>
    <w:rsid w:val="00573E6F"/>
    <w:rsid w:val="00574665"/>
    <w:rsid w:val="005B0AE2"/>
    <w:rsid w:val="00675E80"/>
    <w:rsid w:val="006D1F60"/>
    <w:rsid w:val="00713730"/>
    <w:rsid w:val="007312FD"/>
    <w:rsid w:val="00756509"/>
    <w:rsid w:val="00792491"/>
    <w:rsid w:val="007E76A4"/>
    <w:rsid w:val="00900A87"/>
    <w:rsid w:val="0095483A"/>
    <w:rsid w:val="0095708C"/>
    <w:rsid w:val="00992EDD"/>
    <w:rsid w:val="009973FD"/>
    <w:rsid w:val="009C1EB5"/>
    <w:rsid w:val="009D0C6D"/>
    <w:rsid w:val="009D61BF"/>
    <w:rsid w:val="00A54664"/>
    <w:rsid w:val="00AF2E8F"/>
    <w:rsid w:val="00B32C69"/>
    <w:rsid w:val="00BA3BEA"/>
    <w:rsid w:val="00BA4618"/>
    <w:rsid w:val="00BC3B17"/>
    <w:rsid w:val="00BE52AC"/>
    <w:rsid w:val="00BF5BC9"/>
    <w:rsid w:val="00C01AD8"/>
    <w:rsid w:val="00C535D9"/>
    <w:rsid w:val="00C7283D"/>
    <w:rsid w:val="00C7354D"/>
    <w:rsid w:val="00CF4792"/>
    <w:rsid w:val="00D13C52"/>
    <w:rsid w:val="00D7366B"/>
    <w:rsid w:val="00F318BD"/>
    <w:rsid w:val="00F3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0D57"/>
  <w15:chartTrackingRefBased/>
  <w15:docId w15:val="{29DA862B-229E-46C1-88B4-793CEAD3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1FE"/>
    <w:pPr>
      <w:ind w:left="720"/>
      <w:contextualSpacing/>
    </w:pPr>
  </w:style>
  <w:style w:type="paragraph" w:styleId="FootnoteText">
    <w:name w:val="footnote text"/>
    <w:basedOn w:val="Normal"/>
    <w:link w:val="FootnoteTextChar"/>
    <w:uiPriority w:val="99"/>
    <w:semiHidden/>
    <w:unhideWhenUsed/>
    <w:rsid w:val="00C7283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7283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72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5816">
      <w:bodyDiv w:val="1"/>
      <w:marLeft w:val="0"/>
      <w:marRight w:val="0"/>
      <w:marTop w:val="0"/>
      <w:marBottom w:val="0"/>
      <w:divBdr>
        <w:top w:val="none" w:sz="0" w:space="0" w:color="auto"/>
        <w:left w:val="none" w:sz="0" w:space="0" w:color="auto"/>
        <w:bottom w:val="none" w:sz="0" w:space="0" w:color="auto"/>
        <w:right w:val="none" w:sz="0" w:space="0" w:color="auto"/>
      </w:divBdr>
    </w:div>
    <w:div w:id="414788328">
      <w:bodyDiv w:val="1"/>
      <w:marLeft w:val="0"/>
      <w:marRight w:val="0"/>
      <w:marTop w:val="0"/>
      <w:marBottom w:val="0"/>
      <w:divBdr>
        <w:top w:val="none" w:sz="0" w:space="0" w:color="auto"/>
        <w:left w:val="none" w:sz="0" w:space="0" w:color="auto"/>
        <w:bottom w:val="none" w:sz="0" w:space="0" w:color="auto"/>
        <w:right w:val="none" w:sz="0" w:space="0" w:color="auto"/>
      </w:divBdr>
    </w:div>
    <w:div w:id="520164938">
      <w:bodyDiv w:val="1"/>
      <w:marLeft w:val="0"/>
      <w:marRight w:val="0"/>
      <w:marTop w:val="0"/>
      <w:marBottom w:val="0"/>
      <w:divBdr>
        <w:top w:val="none" w:sz="0" w:space="0" w:color="auto"/>
        <w:left w:val="none" w:sz="0" w:space="0" w:color="auto"/>
        <w:bottom w:val="none" w:sz="0" w:space="0" w:color="auto"/>
        <w:right w:val="none" w:sz="0" w:space="0" w:color="auto"/>
      </w:divBdr>
    </w:div>
    <w:div w:id="983510509">
      <w:bodyDiv w:val="1"/>
      <w:marLeft w:val="0"/>
      <w:marRight w:val="0"/>
      <w:marTop w:val="0"/>
      <w:marBottom w:val="0"/>
      <w:divBdr>
        <w:top w:val="none" w:sz="0" w:space="0" w:color="auto"/>
        <w:left w:val="none" w:sz="0" w:space="0" w:color="auto"/>
        <w:bottom w:val="none" w:sz="0" w:space="0" w:color="auto"/>
        <w:right w:val="none" w:sz="0" w:space="0" w:color="auto"/>
      </w:divBdr>
    </w:div>
    <w:div w:id="1835491796">
      <w:bodyDiv w:val="1"/>
      <w:marLeft w:val="0"/>
      <w:marRight w:val="0"/>
      <w:marTop w:val="0"/>
      <w:marBottom w:val="0"/>
      <w:divBdr>
        <w:top w:val="none" w:sz="0" w:space="0" w:color="auto"/>
        <w:left w:val="none" w:sz="0" w:space="0" w:color="auto"/>
        <w:bottom w:val="none" w:sz="0" w:space="0" w:color="auto"/>
        <w:right w:val="none" w:sz="0" w:space="0" w:color="auto"/>
      </w:divBdr>
    </w:div>
    <w:div w:id="21095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Curtis</dc:creator>
  <cp:keywords/>
  <dc:description/>
  <cp:lastModifiedBy>Tim Curtis</cp:lastModifiedBy>
  <cp:revision>2</cp:revision>
  <dcterms:created xsi:type="dcterms:W3CDTF">2024-05-21T17:59:00Z</dcterms:created>
  <dcterms:modified xsi:type="dcterms:W3CDTF">2024-05-21T17:59:00Z</dcterms:modified>
</cp:coreProperties>
</file>