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7783" w14:textId="351705D6" w:rsidR="00E972EF" w:rsidRPr="00D67768" w:rsidRDefault="00E972EF" w:rsidP="007E2FD9">
      <w:pPr>
        <w:spacing w:line="240" w:lineRule="auto"/>
        <w:rPr>
          <w:rFonts w:ascii="Arial" w:eastAsia="Times New Roman" w:hAnsi="Arial" w:cs="Arial"/>
          <w:sz w:val="24"/>
          <w:szCs w:val="24"/>
          <w:lang w:val="en-US"/>
        </w:rPr>
      </w:pPr>
    </w:p>
    <w:p w14:paraId="6247196C" w14:textId="0B439C5F" w:rsidR="00E972EF" w:rsidRPr="00D67768" w:rsidRDefault="007A4CC0" w:rsidP="007E2FD9">
      <w:pPr>
        <w:spacing w:after="0" w:line="240" w:lineRule="auto"/>
        <w:jc w:val="center"/>
        <w:rPr>
          <w:rFonts w:ascii="Arial" w:hAnsi="Arial" w:cs="Arial"/>
          <w:b/>
          <w:bCs/>
          <w:sz w:val="24"/>
          <w:szCs w:val="24"/>
        </w:rPr>
      </w:pPr>
      <w:r w:rsidRPr="00D67768">
        <w:rPr>
          <w:rFonts w:ascii="Arial" w:hAnsi="Arial" w:cs="Arial"/>
          <w:b/>
          <w:bCs/>
          <w:sz w:val="24"/>
          <w:szCs w:val="24"/>
        </w:rPr>
        <w:t>Newmarket</w:t>
      </w:r>
      <w:r w:rsidR="379CAE69" w:rsidRPr="00D67768">
        <w:rPr>
          <w:rFonts w:ascii="Arial" w:hAnsi="Arial" w:cs="Arial"/>
          <w:b/>
          <w:bCs/>
          <w:sz w:val="24"/>
          <w:szCs w:val="24"/>
        </w:rPr>
        <w:t>-</w:t>
      </w:r>
      <w:r w:rsidRPr="00D67768">
        <w:rPr>
          <w:rFonts w:ascii="Arial" w:hAnsi="Arial" w:cs="Arial"/>
          <w:b/>
          <w:bCs/>
          <w:sz w:val="24"/>
          <w:szCs w:val="24"/>
        </w:rPr>
        <w:t>Tay Power Distribution Ltd</w:t>
      </w:r>
      <w:r w:rsidR="00D97FB9" w:rsidRPr="00D67768">
        <w:rPr>
          <w:rFonts w:ascii="Arial" w:hAnsi="Arial" w:cs="Arial"/>
          <w:b/>
          <w:bCs/>
          <w:sz w:val="24"/>
          <w:szCs w:val="24"/>
        </w:rPr>
        <w:t>.</w:t>
      </w:r>
    </w:p>
    <w:p w14:paraId="0D017375" w14:textId="1853E1AE" w:rsidR="00E972EF" w:rsidRPr="00D67768" w:rsidRDefault="00E972EF" w:rsidP="007E2FD9">
      <w:pPr>
        <w:spacing w:after="360" w:line="240" w:lineRule="auto"/>
        <w:contextualSpacing/>
        <w:jc w:val="center"/>
        <w:rPr>
          <w:rFonts w:ascii="Arial" w:hAnsi="Arial" w:cs="Arial"/>
          <w:b/>
          <w:bCs/>
          <w:sz w:val="24"/>
          <w:szCs w:val="24"/>
        </w:rPr>
      </w:pPr>
      <w:r w:rsidRPr="00D67768">
        <w:rPr>
          <w:rFonts w:ascii="Arial" w:hAnsi="Arial" w:cs="Arial"/>
          <w:b/>
          <w:bCs/>
          <w:sz w:val="24"/>
          <w:szCs w:val="24"/>
        </w:rPr>
        <w:t>EB-20</w:t>
      </w:r>
      <w:r w:rsidR="00D97FB9" w:rsidRPr="00D67768">
        <w:rPr>
          <w:rFonts w:ascii="Arial" w:hAnsi="Arial" w:cs="Arial"/>
          <w:b/>
          <w:bCs/>
          <w:sz w:val="24"/>
          <w:szCs w:val="24"/>
        </w:rPr>
        <w:t>2</w:t>
      </w:r>
      <w:r w:rsidR="00E93A4C" w:rsidRPr="00D67768">
        <w:rPr>
          <w:rFonts w:ascii="Arial" w:hAnsi="Arial" w:cs="Arial"/>
          <w:b/>
          <w:bCs/>
          <w:sz w:val="24"/>
          <w:szCs w:val="24"/>
        </w:rPr>
        <w:t>4</w:t>
      </w:r>
      <w:r w:rsidRPr="00D67768">
        <w:rPr>
          <w:rFonts w:ascii="Arial" w:hAnsi="Arial" w:cs="Arial"/>
          <w:b/>
          <w:bCs/>
          <w:sz w:val="24"/>
          <w:szCs w:val="24"/>
        </w:rPr>
        <w:t>-</w:t>
      </w:r>
      <w:r w:rsidR="00D97FB9" w:rsidRPr="00D67768">
        <w:rPr>
          <w:rFonts w:ascii="Arial" w:hAnsi="Arial" w:cs="Arial"/>
          <w:b/>
          <w:bCs/>
          <w:sz w:val="24"/>
          <w:szCs w:val="24"/>
        </w:rPr>
        <w:t>00</w:t>
      </w:r>
      <w:r w:rsidR="007A4CC0" w:rsidRPr="00D67768">
        <w:rPr>
          <w:rFonts w:ascii="Arial" w:hAnsi="Arial" w:cs="Arial"/>
          <w:b/>
          <w:bCs/>
          <w:sz w:val="24"/>
          <w:szCs w:val="24"/>
        </w:rPr>
        <w:t>42</w:t>
      </w:r>
    </w:p>
    <w:p w14:paraId="30D8E6D3" w14:textId="351D693A" w:rsidR="00CE0F14" w:rsidRPr="00D67768" w:rsidRDefault="00CE0F14" w:rsidP="007E2FD9">
      <w:pPr>
        <w:spacing w:after="360" w:line="240" w:lineRule="auto"/>
        <w:contextualSpacing/>
        <w:jc w:val="center"/>
        <w:rPr>
          <w:rFonts w:ascii="Arial" w:hAnsi="Arial" w:cs="Arial"/>
          <w:b/>
          <w:bCs/>
          <w:sz w:val="24"/>
          <w:szCs w:val="24"/>
        </w:rPr>
      </w:pPr>
      <w:r w:rsidRPr="00D67768">
        <w:rPr>
          <w:rFonts w:ascii="Arial" w:hAnsi="Arial" w:cs="Arial"/>
          <w:b/>
          <w:bCs/>
          <w:sz w:val="24"/>
          <w:szCs w:val="24"/>
        </w:rPr>
        <w:t>Octobe</w:t>
      </w:r>
      <w:r w:rsidR="0052755A" w:rsidRPr="00D67768">
        <w:rPr>
          <w:rFonts w:ascii="Arial" w:hAnsi="Arial" w:cs="Arial"/>
          <w:b/>
          <w:bCs/>
          <w:sz w:val="24"/>
          <w:szCs w:val="24"/>
        </w:rPr>
        <w:t>r 1, 2024</w:t>
      </w:r>
    </w:p>
    <w:p w14:paraId="38A947D6" w14:textId="77777777" w:rsidR="0052755A" w:rsidRPr="00D67768" w:rsidRDefault="0052755A" w:rsidP="007E2FD9">
      <w:pPr>
        <w:spacing w:after="360" w:line="240" w:lineRule="auto"/>
        <w:contextualSpacing/>
        <w:jc w:val="center"/>
        <w:rPr>
          <w:rFonts w:ascii="Arial" w:hAnsi="Arial" w:cs="Arial"/>
          <w:b/>
          <w:bCs/>
          <w:sz w:val="24"/>
          <w:szCs w:val="24"/>
        </w:rPr>
      </w:pPr>
    </w:p>
    <w:p w14:paraId="4CCC0C71" w14:textId="799B739B" w:rsidR="009936CD" w:rsidRPr="00D67768" w:rsidRDefault="009936CD" w:rsidP="007E2FD9">
      <w:pPr>
        <w:autoSpaceDE w:val="0"/>
        <w:autoSpaceDN w:val="0"/>
        <w:adjustRightInd w:val="0"/>
        <w:spacing w:after="240" w:line="240" w:lineRule="auto"/>
        <w:rPr>
          <w:rFonts w:ascii="Arial" w:eastAsia="Calibri" w:hAnsi="Arial" w:cs="Arial"/>
          <w:sz w:val="24"/>
          <w:szCs w:val="24"/>
        </w:rPr>
      </w:pPr>
      <w:bookmarkStart w:id="0" w:name="_Hlk55806661"/>
      <w:r w:rsidRPr="00D67768">
        <w:rPr>
          <w:rFonts w:ascii="Arial" w:eastAsia="Calibri" w:hAnsi="Arial" w:cs="Arial"/>
          <w:sz w:val="24"/>
          <w:szCs w:val="24"/>
        </w:rPr>
        <w:t xml:space="preserve">Please note, </w:t>
      </w:r>
      <w:r w:rsidR="007A4CC0" w:rsidRPr="00D67768">
        <w:rPr>
          <w:rFonts w:ascii="Arial" w:eastAsia="Calibri" w:hAnsi="Arial" w:cs="Arial"/>
          <w:sz w:val="24"/>
          <w:szCs w:val="24"/>
        </w:rPr>
        <w:t>Newmarket</w:t>
      </w:r>
      <w:r w:rsidR="6C6FD6CA" w:rsidRPr="00D67768">
        <w:rPr>
          <w:rFonts w:ascii="Arial" w:eastAsia="Calibri" w:hAnsi="Arial" w:cs="Arial"/>
          <w:sz w:val="24"/>
          <w:szCs w:val="24"/>
        </w:rPr>
        <w:t>-</w:t>
      </w:r>
      <w:r w:rsidR="007A4CC0" w:rsidRPr="00D67768">
        <w:rPr>
          <w:rFonts w:ascii="Arial" w:eastAsia="Calibri" w:hAnsi="Arial" w:cs="Arial"/>
          <w:sz w:val="24"/>
          <w:szCs w:val="24"/>
        </w:rPr>
        <w:t xml:space="preserve">Tay Power Distribution Ltd. </w:t>
      </w:r>
      <w:r w:rsidR="00DA1717" w:rsidRPr="00D67768">
        <w:rPr>
          <w:rFonts w:ascii="Arial" w:eastAsia="Calibri" w:hAnsi="Arial" w:cs="Arial"/>
          <w:sz w:val="24"/>
          <w:szCs w:val="24"/>
        </w:rPr>
        <w:t>(</w:t>
      </w:r>
      <w:r w:rsidR="007A4CC0" w:rsidRPr="00D67768">
        <w:rPr>
          <w:rFonts w:ascii="Arial" w:eastAsia="Calibri" w:hAnsi="Arial" w:cs="Arial"/>
          <w:sz w:val="24"/>
          <w:szCs w:val="24"/>
        </w:rPr>
        <w:t>NT Power</w:t>
      </w:r>
      <w:r w:rsidR="00DA1717" w:rsidRPr="00D67768">
        <w:rPr>
          <w:rFonts w:ascii="Arial" w:eastAsia="Calibri" w:hAnsi="Arial" w:cs="Arial"/>
          <w:sz w:val="24"/>
          <w:szCs w:val="24"/>
        </w:rPr>
        <w:t>)</w:t>
      </w:r>
      <w:r w:rsidRPr="00D67768">
        <w:rPr>
          <w:rFonts w:ascii="Arial" w:eastAsia="Calibri" w:hAnsi="Arial" w:cs="Arial"/>
          <w:sz w:val="24"/>
          <w:szCs w:val="24"/>
        </w:rPr>
        <w:t xml:space="preserve"> is responsible for ensuring that all documents it files with the OEB, including responses to OEB staff </w:t>
      </w:r>
      <w:r w:rsidR="008B6D32" w:rsidRPr="00D67768">
        <w:rPr>
          <w:rFonts w:ascii="Arial" w:eastAsia="Calibri" w:hAnsi="Arial" w:cs="Arial"/>
          <w:sz w:val="24"/>
          <w:szCs w:val="24"/>
        </w:rPr>
        <w:t>questions</w:t>
      </w:r>
      <w:r w:rsidRPr="00D67768">
        <w:rPr>
          <w:rFonts w:ascii="Arial" w:eastAsia="Calibri" w:hAnsi="Arial" w:cs="Arial"/>
          <w:sz w:val="24"/>
          <w:szCs w:val="24"/>
        </w:rPr>
        <w:t xml:space="preserve"> and any other supporting documentation, do not include personal information (as that phrase is defined in the </w:t>
      </w:r>
      <w:r w:rsidRPr="00D67768">
        <w:rPr>
          <w:rFonts w:ascii="Arial" w:eastAsia="Calibri" w:hAnsi="Arial" w:cs="Arial"/>
          <w:i/>
          <w:iCs/>
          <w:sz w:val="24"/>
          <w:szCs w:val="24"/>
        </w:rPr>
        <w:t>Freedom of Information and Protection of Privacy Act</w:t>
      </w:r>
      <w:r w:rsidRPr="00D67768">
        <w:rPr>
          <w:rFonts w:ascii="Arial" w:eastAsia="Calibri" w:hAnsi="Arial" w:cs="Arial"/>
          <w:sz w:val="24"/>
          <w:szCs w:val="24"/>
        </w:rPr>
        <w:t xml:space="preserve">), unless filed in accordance with rule 9A of the OEB’s </w:t>
      </w:r>
      <w:r w:rsidRPr="00D67768">
        <w:rPr>
          <w:rFonts w:ascii="Arial" w:eastAsia="Calibri" w:hAnsi="Arial" w:cs="Arial"/>
          <w:i/>
          <w:iCs/>
          <w:sz w:val="24"/>
          <w:szCs w:val="24"/>
        </w:rPr>
        <w:t>Rules of Practice and Procedure</w:t>
      </w:r>
      <w:r w:rsidRPr="00D67768">
        <w:rPr>
          <w:rFonts w:ascii="Arial" w:eastAsia="Calibri" w:hAnsi="Arial" w:cs="Arial"/>
          <w:sz w:val="24"/>
          <w:szCs w:val="24"/>
        </w:rPr>
        <w:t>.</w:t>
      </w:r>
    </w:p>
    <w:bookmarkEnd w:id="0"/>
    <w:p w14:paraId="377356FA" w14:textId="77777777" w:rsidR="00544086" w:rsidRPr="00D67768" w:rsidRDefault="00A510AD" w:rsidP="007E2FD9">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Staff Question-1</w:t>
      </w:r>
    </w:p>
    <w:p w14:paraId="316784B7" w14:textId="77777777" w:rsidR="0085762B" w:rsidRPr="00D67768" w:rsidRDefault="0085762B" w:rsidP="007E2FD9">
      <w:pPr>
        <w:spacing w:after="0" w:line="240" w:lineRule="auto"/>
        <w:contextualSpacing/>
        <w:rPr>
          <w:rFonts w:ascii="Arial" w:eastAsia="Calibri" w:hAnsi="Arial" w:cs="Arial"/>
          <w:b/>
          <w:bCs/>
          <w:sz w:val="24"/>
          <w:szCs w:val="24"/>
        </w:rPr>
      </w:pPr>
    </w:p>
    <w:p w14:paraId="6981BE7E" w14:textId="3674BC94" w:rsidR="00886FB1" w:rsidRPr="00D67768" w:rsidRDefault="00886FB1" w:rsidP="007E2FD9">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 xml:space="preserve">Reference: </w:t>
      </w:r>
    </w:p>
    <w:p w14:paraId="15DBA675" w14:textId="1A39FDFE" w:rsidR="0031445B" w:rsidRPr="00D67768" w:rsidRDefault="00FC39EC" w:rsidP="00A03E72">
      <w:pPr>
        <w:pStyle w:val="ListParagraph"/>
        <w:numPr>
          <w:ilvl w:val="0"/>
          <w:numId w:val="3"/>
        </w:numPr>
        <w:spacing w:after="0" w:line="240" w:lineRule="auto"/>
        <w:rPr>
          <w:rFonts w:ascii="Arial" w:eastAsia="Calibri" w:hAnsi="Arial" w:cs="Arial"/>
          <w:sz w:val="24"/>
          <w:szCs w:val="24"/>
        </w:rPr>
      </w:pPr>
      <w:r w:rsidRPr="00D67768">
        <w:rPr>
          <w:rFonts w:ascii="Arial" w:eastAsia="Calibri" w:hAnsi="Arial" w:cs="Arial"/>
          <w:sz w:val="24"/>
          <w:szCs w:val="24"/>
        </w:rPr>
        <w:t xml:space="preserve">EB-2024-0042, Midland </w:t>
      </w:r>
      <w:r w:rsidR="00625991" w:rsidRPr="00D67768">
        <w:rPr>
          <w:rFonts w:ascii="Arial" w:eastAsia="Calibri" w:hAnsi="Arial" w:cs="Arial"/>
          <w:sz w:val="24"/>
          <w:szCs w:val="24"/>
        </w:rPr>
        <w:t>Power Utility Rate Zone (MRZ), Tab 3, Continuity Schedule</w:t>
      </w:r>
      <w:r w:rsidR="00457D9F" w:rsidRPr="00D67768">
        <w:rPr>
          <w:rFonts w:ascii="Arial" w:eastAsia="Calibri" w:hAnsi="Arial" w:cs="Arial"/>
          <w:sz w:val="24"/>
          <w:szCs w:val="24"/>
        </w:rPr>
        <w:t xml:space="preserve">, </w:t>
      </w:r>
      <w:r w:rsidR="004E7AD0" w:rsidRPr="00D67768">
        <w:rPr>
          <w:rFonts w:ascii="Arial" w:eastAsia="Calibri" w:hAnsi="Arial" w:cs="Arial"/>
          <w:sz w:val="24"/>
          <w:szCs w:val="24"/>
        </w:rPr>
        <w:t>C</w:t>
      </w:r>
      <w:r w:rsidR="00E00225" w:rsidRPr="00D67768">
        <w:rPr>
          <w:rFonts w:ascii="Arial" w:eastAsia="Calibri" w:hAnsi="Arial" w:cs="Arial"/>
          <w:sz w:val="24"/>
          <w:szCs w:val="24"/>
        </w:rPr>
        <w:t>ells</w:t>
      </w:r>
      <w:r w:rsidR="004E7AD0" w:rsidRPr="00D67768">
        <w:rPr>
          <w:rFonts w:ascii="Arial" w:eastAsia="Calibri" w:hAnsi="Arial" w:cs="Arial"/>
          <w:sz w:val="24"/>
          <w:szCs w:val="24"/>
        </w:rPr>
        <w:t xml:space="preserve"> BE</w:t>
      </w:r>
      <w:r w:rsidR="00E00225" w:rsidRPr="00D67768">
        <w:rPr>
          <w:rFonts w:ascii="Arial" w:eastAsia="Calibri" w:hAnsi="Arial" w:cs="Arial"/>
          <w:sz w:val="24"/>
          <w:szCs w:val="24"/>
        </w:rPr>
        <w:t>36</w:t>
      </w:r>
      <w:r w:rsidR="004E7AD0" w:rsidRPr="00D67768">
        <w:rPr>
          <w:rFonts w:ascii="Arial" w:eastAsia="Calibri" w:hAnsi="Arial" w:cs="Arial"/>
          <w:sz w:val="24"/>
          <w:szCs w:val="24"/>
        </w:rPr>
        <w:t xml:space="preserve"> </w:t>
      </w:r>
      <w:r w:rsidR="00EA71A3" w:rsidRPr="00D67768">
        <w:rPr>
          <w:rFonts w:ascii="Arial" w:eastAsia="Calibri" w:hAnsi="Arial" w:cs="Arial"/>
          <w:sz w:val="24"/>
          <w:szCs w:val="24"/>
        </w:rPr>
        <w:t>and BJ</w:t>
      </w:r>
      <w:r w:rsidR="003808FE" w:rsidRPr="00D67768">
        <w:rPr>
          <w:rFonts w:ascii="Arial" w:eastAsia="Calibri" w:hAnsi="Arial" w:cs="Arial"/>
          <w:sz w:val="24"/>
          <w:szCs w:val="24"/>
        </w:rPr>
        <w:t>36</w:t>
      </w:r>
    </w:p>
    <w:p w14:paraId="33C89262" w14:textId="4C2F5915" w:rsidR="00426397" w:rsidRPr="00D67768" w:rsidRDefault="000578CF" w:rsidP="00A03E72">
      <w:pPr>
        <w:pStyle w:val="ListParagraph"/>
        <w:numPr>
          <w:ilvl w:val="0"/>
          <w:numId w:val="3"/>
        </w:numPr>
        <w:spacing w:after="0" w:line="240" w:lineRule="auto"/>
        <w:rPr>
          <w:rFonts w:ascii="Arial" w:eastAsia="Calibri" w:hAnsi="Arial" w:cs="Arial"/>
          <w:sz w:val="24"/>
          <w:szCs w:val="24"/>
        </w:rPr>
      </w:pPr>
      <w:r w:rsidRPr="00D67768">
        <w:rPr>
          <w:rFonts w:ascii="Arial" w:eastAsia="Calibri" w:hAnsi="Arial" w:cs="Arial"/>
          <w:sz w:val="24"/>
          <w:szCs w:val="24"/>
        </w:rPr>
        <w:t xml:space="preserve">EB-2024-0042, </w:t>
      </w:r>
      <w:r w:rsidR="00047A91" w:rsidRPr="00D67768">
        <w:rPr>
          <w:rFonts w:ascii="Arial" w:eastAsia="Calibri" w:hAnsi="Arial" w:cs="Arial"/>
          <w:sz w:val="24"/>
          <w:szCs w:val="24"/>
        </w:rPr>
        <w:t>NT</w:t>
      </w:r>
      <w:r w:rsidRPr="00D67768">
        <w:rPr>
          <w:rFonts w:ascii="Arial" w:eastAsia="Calibri" w:hAnsi="Arial" w:cs="Arial"/>
          <w:sz w:val="24"/>
          <w:szCs w:val="24"/>
        </w:rPr>
        <w:t xml:space="preserve"> Power </w:t>
      </w:r>
      <w:r w:rsidR="00047A91" w:rsidRPr="00D67768">
        <w:rPr>
          <w:rFonts w:ascii="Arial" w:eastAsia="Calibri" w:hAnsi="Arial" w:cs="Arial"/>
          <w:sz w:val="24"/>
          <w:szCs w:val="24"/>
        </w:rPr>
        <w:t>Main</w:t>
      </w:r>
      <w:r w:rsidRPr="00D67768">
        <w:rPr>
          <w:rFonts w:ascii="Arial" w:eastAsia="Calibri" w:hAnsi="Arial" w:cs="Arial"/>
          <w:sz w:val="24"/>
          <w:szCs w:val="24"/>
        </w:rPr>
        <w:t xml:space="preserve"> Rate Zone (</w:t>
      </w:r>
      <w:r w:rsidR="00047A91" w:rsidRPr="00D67768">
        <w:rPr>
          <w:rFonts w:ascii="Arial" w:eastAsia="Calibri" w:hAnsi="Arial" w:cs="Arial"/>
          <w:sz w:val="24"/>
          <w:szCs w:val="24"/>
        </w:rPr>
        <w:t>N</w:t>
      </w:r>
      <w:r w:rsidRPr="00D67768">
        <w:rPr>
          <w:rFonts w:ascii="Arial" w:eastAsia="Calibri" w:hAnsi="Arial" w:cs="Arial"/>
          <w:sz w:val="24"/>
          <w:szCs w:val="24"/>
        </w:rPr>
        <w:t>RZ), Tab 3, Continuity Schedule, Cells BE36 and BJ36</w:t>
      </w:r>
    </w:p>
    <w:p w14:paraId="07DE5ACB" w14:textId="1354F57A" w:rsidR="00631C22" w:rsidRPr="00D67768" w:rsidRDefault="00631C22" w:rsidP="00A03E72">
      <w:pPr>
        <w:pStyle w:val="ListParagraph"/>
        <w:numPr>
          <w:ilvl w:val="0"/>
          <w:numId w:val="3"/>
        </w:numPr>
        <w:spacing w:after="0" w:line="240" w:lineRule="auto"/>
        <w:rPr>
          <w:rFonts w:ascii="Arial" w:eastAsia="Calibri" w:hAnsi="Arial" w:cs="Arial"/>
          <w:sz w:val="24"/>
          <w:szCs w:val="24"/>
        </w:rPr>
      </w:pPr>
      <w:r w:rsidRPr="00D67768">
        <w:rPr>
          <w:rFonts w:ascii="Arial" w:eastAsia="Calibri" w:hAnsi="Arial" w:cs="Arial"/>
          <w:sz w:val="24"/>
          <w:szCs w:val="24"/>
        </w:rPr>
        <w:t>Chapter 3 - Filing Requirement for Electricity Distribution Rate Applications Filed in 2024 for Rates Taking Effect in 2025, June 18, 2024, Pg. 16</w:t>
      </w:r>
    </w:p>
    <w:p w14:paraId="0EA969BA" w14:textId="71BEE7B6" w:rsidR="007D7577" w:rsidRPr="00D67768" w:rsidRDefault="006D7163" w:rsidP="00A03E72">
      <w:pPr>
        <w:pStyle w:val="ListParagraph"/>
        <w:numPr>
          <w:ilvl w:val="0"/>
          <w:numId w:val="3"/>
        </w:numPr>
        <w:spacing w:after="0" w:line="240" w:lineRule="auto"/>
        <w:rPr>
          <w:rFonts w:ascii="Arial" w:eastAsia="Calibri" w:hAnsi="Arial" w:cs="Arial"/>
          <w:sz w:val="24"/>
          <w:szCs w:val="24"/>
        </w:rPr>
      </w:pPr>
      <w:r w:rsidRPr="00D67768">
        <w:rPr>
          <w:rFonts w:ascii="Arial" w:eastAsia="Calibri" w:hAnsi="Arial" w:cs="Arial"/>
          <w:sz w:val="24"/>
          <w:szCs w:val="24"/>
        </w:rPr>
        <w:t xml:space="preserve">EB-2022-0050, </w:t>
      </w:r>
      <w:r w:rsidR="009F3A64" w:rsidRPr="00D67768">
        <w:rPr>
          <w:rFonts w:ascii="Arial" w:eastAsia="Calibri" w:hAnsi="Arial" w:cs="Arial"/>
          <w:sz w:val="24"/>
          <w:szCs w:val="24"/>
        </w:rPr>
        <w:t xml:space="preserve">Application for </w:t>
      </w:r>
      <w:r w:rsidR="00B16269" w:rsidRPr="00D67768">
        <w:rPr>
          <w:rFonts w:ascii="Arial" w:eastAsia="Calibri" w:hAnsi="Arial" w:cs="Arial"/>
          <w:sz w:val="24"/>
          <w:szCs w:val="24"/>
        </w:rPr>
        <w:t>R</w:t>
      </w:r>
      <w:r w:rsidR="009F3A64" w:rsidRPr="00D67768">
        <w:rPr>
          <w:rFonts w:ascii="Arial" w:eastAsia="Calibri" w:hAnsi="Arial" w:cs="Arial"/>
          <w:sz w:val="24"/>
          <w:szCs w:val="24"/>
        </w:rPr>
        <w:t xml:space="preserve">ates and </w:t>
      </w:r>
      <w:r w:rsidR="00B16269" w:rsidRPr="00D67768">
        <w:rPr>
          <w:rFonts w:ascii="Arial" w:eastAsia="Calibri" w:hAnsi="Arial" w:cs="Arial"/>
          <w:sz w:val="24"/>
          <w:szCs w:val="24"/>
        </w:rPr>
        <w:t>O</w:t>
      </w:r>
      <w:r w:rsidR="009F3A64" w:rsidRPr="00D67768">
        <w:rPr>
          <w:rFonts w:ascii="Arial" w:eastAsia="Calibri" w:hAnsi="Arial" w:cs="Arial"/>
          <w:sz w:val="24"/>
          <w:szCs w:val="24"/>
        </w:rPr>
        <w:t xml:space="preserve">ther </w:t>
      </w:r>
      <w:r w:rsidR="00B16269" w:rsidRPr="00D67768">
        <w:rPr>
          <w:rFonts w:ascii="Arial" w:eastAsia="Calibri" w:hAnsi="Arial" w:cs="Arial"/>
          <w:sz w:val="24"/>
          <w:szCs w:val="24"/>
        </w:rPr>
        <w:t>C</w:t>
      </w:r>
      <w:r w:rsidR="009F3A64" w:rsidRPr="00D67768">
        <w:rPr>
          <w:rFonts w:ascii="Arial" w:eastAsia="Calibri" w:hAnsi="Arial" w:cs="Arial"/>
          <w:sz w:val="24"/>
          <w:szCs w:val="24"/>
        </w:rPr>
        <w:t xml:space="preserve">harges to be </w:t>
      </w:r>
      <w:r w:rsidR="00B16269" w:rsidRPr="00D67768">
        <w:rPr>
          <w:rFonts w:ascii="Arial" w:eastAsia="Calibri" w:hAnsi="Arial" w:cs="Arial"/>
          <w:sz w:val="24"/>
          <w:szCs w:val="24"/>
        </w:rPr>
        <w:t>E</w:t>
      </w:r>
      <w:r w:rsidR="008274AC" w:rsidRPr="00D67768">
        <w:rPr>
          <w:rFonts w:ascii="Arial" w:eastAsia="Calibri" w:hAnsi="Arial" w:cs="Arial"/>
          <w:sz w:val="24"/>
          <w:szCs w:val="24"/>
        </w:rPr>
        <w:t>f</w:t>
      </w:r>
      <w:r w:rsidR="009F3A64" w:rsidRPr="00D67768">
        <w:rPr>
          <w:rFonts w:ascii="Arial" w:eastAsia="Calibri" w:hAnsi="Arial" w:cs="Arial"/>
          <w:sz w:val="24"/>
          <w:szCs w:val="24"/>
        </w:rPr>
        <w:t>fective May 1, 2023,</w:t>
      </w:r>
      <w:r w:rsidR="00B16269" w:rsidRPr="00D67768">
        <w:rPr>
          <w:rFonts w:ascii="Arial" w:eastAsia="Calibri" w:hAnsi="Arial" w:cs="Arial"/>
          <w:sz w:val="24"/>
          <w:szCs w:val="24"/>
        </w:rPr>
        <w:t xml:space="preserve"> </w:t>
      </w:r>
      <w:r w:rsidR="001860A2" w:rsidRPr="00D67768">
        <w:rPr>
          <w:rFonts w:ascii="Arial" w:eastAsia="Calibri" w:hAnsi="Arial" w:cs="Arial"/>
          <w:sz w:val="24"/>
          <w:szCs w:val="24"/>
        </w:rPr>
        <w:t xml:space="preserve">Decision and rate Order, Issued on </w:t>
      </w:r>
      <w:r w:rsidR="00162208" w:rsidRPr="00D67768">
        <w:rPr>
          <w:rFonts w:ascii="Arial" w:eastAsia="Calibri" w:hAnsi="Arial" w:cs="Arial"/>
          <w:sz w:val="24"/>
          <w:szCs w:val="24"/>
        </w:rPr>
        <w:t>March 23, 2023</w:t>
      </w:r>
      <w:r w:rsidR="00D8018A" w:rsidRPr="00D67768">
        <w:rPr>
          <w:rFonts w:ascii="Arial" w:eastAsia="Calibri" w:hAnsi="Arial" w:cs="Arial"/>
          <w:sz w:val="24"/>
          <w:szCs w:val="24"/>
        </w:rPr>
        <w:t>, Pg. 1</w:t>
      </w:r>
      <w:r w:rsidR="002D195A">
        <w:rPr>
          <w:rFonts w:ascii="Arial" w:eastAsia="Calibri" w:hAnsi="Arial" w:cs="Arial"/>
          <w:sz w:val="24"/>
          <w:szCs w:val="24"/>
        </w:rPr>
        <w:t>0-</w:t>
      </w:r>
      <w:r w:rsidR="00D8018A" w:rsidRPr="00D67768">
        <w:rPr>
          <w:rFonts w:ascii="Arial" w:eastAsia="Calibri" w:hAnsi="Arial" w:cs="Arial"/>
          <w:sz w:val="24"/>
          <w:szCs w:val="24"/>
        </w:rPr>
        <w:t>12</w:t>
      </w:r>
    </w:p>
    <w:p w14:paraId="744528C0" w14:textId="77777777" w:rsidR="00EA71A3" w:rsidRPr="00D67768" w:rsidRDefault="00EA71A3" w:rsidP="007E2FD9">
      <w:pPr>
        <w:pStyle w:val="Default"/>
        <w:rPr>
          <w:rFonts w:ascii="Arial" w:eastAsia="Calibri" w:hAnsi="Arial" w:cs="Arial"/>
          <w:b/>
          <w:bCs/>
          <w:color w:val="auto"/>
        </w:rPr>
      </w:pPr>
    </w:p>
    <w:p w14:paraId="307658F2" w14:textId="732A5319" w:rsidR="007176B5" w:rsidRPr="00D67768" w:rsidRDefault="007176B5" w:rsidP="007E2FD9">
      <w:pPr>
        <w:pStyle w:val="Default"/>
        <w:rPr>
          <w:rFonts w:ascii="Arial" w:eastAsia="Calibri" w:hAnsi="Arial" w:cs="Arial"/>
          <w:color w:val="auto"/>
        </w:rPr>
      </w:pPr>
      <w:r w:rsidRPr="00D67768">
        <w:rPr>
          <w:rFonts w:ascii="Arial" w:eastAsia="Calibri" w:hAnsi="Arial" w:cs="Arial"/>
          <w:color w:val="auto"/>
        </w:rPr>
        <w:t>Preamble:</w:t>
      </w:r>
    </w:p>
    <w:p w14:paraId="1C4B7BD8" w14:textId="3C2DC4F8" w:rsidR="007176B5" w:rsidRPr="00D67768" w:rsidRDefault="007176B5" w:rsidP="007176B5">
      <w:pPr>
        <w:spacing w:after="240"/>
        <w:contextualSpacing/>
        <w:rPr>
          <w:rFonts w:ascii="Arial" w:eastAsia="Calibri" w:hAnsi="Arial" w:cs="Arial"/>
          <w:sz w:val="24"/>
          <w:szCs w:val="24"/>
        </w:rPr>
      </w:pPr>
      <w:r w:rsidRPr="00D67768">
        <w:rPr>
          <w:rFonts w:ascii="Arial" w:eastAsia="Calibri" w:hAnsi="Arial" w:cs="Arial"/>
          <w:sz w:val="24"/>
          <w:szCs w:val="24"/>
        </w:rPr>
        <w:t>Chapter 3 of the Filing Requirements in Ref. (I</w:t>
      </w:r>
      <w:r w:rsidR="006B3154" w:rsidRPr="00D67768">
        <w:rPr>
          <w:rFonts w:ascii="Arial" w:eastAsia="Calibri" w:hAnsi="Arial" w:cs="Arial"/>
          <w:sz w:val="24"/>
          <w:szCs w:val="24"/>
        </w:rPr>
        <w:t>II</w:t>
      </w:r>
      <w:r w:rsidRPr="00D67768">
        <w:rPr>
          <w:rFonts w:ascii="Arial" w:eastAsia="Calibri" w:hAnsi="Arial" w:cs="Arial"/>
          <w:sz w:val="24"/>
          <w:szCs w:val="24"/>
        </w:rPr>
        <w:t xml:space="preserve">) specifies that when the OEB approves the disposition of </w:t>
      </w:r>
      <w:r w:rsidR="002B0965" w:rsidRPr="00D67768">
        <w:rPr>
          <w:rFonts w:ascii="Arial" w:eastAsia="Calibri" w:hAnsi="Arial" w:cs="Arial"/>
          <w:sz w:val="24"/>
          <w:szCs w:val="24"/>
        </w:rPr>
        <w:t>Deferral and Variance Account</w:t>
      </w:r>
      <w:r w:rsidR="003E2620" w:rsidRPr="00D67768">
        <w:rPr>
          <w:rFonts w:ascii="Arial" w:eastAsia="Calibri" w:hAnsi="Arial" w:cs="Arial"/>
          <w:sz w:val="24"/>
          <w:szCs w:val="24"/>
        </w:rPr>
        <w:t xml:space="preserve"> (DVA)</w:t>
      </w:r>
      <w:r w:rsidRPr="00D67768">
        <w:rPr>
          <w:rFonts w:ascii="Arial" w:eastAsia="Calibri" w:hAnsi="Arial" w:cs="Arial"/>
          <w:sz w:val="24"/>
          <w:szCs w:val="24"/>
        </w:rPr>
        <w:t xml:space="preserve"> balances, the approved principal amounts and carrying charges are to be transferred to Account 1595 for that rate year. This means that all OEB-approved dispositions from </w:t>
      </w:r>
      <w:r w:rsidR="245168AB" w:rsidRPr="00D67768">
        <w:rPr>
          <w:rFonts w:ascii="Arial" w:eastAsia="Calibri" w:hAnsi="Arial" w:cs="Arial"/>
          <w:sz w:val="24"/>
          <w:szCs w:val="24"/>
        </w:rPr>
        <w:t xml:space="preserve">NT Power’s </w:t>
      </w:r>
      <w:r w:rsidRPr="00D67768">
        <w:rPr>
          <w:rFonts w:ascii="Arial" w:eastAsia="Calibri" w:hAnsi="Arial" w:cs="Arial"/>
          <w:sz w:val="24"/>
          <w:szCs w:val="24"/>
        </w:rPr>
        <w:t xml:space="preserve">2023 </w:t>
      </w:r>
      <w:r w:rsidR="3A3A724B" w:rsidRPr="00D67768">
        <w:rPr>
          <w:rFonts w:ascii="Arial" w:eastAsia="Calibri" w:hAnsi="Arial" w:cs="Arial"/>
          <w:sz w:val="24"/>
          <w:szCs w:val="24"/>
        </w:rPr>
        <w:t>r</w:t>
      </w:r>
      <w:r w:rsidRPr="00D67768">
        <w:rPr>
          <w:rFonts w:ascii="Arial" w:eastAsia="Calibri" w:hAnsi="Arial" w:cs="Arial"/>
          <w:sz w:val="24"/>
          <w:szCs w:val="24"/>
        </w:rPr>
        <w:t xml:space="preserve">ate </w:t>
      </w:r>
      <w:r w:rsidR="67F1BF6A" w:rsidRPr="00D67768">
        <w:rPr>
          <w:rFonts w:ascii="Arial" w:eastAsia="Calibri" w:hAnsi="Arial" w:cs="Arial"/>
          <w:sz w:val="24"/>
          <w:szCs w:val="24"/>
        </w:rPr>
        <w:t>a</w:t>
      </w:r>
      <w:r w:rsidRPr="00D67768">
        <w:rPr>
          <w:rFonts w:ascii="Arial" w:eastAsia="Calibri" w:hAnsi="Arial" w:cs="Arial"/>
          <w:sz w:val="24"/>
          <w:szCs w:val="24"/>
        </w:rPr>
        <w:t xml:space="preserve">pplication should </w:t>
      </w:r>
      <w:r w:rsidR="00EB1EC6" w:rsidRPr="00D67768">
        <w:rPr>
          <w:rFonts w:ascii="Arial" w:eastAsia="Calibri" w:hAnsi="Arial" w:cs="Arial"/>
          <w:sz w:val="24"/>
          <w:szCs w:val="24"/>
        </w:rPr>
        <w:t>be</w:t>
      </w:r>
      <w:r w:rsidR="00A43356" w:rsidRPr="00D67768">
        <w:rPr>
          <w:rFonts w:ascii="Arial" w:eastAsia="Calibri" w:hAnsi="Arial" w:cs="Arial"/>
          <w:sz w:val="24"/>
          <w:szCs w:val="24"/>
        </w:rPr>
        <w:t xml:space="preserve"> </w:t>
      </w:r>
      <w:r w:rsidRPr="00D67768">
        <w:rPr>
          <w:rFonts w:ascii="Arial" w:eastAsia="Calibri" w:hAnsi="Arial" w:cs="Arial"/>
          <w:sz w:val="24"/>
          <w:szCs w:val="24"/>
        </w:rPr>
        <w:t xml:space="preserve">transferred to sub-account 1595 (2023) </w:t>
      </w:r>
      <w:r w:rsidR="00A43356" w:rsidRPr="00D67768">
        <w:rPr>
          <w:rFonts w:ascii="Arial" w:eastAsia="Calibri" w:hAnsi="Arial" w:cs="Arial"/>
          <w:sz w:val="24"/>
          <w:szCs w:val="24"/>
        </w:rPr>
        <w:t>for disposition and rate rider calculation</w:t>
      </w:r>
      <w:r w:rsidRPr="00D67768">
        <w:rPr>
          <w:rFonts w:ascii="Arial" w:eastAsia="Calibri" w:hAnsi="Arial" w:cs="Arial"/>
          <w:sz w:val="24"/>
          <w:szCs w:val="24"/>
        </w:rPr>
        <w:t>.</w:t>
      </w:r>
      <w:r w:rsidR="009579B3" w:rsidRPr="00D67768">
        <w:rPr>
          <w:rFonts w:ascii="Arial" w:eastAsia="Calibri" w:hAnsi="Arial" w:cs="Arial"/>
          <w:sz w:val="24"/>
          <w:szCs w:val="24"/>
        </w:rPr>
        <w:t xml:space="preserve"> </w:t>
      </w:r>
    </w:p>
    <w:p w14:paraId="6E09EEE9" w14:textId="77777777" w:rsidR="0085762B" w:rsidRPr="00D67768" w:rsidRDefault="0085762B" w:rsidP="007176B5">
      <w:pPr>
        <w:spacing w:after="240"/>
        <w:contextualSpacing/>
        <w:rPr>
          <w:rFonts w:ascii="Arial" w:eastAsia="Calibri" w:hAnsi="Arial" w:cs="Arial"/>
          <w:sz w:val="24"/>
          <w:szCs w:val="24"/>
        </w:rPr>
      </w:pPr>
    </w:p>
    <w:p w14:paraId="33C07303" w14:textId="77777777" w:rsidR="0085762B" w:rsidRPr="00D67768" w:rsidRDefault="00886FB1" w:rsidP="0085762B">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Question</w:t>
      </w:r>
      <w:r w:rsidR="00E775A5" w:rsidRPr="00D67768">
        <w:rPr>
          <w:rFonts w:ascii="Arial" w:eastAsia="Calibri" w:hAnsi="Arial" w:cs="Arial"/>
          <w:b/>
          <w:bCs/>
          <w:sz w:val="24"/>
          <w:szCs w:val="24"/>
        </w:rPr>
        <w:t>(s)</w:t>
      </w:r>
      <w:r w:rsidRPr="00D67768">
        <w:rPr>
          <w:rFonts w:ascii="Arial" w:eastAsia="Calibri" w:hAnsi="Arial" w:cs="Arial"/>
          <w:b/>
          <w:bCs/>
          <w:sz w:val="24"/>
          <w:szCs w:val="24"/>
        </w:rPr>
        <w:t xml:space="preserve">: </w:t>
      </w:r>
    </w:p>
    <w:p w14:paraId="0602C8F9" w14:textId="066E5F2B" w:rsidR="00E24AA6" w:rsidRPr="00D67768" w:rsidRDefault="00116AC9" w:rsidP="00A03E72">
      <w:pPr>
        <w:pStyle w:val="ListParagraph"/>
        <w:numPr>
          <w:ilvl w:val="0"/>
          <w:numId w:val="4"/>
        </w:numPr>
        <w:spacing w:after="0" w:line="240" w:lineRule="auto"/>
        <w:rPr>
          <w:rFonts w:ascii="Arial" w:eastAsia="Calibri" w:hAnsi="Arial" w:cs="Arial"/>
          <w:sz w:val="24"/>
          <w:szCs w:val="24"/>
        </w:rPr>
      </w:pPr>
      <w:r w:rsidRPr="00D67768">
        <w:rPr>
          <w:rFonts w:ascii="Arial" w:eastAsia="Calibri" w:hAnsi="Arial" w:cs="Arial"/>
          <w:sz w:val="24"/>
          <w:szCs w:val="24"/>
        </w:rPr>
        <w:t xml:space="preserve">OEB staff observes that the principal and interest </w:t>
      </w:r>
      <w:proofErr w:type="gramStart"/>
      <w:r w:rsidRPr="00D67768">
        <w:rPr>
          <w:rFonts w:ascii="Arial" w:eastAsia="Calibri" w:hAnsi="Arial" w:cs="Arial"/>
          <w:sz w:val="24"/>
          <w:szCs w:val="24"/>
        </w:rPr>
        <w:t>amounts</w:t>
      </w:r>
      <w:proofErr w:type="gramEnd"/>
      <w:r w:rsidRPr="00D67768">
        <w:rPr>
          <w:rFonts w:ascii="Arial" w:eastAsia="Calibri" w:hAnsi="Arial" w:cs="Arial"/>
          <w:sz w:val="24"/>
          <w:szCs w:val="24"/>
        </w:rPr>
        <w:t xml:space="preserve"> in Sub-account 1595 (2023) in both Ref. (I) and Ref. (II) do not match the total amounts approved by the OEB for disposition. </w:t>
      </w:r>
      <w:r w:rsidR="004545DF" w:rsidRPr="00D67768">
        <w:rPr>
          <w:rFonts w:ascii="Arial" w:eastAsia="Calibri" w:hAnsi="Arial" w:cs="Arial"/>
          <w:sz w:val="24"/>
          <w:szCs w:val="24"/>
        </w:rPr>
        <w:t>OEB s</w:t>
      </w:r>
      <w:r w:rsidRPr="00D67768">
        <w:rPr>
          <w:rFonts w:ascii="Arial" w:eastAsia="Calibri" w:hAnsi="Arial" w:cs="Arial"/>
          <w:sz w:val="24"/>
          <w:szCs w:val="24"/>
        </w:rPr>
        <w:t xml:space="preserve">taff </w:t>
      </w:r>
      <w:r w:rsidR="00103BB9" w:rsidRPr="00D67768">
        <w:rPr>
          <w:rFonts w:ascii="Arial" w:eastAsia="Calibri" w:hAnsi="Arial" w:cs="Arial"/>
          <w:sz w:val="24"/>
          <w:szCs w:val="24"/>
        </w:rPr>
        <w:t>notes</w:t>
      </w:r>
      <w:r w:rsidRPr="00D67768">
        <w:rPr>
          <w:rFonts w:ascii="Arial" w:eastAsia="Calibri" w:hAnsi="Arial" w:cs="Arial"/>
          <w:sz w:val="24"/>
          <w:szCs w:val="24"/>
        </w:rPr>
        <w:t xml:space="preserve"> that these amounts should correspond to the total approved for disposition in Ref. (IV), but with the opposite sign. Please explain the discrepancy.</w:t>
      </w:r>
    </w:p>
    <w:p w14:paraId="7BE3AA83" w14:textId="3ABD81C8" w:rsidR="00A9024A" w:rsidRPr="00D67768" w:rsidRDefault="00E24AA6" w:rsidP="00A03E72">
      <w:pPr>
        <w:pStyle w:val="Default"/>
        <w:numPr>
          <w:ilvl w:val="0"/>
          <w:numId w:val="4"/>
        </w:numPr>
        <w:rPr>
          <w:rFonts w:ascii="Arial" w:eastAsia="Calibri" w:hAnsi="Arial" w:cs="Arial"/>
          <w:color w:val="auto"/>
        </w:rPr>
      </w:pPr>
      <w:r w:rsidRPr="00D67768">
        <w:rPr>
          <w:rFonts w:ascii="Arial" w:eastAsia="Calibri" w:hAnsi="Arial" w:cs="Arial"/>
        </w:rPr>
        <w:t xml:space="preserve">OEB staff also notes that </w:t>
      </w:r>
      <w:r w:rsidR="00C9751B">
        <w:rPr>
          <w:rFonts w:ascii="Arial" w:eastAsia="Calibri" w:hAnsi="Arial" w:cs="Arial"/>
        </w:rPr>
        <w:t xml:space="preserve">an </w:t>
      </w:r>
      <w:r w:rsidRPr="00D67768">
        <w:rPr>
          <w:rFonts w:ascii="Arial" w:eastAsia="Calibri" w:hAnsi="Arial" w:cs="Arial"/>
        </w:rPr>
        <w:t>approved disposition for Account 1595 (2018), referenced in Ref. (IV), is missing from the Continuity Schedule</w:t>
      </w:r>
      <w:r w:rsidR="00D240B9">
        <w:rPr>
          <w:rFonts w:ascii="Arial" w:eastAsia="Calibri" w:hAnsi="Arial" w:cs="Arial"/>
        </w:rPr>
        <w:t xml:space="preserve"> for both rate zones under</w:t>
      </w:r>
      <w:r w:rsidR="00E77529">
        <w:rPr>
          <w:rFonts w:ascii="Arial" w:eastAsia="Calibri" w:hAnsi="Arial" w:cs="Arial"/>
        </w:rPr>
        <w:t xml:space="preserve"> the</w:t>
      </w:r>
      <w:r w:rsidR="00D240B9">
        <w:rPr>
          <w:rFonts w:ascii="Arial" w:eastAsia="Calibri" w:hAnsi="Arial" w:cs="Arial"/>
        </w:rPr>
        <w:t xml:space="preserve"> 2023</w:t>
      </w:r>
      <w:r w:rsidR="00731458">
        <w:rPr>
          <w:rFonts w:ascii="Arial" w:eastAsia="Calibri" w:hAnsi="Arial" w:cs="Arial"/>
        </w:rPr>
        <w:t xml:space="preserve"> </w:t>
      </w:r>
      <w:r w:rsidR="0018086B">
        <w:rPr>
          <w:rFonts w:ascii="Arial" w:eastAsia="Calibri" w:hAnsi="Arial" w:cs="Arial"/>
        </w:rPr>
        <w:t>column.</w:t>
      </w:r>
      <w:r w:rsidR="0018086B" w:rsidRPr="00D67768">
        <w:rPr>
          <w:rFonts w:ascii="Arial" w:eastAsia="Calibri" w:hAnsi="Arial" w:cs="Arial"/>
        </w:rPr>
        <w:t xml:space="preserve"> Please</w:t>
      </w:r>
      <w:r w:rsidRPr="00D67768">
        <w:rPr>
          <w:rFonts w:ascii="Arial" w:eastAsia="Calibri" w:hAnsi="Arial" w:cs="Arial"/>
        </w:rPr>
        <w:t xml:space="preserve"> </w:t>
      </w:r>
      <w:r w:rsidR="00025F08">
        <w:rPr>
          <w:rFonts w:ascii="Arial" w:eastAsia="Calibri" w:hAnsi="Arial" w:cs="Arial"/>
        </w:rPr>
        <w:t xml:space="preserve">confirm if </w:t>
      </w:r>
      <w:r w:rsidR="00595B1B">
        <w:rPr>
          <w:rFonts w:ascii="Arial" w:eastAsia="Calibri" w:hAnsi="Arial" w:cs="Arial"/>
        </w:rPr>
        <w:t>Account</w:t>
      </w:r>
      <w:r w:rsidR="00B17E47">
        <w:rPr>
          <w:rFonts w:ascii="Arial" w:eastAsia="Calibri" w:hAnsi="Arial" w:cs="Arial"/>
        </w:rPr>
        <w:t xml:space="preserve">1595 </w:t>
      </w:r>
      <w:r w:rsidR="004359C7">
        <w:rPr>
          <w:rFonts w:ascii="Arial" w:eastAsia="Calibri" w:hAnsi="Arial" w:cs="Arial"/>
        </w:rPr>
        <w:t xml:space="preserve">(2018) </w:t>
      </w:r>
      <w:r w:rsidR="00595B1B">
        <w:rPr>
          <w:rFonts w:ascii="Arial" w:eastAsia="Calibri" w:hAnsi="Arial" w:cs="Arial"/>
        </w:rPr>
        <w:t>was</w:t>
      </w:r>
      <w:r w:rsidR="004359C7">
        <w:rPr>
          <w:rFonts w:ascii="Arial" w:eastAsia="Calibri" w:hAnsi="Arial" w:cs="Arial"/>
        </w:rPr>
        <w:t xml:space="preserve"> disposed of on a final basis and that the account balance is </w:t>
      </w:r>
      <w:r w:rsidR="00595B1B">
        <w:rPr>
          <w:rFonts w:ascii="Arial" w:eastAsia="Calibri" w:hAnsi="Arial" w:cs="Arial"/>
        </w:rPr>
        <w:t xml:space="preserve">now </w:t>
      </w:r>
      <w:r w:rsidR="004359C7">
        <w:rPr>
          <w:rFonts w:ascii="Arial" w:eastAsia="Calibri" w:hAnsi="Arial" w:cs="Arial"/>
        </w:rPr>
        <w:t>zero</w:t>
      </w:r>
      <w:r w:rsidRPr="00D67768">
        <w:rPr>
          <w:rFonts w:ascii="Arial" w:eastAsia="Calibri" w:hAnsi="Arial" w:cs="Arial"/>
        </w:rPr>
        <w:t>.</w:t>
      </w:r>
    </w:p>
    <w:p w14:paraId="5220A808" w14:textId="77777777" w:rsidR="00085B9F" w:rsidRPr="00D67768" w:rsidRDefault="00085B9F" w:rsidP="0009197D">
      <w:pPr>
        <w:spacing w:after="0" w:line="240" w:lineRule="auto"/>
        <w:contextualSpacing/>
        <w:rPr>
          <w:rFonts w:ascii="Arial" w:eastAsia="Calibri" w:hAnsi="Arial" w:cs="Arial"/>
          <w:b/>
          <w:bCs/>
          <w:sz w:val="24"/>
          <w:szCs w:val="24"/>
        </w:rPr>
      </w:pPr>
    </w:p>
    <w:p w14:paraId="11FC4F7F" w14:textId="77777777" w:rsidR="00A16151" w:rsidRPr="00D67768" w:rsidRDefault="00A16151" w:rsidP="00390795">
      <w:pPr>
        <w:spacing w:after="0" w:line="240" w:lineRule="auto"/>
        <w:contextualSpacing/>
        <w:rPr>
          <w:rFonts w:ascii="Arial" w:eastAsia="Calibri" w:hAnsi="Arial" w:cs="Arial"/>
          <w:b/>
          <w:bCs/>
          <w:sz w:val="24"/>
          <w:szCs w:val="24"/>
        </w:rPr>
      </w:pPr>
    </w:p>
    <w:p w14:paraId="05ABA2BD" w14:textId="77777777" w:rsidR="00A16151" w:rsidRPr="00D67768" w:rsidRDefault="00A16151" w:rsidP="00390795">
      <w:pPr>
        <w:spacing w:after="0" w:line="240" w:lineRule="auto"/>
        <w:contextualSpacing/>
        <w:rPr>
          <w:rFonts w:ascii="Arial" w:eastAsia="Calibri" w:hAnsi="Arial" w:cs="Arial"/>
          <w:b/>
          <w:bCs/>
          <w:sz w:val="24"/>
          <w:szCs w:val="24"/>
        </w:rPr>
      </w:pPr>
    </w:p>
    <w:p w14:paraId="6255134A" w14:textId="77777777" w:rsidR="0085762B" w:rsidRPr="00D67768" w:rsidRDefault="0085762B" w:rsidP="00390795">
      <w:pPr>
        <w:spacing w:after="0" w:line="240" w:lineRule="auto"/>
        <w:contextualSpacing/>
        <w:rPr>
          <w:rFonts w:ascii="Arial" w:eastAsia="Calibri" w:hAnsi="Arial" w:cs="Arial"/>
          <w:b/>
          <w:bCs/>
          <w:sz w:val="24"/>
          <w:szCs w:val="24"/>
        </w:rPr>
      </w:pPr>
    </w:p>
    <w:p w14:paraId="1A64012F" w14:textId="77777777" w:rsidR="009A6D12" w:rsidRPr="00D67768" w:rsidRDefault="009A6D12" w:rsidP="00B4499C">
      <w:pPr>
        <w:spacing w:after="0" w:line="240" w:lineRule="auto"/>
        <w:contextualSpacing/>
        <w:rPr>
          <w:rFonts w:ascii="Arial" w:eastAsia="Calibri" w:hAnsi="Arial" w:cs="Arial"/>
          <w:b/>
          <w:bCs/>
          <w:sz w:val="24"/>
          <w:szCs w:val="24"/>
        </w:rPr>
      </w:pPr>
    </w:p>
    <w:p w14:paraId="379C0447" w14:textId="33ECB18B" w:rsidR="00B4499C" w:rsidRPr="00D67768" w:rsidRDefault="00B4499C" w:rsidP="00B4499C">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Staff Question-2</w:t>
      </w:r>
    </w:p>
    <w:p w14:paraId="4C03FEDF" w14:textId="77777777" w:rsidR="004F37F6" w:rsidRPr="00D67768" w:rsidRDefault="004F37F6" w:rsidP="00B4499C">
      <w:pPr>
        <w:spacing w:after="0" w:line="240" w:lineRule="auto"/>
        <w:contextualSpacing/>
        <w:rPr>
          <w:rFonts w:ascii="Arial" w:eastAsia="Calibri" w:hAnsi="Arial" w:cs="Arial"/>
          <w:b/>
          <w:bCs/>
          <w:sz w:val="24"/>
          <w:szCs w:val="24"/>
        </w:rPr>
      </w:pPr>
    </w:p>
    <w:p w14:paraId="775CF693" w14:textId="77777777" w:rsidR="00B4499C" w:rsidRPr="00D67768" w:rsidRDefault="00B4499C" w:rsidP="00B4499C">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 xml:space="preserve">Reference: </w:t>
      </w:r>
    </w:p>
    <w:p w14:paraId="60C3DEBA" w14:textId="5E524FB9" w:rsidR="00E879BC" w:rsidRPr="00D67768" w:rsidRDefault="00E879BC" w:rsidP="00A03E72">
      <w:pPr>
        <w:pStyle w:val="ListParagraph"/>
        <w:numPr>
          <w:ilvl w:val="0"/>
          <w:numId w:val="7"/>
        </w:numPr>
        <w:spacing w:after="0" w:line="240" w:lineRule="auto"/>
        <w:rPr>
          <w:rFonts w:ascii="Arial" w:eastAsia="Calibri" w:hAnsi="Arial" w:cs="Arial"/>
          <w:sz w:val="24"/>
          <w:szCs w:val="24"/>
        </w:rPr>
      </w:pPr>
      <w:r w:rsidRPr="00D67768">
        <w:rPr>
          <w:rFonts w:ascii="Arial" w:eastAsia="Calibri" w:hAnsi="Arial" w:cs="Arial"/>
          <w:sz w:val="24"/>
          <w:szCs w:val="24"/>
        </w:rPr>
        <w:t xml:space="preserve">EB-2024-0042, Midland Power Utility Rate Zone (MRZ), Tab 3, Continuity Schedule, </w:t>
      </w:r>
      <w:r w:rsidR="001B30BA" w:rsidRPr="00D67768">
        <w:rPr>
          <w:rFonts w:ascii="Arial" w:eastAsia="Calibri" w:hAnsi="Arial" w:cs="Arial"/>
          <w:sz w:val="24"/>
          <w:szCs w:val="24"/>
        </w:rPr>
        <w:t xml:space="preserve">Columns </w:t>
      </w:r>
      <w:proofErr w:type="gramStart"/>
      <w:r w:rsidR="001B30BA" w:rsidRPr="00D67768">
        <w:rPr>
          <w:rFonts w:ascii="Arial" w:eastAsia="Calibri" w:hAnsi="Arial" w:cs="Arial"/>
          <w:sz w:val="24"/>
          <w:szCs w:val="24"/>
        </w:rPr>
        <w:t>BM</w:t>
      </w:r>
      <w:proofErr w:type="gramEnd"/>
      <w:r w:rsidR="001B30BA" w:rsidRPr="00D67768">
        <w:rPr>
          <w:rFonts w:ascii="Arial" w:eastAsia="Calibri" w:hAnsi="Arial" w:cs="Arial"/>
          <w:sz w:val="24"/>
          <w:szCs w:val="24"/>
        </w:rPr>
        <w:t xml:space="preserve"> and BN</w:t>
      </w:r>
    </w:p>
    <w:p w14:paraId="55447FDA" w14:textId="1814B692" w:rsidR="00E879BC" w:rsidRPr="00D67768" w:rsidRDefault="00E879BC" w:rsidP="00A03E72">
      <w:pPr>
        <w:pStyle w:val="ListParagraph"/>
        <w:numPr>
          <w:ilvl w:val="0"/>
          <w:numId w:val="7"/>
        </w:numPr>
        <w:spacing w:after="0" w:line="240" w:lineRule="auto"/>
        <w:rPr>
          <w:rFonts w:ascii="Arial" w:eastAsia="Calibri" w:hAnsi="Arial" w:cs="Arial"/>
          <w:sz w:val="24"/>
          <w:szCs w:val="24"/>
        </w:rPr>
      </w:pPr>
      <w:r w:rsidRPr="00D67768">
        <w:rPr>
          <w:rFonts w:ascii="Arial" w:eastAsia="Calibri" w:hAnsi="Arial" w:cs="Arial"/>
          <w:sz w:val="24"/>
          <w:szCs w:val="24"/>
        </w:rPr>
        <w:t xml:space="preserve">EB-2024-0042, NT Power Main Rate Zone (NRZ), Tab 3, Continuity Schedule, </w:t>
      </w:r>
      <w:r w:rsidR="001B30BA" w:rsidRPr="00D67768">
        <w:rPr>
          <w:rFonts w:ascii="Arial" w:eastAsia="Calibri" w:hAnsi="Arial" w:cs="Arial"/>
          <w:sz w:val="24"/>
          <w:szCs w:val="24"/>
        </w:rPr>
        <w:t xml:space="preserve">Columns </w:t>
      </w:r>
      <w:proofErr w:type="gramStart"/>
      <w:r w:rsidR="001B30BA" w:rsidRPr="00D67768">
        <w:rPr>
          <w:rFonts w:ascii="Arial" w:eastAsia="Calibri" w:hAnsi="Arial" w:cs="Arial"/>
          <w:sz w:val="24"/>
          <w:szCs w:val="24"/>
        </w:rPr>
        <w:t>BM</w:t>
      </w:r>
      <w:proofErr w:type="gramEnd"/>
      <w:r w:rsidR="001B30BA" w:rsidRPr="00D67768">
        <w:rPr>
          <w:rFonts w:ascii="Arial" w:eastAsia="Calibri" w:hAnsi="Arial" w:cs="Arial"/>
          <w:sz w:val="24"/>
          <w:szCs w:val="24"/>
        </w:rPr>
        <w:t xml:space="preserve"> and BN</w:t>
      </w:r>
    </w:p>
    <w:p w14:paraId="7E466D25" w14:textId="4BACE4FA" w:rsidR="004F37F6" w:rsidRPr="00D67768" w:rsidRDefault="00785E75" w:rsidP="00A03E72">
      <w:pPr>
        <w:pStyle w:val="ListParagraph"/>
        <w:numPr>
          <w:ilvl w:val="0"/>
          <w:numId w:val="7"/>
        </w:numPr>
        <w:spacing w:after="0" w:line="240" w:lineRule="auto"/>
        <w:rPr>
          <w:rFonts w:ascii="Arial" w:eastAsia="Calibri" w:hAnsi="Arial" w:cs="Arial"/>
          <w:sz w:val="24"/>
          <w:szCs w:val="24"/>
        </w:rPr>
      </w:pPr>
      <w:r w:rsidRPr="00D67768">
        <w:rPr>
          <w:rFonts w:ascii="Arial" w:eastAsia="Calibri" w:hAnsi="Arial" w:cs="Arial"/>
          <w:sz w:val="24"/>
          <w:szCs w:val="24"/>
        </w:rPr>
        <w:t>EB-2023-0039</w:t>
      </w:r>
      <w:r w:rsidR="007805FA" w:rsidRPr="00D67768">
        <w:rPr>
          <w:rFonts w:ascii="Arial" w:eastAsia="Calibri" w:hAnsi="Arial" w:cs="Arial"/>
          <w:sz w:val="24"/>
          <w:szCs w:val="24"/>
        </w:rPr>
        <w:t xml:space="preserve">, 2024 </w:t>
      </w:r>
      <w:r w:rsidR="007E019E" w:rsidRPr="00D67768">
        <w:rPr>
          <w:rFonts w:ascii="Arial" w:eastAsia="Calibri" w:hAnsi="Arial" w:cs="Arial"/>
          <w:sz w:val="24"/>
          <w:szCs w:val="24"/>
        </w:rPr>
        <w:t>R</w:t>
      </w:r>
      <w:r w:rsidR="007805FA" w:rsidRPr="00D67768">
        <w:rPr>
          <w:rFonts w:ascii="Arial" w:eastAsia="Calibri" w:hAnsi="Arial" w:cs="Arial"/>
          <w:sz w:val="24"/>
          <w:szCs w:val="24"/>
        </w:rPr>
        <w:t>ates Application, Decision and Order, Issued May 7, 2024</w:t>
      </w:r>
      <w:r w:rsidR="007E019E" w:rsidRPr="00D67768">
        <w:rPr>
          <w:rFonts w:ascii="Arial" w:eastAsia="Calibri" w:hAnsi="Arial" w:cs="Arial"/>
          <w:sz w:val="24"/>
          <w:szCs w:val="24"/>
        </w:rPr>
        <w:t>, Pg. 19 and 21.</w:t>
      </w:r>
    </w:p>
    <w:p w14:paraId="55418ECB" w14:textId="77777777" w:rsidR="004D6251" w:rsidRPr="00D67768" w:rsidRDefault="004D6251" w:rsidP="004D6251">
      <w:pPr>
        <w:spacing w:after="0" w:line="240" w:lineRule="auto"/>
        <w:rPr>
          <w:rFonts w:ascii="Arial" w:eastAsia="Calibri" w:hAnsi="Arial" w:cs="Arial"/>
          <w:sz w:val="24"/>
          <w:szCs w:val="24"/>
        </w:rPr>
      </w:pPr>
    </w:p>
    <w:p w14:paraId="5E25C6C3" w14:textId="1648C51F" w:rsidR="004D6251" w:rsidRPr="00D67768" w:rsidRDefault="004D6251" w:rsidP="004D6251">
      <w:pPr>
        <w:spacing w:after="0" w:line="240" w:lineRule="auto"/>
        <w:rPr>
          <w:rFonts w:ascii="Arial" w:eastAsia="Calibri" w:hAnsi="Arial" w:cs="Arial"/>
          <w:sz w:val="24"/>
          <w:szCs w:val="24"/>
        </w:rPr>
      </w:pPr>
      <w:r w:rsidRPr="00D67768">
        <w:rPr>
          <w:rFonts w:ascii="Arial" w:eastAsia="Calibri" w:hAnsi="Arial" w:cs="Arial"/>
          <w:sz w:val="24"/>
          <w:szCs w:val="24"/>
        </w:rPr>
        <w:t>Preamble:</w:t>
      </w:r>
    </w:p>
    <w:p w14:paraId="59CC2E4D" w14:textId="69ECF4E8" w:rsidR="004D6251" w:rsidRPr="00D67768" w:rsidRDefault="004D6251" w:rsidP="004D6251">
      <w:pPr>
        <w:pStyle w:val="Default"/>
        <w:rPr>
          <w:rFonts w:ascii="Arial" w:eastAsia="Calibri" w:hAnsi="Arial" w:cs="Arial"/>
          <w:color w:val="auto"/>
        </w:rPr>
      </w:pPr>
      <w:r w:rsidRPr="00D67768">
        <w:rPr>
          <w:rFonts w:ascii="Arial" w:eastAsia="Calibri" w:hAnsi="Arial" w:cs="Arial"/>
          <w:color w:val="auto"/>
        </w:rPr>
        <w:t xml:space="preserve">OEB </w:t>
      </w:r>
      <w:r w:rsidR="006D0F05" w:rsidRPr="00D67768">
        <w:rPr>
          <w:rFonts w:ascii="Arial" w:eastAsia="Calibri" w:hAnsi="Arial" w:cs="Arial"/>
          <w:color w:val="auto"/>
        </w:rPr>
        <w:t>s</w:t>
      </w:r>
      <w:r w:rsidRPr="00D67768">
        <w:rPr>
          <w:rFonts w:ascii="Arial" w:eastAsia="Calibri" w:hAnsi="Arial" w:cs="Arial"/>
          <w:color w:val="auto"/>
        </w:rPr>
        <w:t xml:space="preserve">taff notes that the transfer of OEB approved </w:t>
      </w:r>
      <w:r w:rsidR="009C6E52" w:rsidRPr="00D67768">
        <w:rPr>
          <w:rFonts w:ascii="Arial" w:eastAsia="Calibri" w:hAnsi="Arial" w:cs="Arial"/>
          <w:color w:val="auto"/>
        </w:rPr>
        <w:t xml:space="preserve">disposition </w:t>
      </w:r>
      <w:r w:rsidRPr="00D67768">
        <w:rPr>
          <w:rFonts w:ascii="Arial" w:eastAsia="Calibri" w:hAnsi="Arial" w:cs="Arial"/>
          <w:color w:val="auto"/>
        </w:rPr>
        <w:t>amounts from Ref. (III) are not reflected in Account 1595 (2024) in Ref. (I) and Ref. (II).</w:t>
      </w:r>
      <w:r w:rsidR="009C6E52" w:rsidRPr="00D67768">
        <w:rPr>
          <w:rFonts w:ascii="Arial" w:eastAsia="Calibri" w:hAnsi="Arial" w:cs="Arial"/>
          <w:color w:val="auto"/>
        </w:rPr>
        <w:t xml:space="preserve"> </w:t>
      </w:r>
      <w:r w:rsidR="5793E6CA" w:rsidRPr="00D67768">
        <w:rPr>
          <w:rFonts w:ascii="Arial" w:eastAsia="Calibri" w:hAnsi="Arial" w:cs="Arial"/>
          <w:color w:val="auto"/>
        </w:rPr>
        <w:t xml:space="preserve">OEB </w:t>
      </w:r>
      <w:r w:rsidR="6B016577" w:rsidRPr="00D67768">
        <w:rPr>
          <w:rFonts w:ascii="Arial" w:eastAsia="Calibri" w:hAnsi="Arial" w:cs="Arial"/>
          <w:color w:val="auto"/>
        </w:rPr>
        <w:t>s</w:t>
      </w:r>
      <w:r w:rsidR="009C6E52" w:rsidRPr="00D67768">
        <w:rPr>
          <w:rFonts w:ascii="Arial" w:eastAsia="Calibri" w:hAnsi="Arial" w:cs="Arial"/>
          <w:color w:val="auto"/>
        </w:rPr>
        <w:t xml:space="preserve">taff also </w:t>
      </w:r>
      <w:r w:rsidR="00E76B5E" w:rsidRPr="00D67768">
        <w:rPr>
          <w:rFonts w:ascii="Arial" w:eastAsia="Calibri" w:hAnsi="Arial" w:cs="Arial"/>
          <w:color w:val="auto"/>
        </w:rPr>
        <w:t xml:space="preserve">observes that </w:t>
      </w:r>
      <w:r w:rsidR="00900B26" w:rsidRPr="00D67768">
        <w:rPr>
          <w:rFonts w:ascii="Arial" w:eastAsia="Calibri" w:hAnsi="Arial" w:cs="Arial"/>
          <w:color w:val="auto"/>
        </w:rPr>
        <w:t>the approved disposition amounts for</w:t>
      </w:r>
      <w:r w:rsidR="00BC15E8" w:rsidRPr="00D67768">
        <w:rPr>
          <w:rFonts w:ascii="Arial" w:eastAsia="Calibri" w:hAnsi="Arial" w:cs="Arial"/>
          <w:color w:val="auto"/>
        </w:rPr>
        <w:t xml:space="preserve"> Sub-account</w:t>
      </w:r>
      <w:r w:rsidR="00900B26" w:rsidRPr="00D67768">
        <w:rPr>
          <w:rFonts w:ascii="Arial" w:eastAsia="Calibri" w:hAnsi="Arial" w:cs="Arial"/>
          <w:color w:val="auto"/>
        </w:rPr>
        <w:t xml:space="preserve"> </w:t>
      </w:r>
      <w:r w:rsidR="00E4327B" w:rsidRPr="00D67768">
        <w:rPr>
          <w:rFonts w:ascii="Arial" w:eastAsia="Calibri" w:hAnsi="Arial" w:cs="Arial"/>
          <w:color w:val="auto"/>
        </w:rPr>
        <w:t>1595 (2019)</w:t>
      </w:r>
      <w:r w:rsidR="00367E82" w:rsidRPr="00D67768">
        <w:rPr>
          <w:rFonts w:ascii="Arial" w:eastAsia="Calibri" w:hAnsi="Arial" w:cs="Arial"/>
          <w:color w:val="auto"/>
        </w:rPr>
        <w:t>, in Ref. (III)</w:t>
      </w:r>
      <w:r w:rsidR="00315180" w:rsidRPr="00D67768">
        <w:rPr>
          <w:rFonts w:ascii="Arial" w:eastAsia="Calibri" w:hAnsi="Arial" w:cs="Arial"/>
          <w:color w:val="auto"/>
        </w:rPr>
        <w:t>,</w:t>
      </w:r>
      <w:r w:rsidR="00E4327B" w:rsidRPr="00D67768">
        <w:rPr>
          <w:rFonts w:ascii="Arial" w:eastAsia="Calibri" w:hAnsi="Arial" w:cs="Arial"/>
          <w:color w:val="auto"/>
        </w:rPr>
        <w:t xml:space="preserve"> are missing in the continuity schedule</w:t>
      </w:r>
      <w:r w:rsidR="00583387" w:rsidRPr="00D67768">
        <w:rPr>
          <w:rFonts w:ascii="Arial" w:eastAsia="Calibri" w:hAnsi="Arial" w:cs="Arial"/>
          <w:color w:val="auto"/>
        </w:rPr>
        <w:t>s for the two rate zones</w:t>
      </w:r>
      <w:r w:rsidR="00E4327B" w:rsidRPr="00D67768">
        <w:rPr>
          <w:rFonts w:ascii="Arial" w:eastAsia="Calibri" w:hAnsi="Arial" w:cs="Arial"/>
          <w:color w:val="auto"/>
        </w:rPr>
        <w:t>.</w:t>
      </w:r>
    </w:p>
    <w:p w14:paraId="37F43F81" w14:textId="77777777" w:rsidR="004D6251" w:rsidRPr="00D67768" w:rsidRDefault="004D6251" w:rsidP="004D6251">
      <w:pPr>
        <w:spacing w:after="0" w:line="240" w:lineRule="auto"/>
        <w:rPr>
          <w:rFonts w:ascii="Arial" w:eastAsia="Calibri" w:hAnsi="Arial" w:cs="Arial"/>
          <w:sz w:val="24"/>
          <w:szCs w:val="24"/>
        </w:rPr>
      </w:pPr>
    </w:p>
    <w:p w14:paraId="79FB854D" w14:textId="77777777" w:rsidR="00275AFD" w:rsidRPr="00D67768" w:rsidRDefault="00B4499C" w:rsidP="00275AFD">
      <w:pPr>
        <w:pStyle w:val="Default"/>
        <w:rPr>
          <w:rFonts w:ascii="Arial" w:eastAsia="Calibri" w:hAnsi="Arial" w:cs="Arial"/>
          <w:b/>
          <w:bCs/>
          <w:color w:val="auto"/>
        </w:rPr>
      </w:pPr>
      <w:r w:rsidRPr="00D67768">
        <w:rPr>
          <w:rFonts w:ascii="Arial" w:eastAsia="Calibri" w:hAnsi="Arial" w:cs="Arial"/>
          <w:b/>
          <w:bCs/>
          <w:color w:val="auto"/>
        </w:rPr>
        <w:t xml:space="preserve">Question(s): </w:t>
      </w:r>
    </w:p>
    <w:p w14:paraId="2C936671" w14:textId="77777777" w:rsidR="00275AFD" w:rsidRPr="00D67768" w:rsidRDefault="00275AFD" w:rsidP="00A03E72">
      <w:pPr>
        <w:pStyle w:val="Default"/>
        <w:numPr>
          <w:ilvl w:val="0"/>
          <w:numId w:val="8"/>
        </w:numPr>
        <w:rPr>
          <w:rFonts w:ascii="Arial" w:eastAsia="Calibri" w:hAnsi="Arial" w:cs="Arial"/>
        </w:rPr>
      </w:pPr>
      <w:r w:rsidRPr="00D67768">
        <w:rPr>
          <w:rFonts w:ascii="Arial" w:eastAsia="Calibri" w:hAnsi="Arial" w:cs="Arial"/>
          <w:color w:val="auto"/>
        </w:rPr>
        <w:t xml:space="preserve">OEB staff requests that NT Power explain why the transfer of OEB-approved disposition amounts is not reflected in Sub-account 1595 (2024) in Ref. (I) and Ref. (II). </w:t>
      </w:r>
    </w:p>
    <w:p w14:paraId="12C1B166" w14:textId="58AF0A19" w:rsidR="00C37227" w:rsidRPr="00D67768" w:rsidRDefault="00275AFD" w:rsidP="00A03E72">
      <w:pPr>
        <w:pStyle w:val="Default"/>
        <w:numPr>
          <w:ilvl w:val="0"/>
          <w:numId w:val="8"/>
        </w:numPr>
        <w:rPr>
          <w:rFonts w:ascii="Arial" w:eastAsia="Calibri" w:hAnsi="Arial" w:cs="Arial"/>
        </w:rPr>
      </w:pPr>
      <w:r w:rsidRPr="00D67768">
        <w:rPr>
          <w:rFonts w:ascii="Arial" w:eastAsia="Calibri" w:hAnsi="Arial" w:cs="Arial"/>
          <w:color w:val="auto"/>
        </w:rPr>
        <w:t>Please clarify how NT Power intends to dispose of the approved amount related to Sub-account 1595 (2019).</w:t>
      </w:r>
    </w:p>
    <w:p w14:paraId="450F4DEF" w14:textId="77777777" w:rsidR="00275AFD" w:rsidRPr="00D67768" w:rsidRDefault="00275AFD" w:rsidP="00390795">
      <w:pPr>
        <w:spacing w:after="0" w:line="240" w:lineRule="auto"/>
        <w:contextualSpacing/>
        <w:rPr>
          <w:rFonts w:ascii="Arial" w:eastAsia="Calibri" w:hAnsi="Arial" w:cs="Arial"/>
          <w:b/>
          <w:bCs/>
          <w:sz w:val="24"/>
          <w:szCs w:val="24"/>
        </w:rPr>
      </w:pPr>
    </w:p>
    <w:p w14:paraId="59ACB8D7" w14:textId="5A713BC8" w:rsidR="00390795" w:rsidRPr="00D67768" w:rsidRDefault="0009197D" w:rsidP="00390795">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Staff Question-</w:t>
      </w:r>
      <w:r w:rsidR="00B4499C" w:rsidRPr="00D67768">
        <w:rPr>
          <w:rFonts w:ascii="Arial" w:eastAsia="Calibri" w:hAnsi="Arial" w:cs="Arial"/>
          <w:b/>
          <w:bCs/>
          <w:sz w:val="24"/>
          <w:szCs w:val="24"/>
        </w:rPr>
        <w:t>3</w:t>
      </w:r>
      <w:r w:rsidR="00390795" w:rsidRPr="00D67768">
        <w:rPr>
          <w:rFonts w:ascii="Arial" w:eastAsia="Calibri" w:hAnsi="Arial" w:cs="Arial"/>
          <w:b/>
          <w:bCs/>
          <w:sz w:val="24"/>
          <w:szCs w:val="24"/>
        </w:rPr>
        <w:t xml:space="preserve"> </w:t>
      </w:r>
    </w:p>
    <w:p w14:paraId="23F81161" w14:textId="77777777" w:rsidR="00A16151" w:rsidRPr="00D67768" w:rsidRDefault="00A16151" w:rsidP="00390795">
      <w:pPr>
        <w:spacing w:after="0" w:line="240" w:lineRule="auto"/>
        <w:contextualSpacing/>
        <w:rPr>
          <w:rFonts w:ascii="Arial" w:eastAsia="Calibri" w:hAnsi="Arial" w:cs="Arial"/>
          <w:b/>
          <w:bCs/>
          <w:sz w:val="24"/>
          <w:szCs w:val="24"/>
        </w:rPr>
      </w:pPr>
    </w:p>
    <w:p w14:paraId="47DB94AB" w14:textId="77777777" w:rsidR="0047121D" w:rsidRPr="00D67768" w:rsidRDefault="00390795" w:rsidP="00A16151">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 xml:space="preserve">Reference: </w:t>
      </w:r>
    </w:p>
    <w:p w14:paraId="2FD7C81C" w14:textId="4681BE87" w:rsidR="00F36426" w:rsidRPr="00D67768" w:rsidRDefault="00F36426" w:rsidP="00A03E72">
      <w:pPr>
        <w:pStyle w:val="ListParagraph"/>
        <w:numPr>
          <w:ilvl w:val="0"/>
          <w:numId w:val="5"/>
        </w:numPr>
        <w:spacing w:after="0" w:line="240" w:lineRule="auto"/>
        <w:rPr>
          <w:rFonts w:ascii="Arial" w:eastAsia="Calibri" w:hAnsi="Arial" w:cs="Arial"/>
          <w:sz w:val="24"/>
          <w:szCs w:val="24"/>
        </w:rPr>
      </w:pPr>
      <w:r w:rsidRPr="00D67768">
        <w:rPr>
          <w:rFonts w:ascii="Arial" w:eastAsia="Calibri" w:hAnsi="Arial" w:cs="Arial"/>
          <w:sz w:val="24"/>
          <w:szCs w:val="24"/>
        </w:rPr>
        <w:t xml:space="preserve">EB-2024-0042, Midland Power Utility Rate Zone (MRZ), </w:t>
      </w:r>
      <w:r w:rsidR="00477500" w:rsidRPr="00D67768">
        <w:rPr>
          <w:rFonts w:ascii="Arial" w:eastAsia="Calibri" w:hAnsi="Arial" w:cs="Arial"/>
          <w:sz w:val="24"/>
          <w:szCs w:val="24"/>
        </w:rPr>
        <w:t xml:space="preserve">Rate Generator Model, </w:t>
      </w:r>
      <w:r w:rsidRPr="00D67768">
        <w:rPr>
          <w:rFonts w:ascii="Arial" w:eastAsia="Calibri" w:hAnsi="Arial" w:cs="Arial"/>
          <w:sz w:val="24"/>
          <w:szCs w:val="24"/>
        </w:rPr>
        <w:t xml:space="preserve">Tab </w:t>
      </w:r>
      <w:r w:rsidR="002206E0" w:rsidRPr="00D67768">
        <w:rPr>
          <w:rFonts w:ascii="Arial" w:eastAsia="Calibri" w:hAnsi="Arial" w:cs="Arial"/>
          <w:sz w:val="24"/>
          <w:szCs w:val="24"/>
        </w:rPr>
        <w:t>4</w:t>
      </w:r>
      <w:r w:rsidRPr="00D67768">
        <w:rPr>
          <w:rFonts w:ascii="Arial" w:eastAsia="Calibri" w:hAnsi="Arial" w:cs="Arial"/>
          <w:sz w:val="24"/>
          <w:szCs w:val="24"/>
        </w:rPr>
        <w:t xml:space="preserve">, </w:t>
      </w:r>
      <w:r w:rsidR="0060797B" w:rsidRPr="00D67768">
        <w:rPr>
          <w:rFonts w:ascii="Arial" w:eastAsia="Calibri" w:hAnsi="Arial" w:cs="Arial"/>
          <w:sz w:val="24"/>
          <w:szCs w:val="24"/>
        </w:rPr>
        <w:t>Column N</w:t>
      </w:r>
    </w:p>
    <w:p w14:paraId="271DC802" w14:textId="0CD3572E" w:rsidR="002206E0" w:rsidRPr="00D67768" w:rsidRDefault="002206E0" w:rsidP="00A03E72">
      <w:pPr>
        <w:pStyle w:val="ListParagraph"/>
        <w:numPr>
          <w:ilvl w:val="0"/>
          <w:numId w:val="5"/>
        </w:numPr>
        <w:rPr>
          <w:rFonts w:ascii="Arial" w:eastAsia="Calibri" w:hAnsi="Arial" w:cs="Arial"/>
          <w:sz w:val="24"/>
          <w:szCs w:val="24"/>
        </w:rPr>
      </w:pPr>
      <w:r w:rsidRPr="00D67768">
        <w:rPr>
          <w:rFonts w:ascii="Arial" w:eastAsia="Calibri" w:hAnsi="Arial" w:cs="Arial"/>
          <w:sz w:val="24"/>
          <w:szCs w:val="24"/>
        </w:rPr>
        <w:t xml:space="preserve">EB-2024-0042, NT Power Main Rate Zone (NRZ), </w:t>
      </w:r>
      <w:r w:rsidR="00477500" w:rsidRPr="00D67768">
        <w:rPr>
          <w:rFonts w:ascii="Arial" w:eastAsia="Calibri" w:hAnsi="Arial" w:cs="Arial"/>
          <w:sz w:val="24"/>
          <w:szCs w:val="24"/>
        </w:rPr>
        <w:t>Rate, Generator Model,</w:t>
      </w:r>
      <w:r w:rsidR="00E248E8" w:rsidRPr="00D67768">
        <w:rPr>
          <w:rFonts w:ascii="Arial" w:eastAsia="Calibri" w:hAnsi="Arial" w:cs="Arial"/>
          <w:sz w:val="24"/>
          <w:szCs w:val="24"/>
        </w:rPr>
        <w:t xml:space="preserve"> </w:t>
      </w:r>
      <w:r w:rsidRPr="00D67768">
        <w:rPr>
          <w:rFonts w:ascii="Arial" w:eastAsia="Calibri" w:hAnsi="Arial" w:cs="Arial"/>
          <w:sz w:val="24"/>
          <w:szCs w:val="24"/>
        </w:rPr>
        <w:t xml:space="preserve">Tab 4, </w:t>
      </w:r>
      <w:r w:rsidR="0060797B" w:rsidRPr="00D67768">
        <w:rPr>
          <w:rFonts w:ascii="Arial" w:eastAsia="Calibri" w:hAnsi="Arial" w:cs="Arial"/>
          <w:sz w:val="24"/>
          <w:szCs w:val="24"/>
        </w:rPr>
        <w:t>Column N</w:t>
      </w:r>
    </w:p>
    <w:p w14:paraId="0F1AC335" w14:textId="7D4D56AA" w:rsidR="002206E0" w:rsidRPr="00D67768" w:rsidRDefault="00E942C9" w:rsidP="00A03E72">
      <w:pPr>
        <w:pStyle w:val="ListParagraph"/>
        <w:numPr>
          <w:ilvl w:val="0"/>
          <w:numId w:val="5"/>
        </w:numPr>
        <w:spacing w:after="0" w:line="240" w:lineRule="auto"/>
        <w:rPr>
          <w:rFonts w:ascii="Arial" w:eastAsia="Calibri" w:hAnsi="Arial" w:cs="Arial"/>
          <w:sz w:val="24"/>
          <w:szCs w:val="24"/>
        </w:rPr>
      </w:pPr>
      <w:r w:rsidRPr="00D67768">
        <w:rPr>
          <w:rFonts w:ascii="Arial" w:eastAsia="Calibri" w:hAnsi="Arial" w:cs="Arial"/>
          <w:sz w:val="24"/>
          <w:szCs w:val="24"/>
        </w:rPr>
        <w:t>EB</w:t>
      </w:r>
      <w:r w:rsidR="00477500" w:rsidRPr="00D67768">
        <w:rPr>
          <w:rFonts w:ascii="Arial" w:eastAsia="Calibri" w:hAnsi="Arial" w:cs="Arial"/>
          <w:sz w:val="24"/>
          <w:szCs w:val="24"/>
        </w:rPr>
        <w:t>-2021-0044, Midland Power Utility Rate Zone,</w:t>
      </w:r>
      <w:r w:rsidR="00E248E8" w:rsidRPr="00D67768">
        <w:rPr>
          <w:rFonts w:ascii="Arial" w:eastAsia="Calibri" w:hAnsi="Arial" w:cs="Arial"/>
          <w:sz w:val="24"/>
          <w:szCs w:val="24"/>
        </w:rPr>
        <w:t xml:space="preserve"> Rate Generator Model, Tab 5, </w:t>
      </w:r>
      <w:r w:rsidR="00894C09" w:rsidRPr="00D67768">
        <w:rPr>
          <w:rFonts w:ascii="Arial" w:eastAsia="Calibri" w:hAnsi="Arial" w:cs="Arial"/>
          <w:sz w:val="24"/>
          <w:szCs w:val="24"/>
        </w:rPr>
        <w:t>Column F</w:t>
      </w:r>
    </w:p>
    <w:p w14:paraId="06250889" w14:textId="1358A6AD" w:rsidR="00894C09" w:rsidRPr="00D67768" w:rsidRDefault="00894C09" w:rsidP="00A03E72">
      <w:pPr>
        <w:pStyle w:val="ListParagraph"/>
        <w:numPr>
          <w:ilvl w:val="0"/>
          <w:numId w:val="5"/>
        </w:numPr>
        <w:spacing w:after="0" w:line="240" w:lineRule="auto"/>
        <w:rPr>
          <w:rFonts w:ascii="Arial" w:eastAsia="Calibri" w:hAnsi="Arial" w:cs="Arial"/>
          <w:sz w:val="24"/>
          <w:szCs w:val="24"/>
        </w:rPr>
      </w:pPr>
      <w:r w:rsidRPr="00D67768">
        <w:rPr>
          <w:rFonts w:ascii="Arial" w:eastAsia="Calibri" w:hAnsi="Arial" w:cs="Arial"/>
          <w:sz w:val="24"/>
          <w:szCs w:val="24"/>
        </w:rPr>
        <w:t>EB-2021-0044, NT Power Main Rate Zone (NRZ), Rate Generator Model, Tab 5, Column F</w:t>
      </w:r>
    </w:p>
    <w:p w14:paraId="00598A8E" w14:textId="3B6C2C6B" w:rsidR="00894C09" w:rsidRPr="00D67768" w:rsidRDefault="00155766" w:rsidP="00A03E72">
      <w:pPr>
        <w:pStyle w:val="ListParagraph"/>
        <w:numPr>
          <w:ilvl w:val="0"/>
          <w:numId w:val="5"/>
        </w:numPr>
        <w:spacing w:after="0" w:line="240" w:lineRule="auto"/>
        <w:rPr>
          <w:rFonts w:ascii="Arial" w:eastAsia="Calibri" w:hAnsi="Arial" w:cs="Arial"/>
          <w:sz w:val="24"/>
          <w:szCs w:val="24"/>
        </w:rPr>
      </w:pPr>
      <w:r w:rsidRPr="00D67768">
        <w:rPr>
          <w:rFonts w:ascii="Arial" w:eastAsia="Calibri" w:hAnsi="Arial" w:cs="Arial"/>
          <w:sz w:val="24"/>
          <w:szCs w:val="24"/>
        </w:rPr>
        <w:t xml:space="preserve">EB-2024-0042, Midland Power Utility Rate Zone (MRZ), Rate Generator Model, Tab 4, </w:t>
      </w:r>
      <w:r w:rsidR="00726198" w:rsidRPr="00D67768">
        <w:rPr>
          <w:rFonts w:ascii="Arial" w:eastAsia="Calibri" w:hAnsi="Arial" w:cs="Arial"/>
          <w:sz w:val="24"/>
          <w:szCs w:val="24"/>
        </w:rPr>
        <w:t>Cell N18</w:t>
      </w:r>
    </w:p>
    <w:p w14:paraId="1087E5F6" w14:textId="77777777" w:rsidR="00723AB2" w:rsidRPr="00D67768" w:rsidRDefault="00723AB2" w:rsidP="0009197D">
      <w:pPr>
        <w:spacing w:after="0" w:line="240" w:lineRule="auto"/>
        <w:contextualSpacing/>
        <w:rPr>
          <w:rFonts w:ascii="Arial" w:eastAsia="Calibri" w:hAnsi="Arial" w:cs="Arial"/>
          <w:b/>
          <w:bCs/>
          <w:sz w:val="24"/>
          <w:szCs w:val="24"/>
        </w:rPr>
      </w:pPr>
    </w:p>
    <w:p w14:paraId="0499A762" w14:textId="64995A39" w:rsidR="00723AB2" w:rsidRPr="00D67768" w:rsidRDefault="00723AB2" w:rsidP="0009197D">
      <w:pPr>
        <w:spacing w:after="0" w:line="240" w:lineRule="auto"/>
        <w:contextualSpacing/>
        <w:rPr>
          <w:rFonts w:ascii="Arial" w:eastAsia="Calibri" w:hAnsi="Arial" w:cs="Arial"/>
          <w:sz w:val="24"/>
          <w:szCs w:val="24"/>
        </w:rPr>
      </w:pPr>
      <w:r w:rsidRPr="00D67768">
        <w:rPr>
          <w:rFonts w:ascii="Arial" w:eastAsia="Calibri" w:hAnsi="Arial" w:cs="Arial"/>
          <w:sz w:val="24"/>
          <w:szCs w:val="24"/>
        </w:rPr>
        <w:t>Preamble:</w:t>
      </w:r>
    </w:p>
    <w:p w14:paraId="6EBC15BE" w14:textId="20925C70" w:rsidR="00723AB2" w:rsidRPr="00D67768" w:rsidRDefault="00723AB2" w:rsidP="00723AB2">
      <w:pPr>
        <w:spacing w:after="0" w:line="240" w:lineRule="auto"/>
        <w:contextualSpacing/>
        <w:rPr>
          <w:rFonts w:ascii="Arial" w:eastAsia="Calibri" w:hAnsi="Arial" w:cs="Arial"/>
          <w:sz w:val="24"/>
          <w:szCs w:val="24"/>
        </w:rPr>
      </w:pPr>
      <w:r w:rsidRPr="00D67768">
        <w:rPr>
          <w:rFonts w:ascii="Arial" w:eastAsia="Calibri" w:hAnsi="Arial" w:cs="Arial"/>
          <w:sz w:val="24"/>
          <w:szCs w:val="24"/>
        </w:rPr>
        <w:t xml:space="preserve">If any residual balances of Account 1595 Sub-accounts are being requested for disposition, the distributor needs to populate the percentage allocations by customer </w:t>
      </w:r>
      <w:r w:rsidR="00C43FDA" w:rsidRPr="00D67768">
        <w:rPr>
          <w:rFonts w:ascii="Arial" w:eastAsia="Calibri" w:hAnsi="Arial" w:cs="Arial"/>
          <w:sz w:val="24"/>
          <w:szCs w:val="24"/>
        </w:rPr>
        <w:t>c</w:t>
      </w:r>
      <w:r w:rsidRPr="00D67768">
        <w:rPr>
          <w:rFonts w:ascii="Arial" w:eastAsia="Calibri" w:hAnsi="Arial" w:cs="Arial"/>
          <w:sz w:val="24"/>
          <w:szCs w:val="24"/>
        </w:rPr>
        <w:t>lass. These percentage allocations should be derived from the information used to establish the rate riders originally. Hence, the percentage allocations for 1595 (202</w:t>
      </w:r>
      <w:r w:rsidR="00CF488E" w:rsidRPr="00D67768">
        <w:rPr>
          <w:rFonts w:ascii="Arial" w:eastAsia="Calibri" w:hAnsi="Arial" w:cs="Arial"/>
          <w:sz w:val="24"/>
          <w:szCs w:val="24"/>
        </w:rPr>
        <w:t>0</w:t>
      </w:r>
      <w:r w:rsidRPr="00D67768">
        <w:rPr>
          <w:rFonts w:ascii="Arial" w:eastAsia="Calibri" w:hAnsi="Arial" w:cs="Arial"/>
          <w:sz w:val="24"/>
          <w:szCs w:val="24"/>
        </w:rPr>
        <w:t>)</w:t>
      </w:r>
      <w:r w:rsidR="00CF488E" w:rsidRPr="00D67768">
        <w:rPr>
          <w:rFonts w:ascii="Arial" w:eastAsia="Calibri" w:hAnsi="Arial" w:cs="Arial"/>
          <w:sz w:val="24"/>
          <w:szCs w:val="24"/>
        </w:rPr>
        <w:t>, Ref (I)</w:t>
      </w:r>
      <w:r w:rsidR="00D82F87" w:rsidRPr="00D67768">
        <w:rPr>
          <w:rFonts w:ascii="Arial" w:eastAsia="Calibri" w:hAnsi="Arial" w:cs="Arial"/>
          <w:sz w:val="24"/>
          <w:szCs w:val="24"/>
        </w:rPr>
        <w:t xml:space="preserve"> and Ref (II),</w:t>
      </w:r>
      <w:r w:rsidRPr="00D67768">
        <w:rPr>
          <w:rFonts w:ascii="Arial" w:eastAsia="Calibri" w:hAnsi="Arial" w:cs="Arial"/>
          <w:sz w:val="24"/>
          <w:szCs w:val="24"/>
        </w:rPr>
        <w:t xml:space="preserve"> should match those applied to the DVA Accounts in the 202</w:t>
      </w:r>
      <w:r w:rsidR="00BD40B5" w:rsidRPr="00D67768">
        <w:rPr>
          <w:rFonts w:ascii="Arial" w:eastAsia="Calibri" w:hAnsi="Arial" w:cs="Arial"/>
          <w:sz w:val="24"/>
          <w:szCs w:val="24"/>
        </w:rPr>
        <w:t>2</w:t>
      </w:r>
      <w:r w:rsidRPr="00D67768">
        <w:rPr>
          <w:rFonts w:ascii="Arial" w:eastAsia="Calibri" w:hAnsi="Arial" w:cs="Arial"/>
          <w:sz w:val="24"/>
          <w:szCs w:val="24"/>
        </w:rPr>
        <w:t xml:space="preserve"> rate </w:t>
      </w:r>
      <w:r w:rsidRPr="00D67768">
        <w:rPr>
          <w:rFonts w:ascii="Arial" w:eastAsia="Calibri" w:hAnsi="Arial" w:cs="Arial"/>
          <w:sz w:val="24"/>
          <w:szCs w:val="24"/>
        </w:rPr>
        <w:lastRenderedPageBreak/>
        <w:t>application, as used during the initial disposal of the 202</w:t>
      </w:r>
      <w:r w:rsidR="00BD40B5" w:rsidRPr="00D67768">
        <w:rPr>
          <w:rFonts w:ascii="Arial" w:eastAsia="Calibri" w:hAnsi="Arial" w:cs="Arial"/>
          <w:sz w:val="24"/>
          <w:szCs w:val="24"/>
        </w:rPr>
        <w:t>0</w:t>
      </w:r>
      <w:r w:rsidRPr="00D67768">
        <w:rPr>
          <w:rFonts w:ascii="Arial" w:eastAsia="Calibri" w:hAnsi="Arial" w:cs="Arial"/>
          <w:sz w:val="24"/>
          <w:szCs w:val="24"/>
        </w:rPr>
        <w:t xml:space="preserve"> balances for the calculation of the rate rider</w:t>
      </w:r>
      <w:r w:rsidR="00BD40B5" w:rsidRPr="00D67768">
        <w:rPr>
          <w:rFonts w:ascii="Arial" w:eastAsia="Calibri" w:hAnsi="Arial" w:cs="Arial"/>
          <w:sz w:val="24"/>
          <w:szCs w:val="24"/>
        </w:rPr>
        <w:t>s</w:t>
      </w:r>
      <w:r w:rsidR="00C41FC2" w:rsidRPr="00D67768">
        <w:rPr>
          <w:rFonts w:ascii="Arial" w:eastAsia="Calibri" w:hAnsi="Arial" w:cs="Arial"/>
          <w:sz w:val="24"/>
          <w:szCs w:val="24"/>
        </w:rPr>
        <w:t>, Ref. (III) and Ref. (IV)</w:t>
      </w:r>
      <w:r w:rsidRPr="00D67768">
        <w:rPr>
          <w:rFonts w:ascii="Arial" w:eastAsia="Calibri" w:hAnsi="Arial" w:cs="Arial"/>
          <w:sz w:val="24"/>
          <w:szCs w:val="24"/>
        </w:rPr>
        <w:t>.</w:t>
      </w:r>
    </w:p>
    <w:p w14:paraId="7BC925CD" w14:textId="77777777" w:rsidR="00723AB2" w:rsidRPr="00D67768" w:rsidRDefault="00723AB2" w:rsidP="0009197D">
      <w:pPr>
        <w:spacing w:after="0" w:line="240" w:lineRule="auto"/>
        <w:contextualSpacing/>
        <w:rPr>
          <w:rFonts w:ascii="Arial" w:eastAsia="Calibri" w:hAnsi="Arial" w:cs="Arial"/>
          <w:b/>
          <w:bCs/>
          <w:sz w:val="24"/>
          <w:szCs w:val="24"/>
        </w:rPr>
      </w:pPr>
    </w:p>
    <w:p w14:paraId="5A1109AC" w14:textId="77777777" w:rsidR="0009197D" w:rsidRPr="00D67768" w:rsidRDefault="0009197D" w:rsidP="0009197D">
      <w:pPr>
        <w:pStyle w:val="Default"/>
        <w:rPr>
          <w:rFonts w:ascii="Arial" w:eastAsia="Calibri" w:hAnsi="Arial" w:cs="Arial"/>
          <w:b/>
          <w:bCs/>
          <w:color w:val="auto"/>
        </w:rPr>
      </w:pPr>
      <w:r w:rsidRPr="00D67768">
        <w:rPr>
          <w:rFonts w:ascii="Arial" w:eastAsia="Calibri" w:hAnsi="Arial" w:cs="Arial"/>
          <w:b/>
          <w:bCs/>
          <w:color w:val="auto"/>
        </w:rPr>
        <w:t xml:space="preserve">Question(s): </w:t>
      </w:r>
    </w:p>
    <w:p w14:paraId="3300F477" w14:textId="64949A88" w:rsidR="00ED0932" w:rsidRPr="00D67768" w:rsidRDefault="00ED0932" w:rsidP="00A03E72">
      <w:pPr>
        <w:pStyle w:val="Default"/>
        <w:numPr>
          <w:ilvl w:val="0"/>
          <w:numId w:val="6"/>
        </w:numPr>
        <w:rPr>
          <w:rFonts w:ascii="Arial" w:eastAsia="Calibri" w:hAnsi="Arial" w:cs="Arial"/>
          <w:color w:val="auto"/>
        </w:rPr>
      </w:pPr>
      <w:r w:rsidRPr="00D67768">
        <w:rPr>
          <w:rFonts w:ascii="Arial" w:eastAsia="Calibri" w:hAnsi="Arial" w:cs="Arial"/>
          <w:color w:val="auto"/>
        </w:rPr>
        <w:t xml:space="preserve">Please explain the basis for percentage allocations in Ref. (I) and Ref. (II) for each </w:t>
      </w:r>
      <w:r w:rsidR="00A277A1" w:rsidRPr="00D67768">
        <w:rPr>
          <w:rFonts w:ascii="Arial" w:eastAsia="Calibri" w:hAnsi="Arial" w:cs="Arial"/>
          <w:color w:val="auto"/>
        </w:rPr>
        <w:t>r</w:t>
      </w:r>
      <w:r w:rsidRPr="00D67768">
        <w:rPr>
          <w:rFonts w:ascii="Arial" w:eastAsia="Calibri" w:hAnsi="Arial" w:cs="Arial"/>
          <w:color w:val="auto"/>
        </w:rPr>
        <w:t xml:space="preserve">ate </w:t>
      </w:r>
      <w:r w:rsidR="00A277A1" w:rsidRPr="00D67768">
        <w:rPr>
          <w:rFonts w:ascii="Arial" w:eastAsia="Calibri" w:hAnsi="Arial" w:cs="Arial"/>
          <w:color w:val="auto"/>
        </w:rPr>
        <w:t>c</w:t>
      </w:r>
      <w:r w:rsidRPr="00D67768">
        <w:rPr>
          <w:rFonts w:ascii="Arial" w:eastAsia="Calibri" w:hAnsi="Arial" w:cs="Arial"/>
          <w:color w:val="auto"/>
        </w:rPr>
        <w:t xml:space="preserve">lass and discuss </w:t>
      </w:r>
      <w:r w:rsidR="004462F4" w:rsidRPr="00D67768">
        <w:rPr>
          <w:rFonts w:ascii="Arial" w:eastAsia="Calibri" w:hAnsi="Arial" w:cs="Arial"/>
          <w:color w:val="auto"/>
        </w:rPr>
        <w:t>grounds</w:t>
      </w:r>
      <w:r w:rsidRPr="00D67768">
        <w:rPr>
          <w:rFonts w:ascii="Arial" w:eastAsia="Calibri" w:hAnsi="Arial" w:cs="Arial"/>
          <w:color w:val="auto"/>
        </w:rPr>
        <w:t xml:space="preserve"> for </w:t>
      </w:r>
      <w:r w:rsidR="00350B5B" w:rsidRPr="00D67768">
        <w:rPr>
          <w:rFonts w:ascii="Arial" w:eastAsia="Calibri" w:hAnsi="Arial" w:cs="Arial"/>
          <w:color w:val="auto"/>
        </w:rPr>
        <w:t>a</w:t>
      </w:r>
      <w:r w:rsidRPr="00D67768">
        <w:rPr>
          <w:rFonts w:ascii="Arial" w:eastAsia="Calibri" w:hAnsi="Arial" w:cs="Arial"/>
          <w:color w:val="auto"/>
        </w:rPr>
        <w:t xml:space="preserve"> negative allocation </w:t>
      </w:r>
      <w:r w:rsidR="00197286" w:rsidRPr="00D67768">
        <w:rPr>
          <w:rFonts w:ascii="Arial" w:eastAsia="Calibri" w:hAnsi="Arial" w:cs="Arial"/>
          <w:color w:val="auto"/>
        </w:rPr>
        <w:t>in Ref. (V).</w:t>
      </w:r>
    </w:p>
    <w:p w14:paraId="4DAE3B3F" w14:textId="52DE6882" w:rsidR="00ED0932" w:rsidRPr="00D67768" w:rsidRDefault="00ED0932" w:rsidP="00A03E72">
      <w:pPr>
        <w:pStyle w:val="Default"/>
        <w:numPr>
          <w:ilvl w:val="0"/>
          <w:numId w:val="6"/>
        </w:numPr>
        <w:rPr>
          <w:rFonts w:ascii="Arial" w:eastAsia="Calibri" w:hAnsi="Arial" w:cs="Arial"/>
          <w:color w:val="auto"/>
        </w:rPr>
      </w:pPr>
      <w:r w:rsidRPr="00D67768">
        <w:rPr>
          <w:rFonts w:ascii="Arial" w:eastAsia="Calibri" w:hAnsi="Arial" w:cs="Arial"/>
        </w:rPr>
        <w:t xml:space="preserve">OEB staff </w:t>
      </w:r>
      <w:r w:rsidR="002B5A1C" w:rsidRPr="00D67768">
        <w:rPr>
          <w:rFonts w:ascii="Arial" w:eastAsia="Calibri" w:hAnsi="Arial" w:cs="Arial"/>
        </w:rPr>
        <w:t>notes</w:t>
      </w:r>
      <w:r w:rsidRPr="00D67768">
        <w:rPr>
          <w:rFonts w:ascii="Arial" w:eastAsia="Calibri" w:hAnsi="Arial" w:cs="Arial"/>
        </w:rPr>
        <w:t xml:space="preserve"> that the percentage allocations should align with those originally used to establish the rate riders in the vintage year application</w:t>
      </w:r>
      <w:r w:rsidR="00197286" w:rsidRPr="00D67768">
        <w:rPr>
          <w:rFonts w:ascii="Arial" w:eastAsia="Calibri" w:hAnsi="Arial" w:cs="Arial"/>
        </w:rPr>
        <w:t>,</w:t>
      </w:r>
      <w:r w:rsidRPr="00D67768">
        <w:rPr>
          <w:rFonts w:ascii="Arial" w:eastAsia="Calibri" w:hAnsi="Arial" w:cs="Arial"/>
        </w:rPr>
        <w:t xml:space="preserve"> Ref. (III)</w:t>
      </w:r>
      <w:r w:rsidR="00BD0EA8" w:rsidRPr="00D67768">
        <w:rPr>
          <w:rFonts w:ascii="Arial" w:eastAsia="Calibri" w:hAnsi="Arial" w:cs="Arial"/>
        </w:rPr>
        <w:t xml:space="preserve"> and Ref. (IV)</w:t>
      </w:r>
      <w:r w:rsidRPr="00D67768">
        <w:rPr>
          <w:rFonts w:ascii="Arial" w:eastAsia="Calibri" w:hAnsi="Arial" w:cs="Arial"/>
        </w:rPr>
        <w:t>. Please confirm and explain any discrepancies.</w:t>
      </w:r>
    </w:p>
    <w:p w14:paraId="3023C591" w14:textId="3737E356" w:rsidR="00ED0932" w:rsidRPr="00D67768" w:rsidRDefault="00ED0932" w:rsidP="00A03E72">
      <w:pPr>
        <w:pStyle w:val="Default"/>
        <w:numPr>
          <w:ilvl w:val="0"/>
          <w:numId w:val="6"/>
        </w:numPr>
        <w:rPr>
          <w:rFonts w:ascii="Arial" w:eastAsia="Calibri" w:hAnsi="Arial" w:cs="Arial"/>
          <w:color w:val="auto"/>
        </w:rPr>
      </w:pPr>
      <w:r w:rsidRPr="00D67768">
        <w:rPr>
          <w:rFonts w:ascii="Arial" w:eastAsia="Calibri" w:hAnsi="Arial" w:cs="Arial"/>
        </w:rPr>
        <w:t>Please update the Rate Generator Model to reflect the correct allocations, if required</w:t>
      </w:r>
      <w:r w:rsidR="00BD0EA8" w:rsidRPr="00D67768">
        <w:rPr>
          <w:rFonts w:ascii="Arial" w:eastAsia="Calibri" w:hAnsi="Arial" w:cs="Arial"/>
        </w:rPr>
        <w:t xml:space="preserve"> and veri</w:t>
      </w:r>
      <w:r w:rsidR="004A5DBB" w:rsidRPr="00D67768">
        <w:rPr>
          <w:rFonts w:ascii="Arial" w:eastAsia="Calibri" w:hAnsi="Arial" w:cs="Arial"/>
        </w:rPr>
        <w:t xml:space="preserve">fy the impact on subsequent </w:t>
      </w:r>
      <w:r w:rsidR="006B2B6A" w:rsidRPr="00D67768">
        <w:rPr>
          <w:rFonts w:ascii="Arial" w:eastAsia="Calibri" w:hAnsi="Arial" w:cs="Arial"/>
        </w:rPr>
        <w:t>t</w:t>
      </w:r>
      <w:r w:rsidR="004A5DBB" w:rsidRPr="00D67768">
        <w:rPr>
          <w:rFonts w:ascii="Arial" w:eastAsia="Calibri" w:hAnsi="Arial" w:cs="Arial"/>
        </w:rPr>
        <w:t>abs</w:t>
      </w:r>
      <w:r w:rsidRPr="00D67768">
        <w:rPr>
          <w:rFonts w:ascii="Arial" w:eastAsia="Calibri" w:hAnsi="Arial" w:cs="Arial"/>
        </w:rPr>
        <w:t>.</w:t>
      </w:r>
    </w:p>
    <w:p w14:paraId="5EC47D1F" w14:textId="77777777" w:rsidR="00ED0932" w:rsidRPr="00D67768" w:rsidRDefault="00ED0932" w:rsidP="0009197D">
      <w:pPr>
        <w:pStyle w:val="Default"/>
        <w:rPr>
          <w:rFonts w:ascii="Arial" w:eastAsia="Calibri" w:hAnsi="Arial" w:cs="Arial"/>
          <w:b/>
          <w:bCs/>
          <w:color w:val="auto"/>
        </w:rPr>
      </w:pPr>
    </w:p>
    <w:p w14:paraId="7D23ADAA" w14:textId="4B9C798D" w:rsidR="0009197D" w:rsidRPr="00D67768" w:rsidRDefault="0009197D" w:rsidP="0009197D">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Staff Question-4</w:t>
      </w:r>
    </w:p>
    <w:p w14:paraId="68FF1058" w14:textId="77777777" w:rsidR="00153B6A" w:rsidRPr="00D67768" w:rsidRDefault="00153B6A" w:rsidP="0009197D">
      <w:pPr>
        <w:spacing w:after="0" w:line="240" w:lineRule="auto"/>
        <w:contextualSpacing/>
        <w:rPr>
          <w:rFonts w:ascii="Arial" w:eastAsia="Calibri" w:hAnsi="Arial" w:cs="Arial"/>
          <w:b/>
          <w:bCs/>
          <w:sz w:val="24"/>
          <w:szCs w:val="24"/>
        </w:rPr>
      </w:pPr>
    </w:p>
    <w:p w14:paraId="5CCA4193" w14:textId="1A3E7444" w:rsidR="0009197D" w:rsidRPr="00D67768" w:rsidRDefault="0009197D" w:rsidP="0009197D">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 xml:space="preserve">Reference: </w:t>
      </w:r>
    </w:p>
    <w:p w14:paraId="60A2086B" w14:textId="430207A6" w:rsidR="00837C11" w:rsidRPr="00D67768" w:rsidRDefault="001C5A0A" w:rsidP="00A03E72">
      <w:pPr>
        <w:pStyle w:val="ListParagraph"/>
        <w:numPr>
          <w:ilvl w:val="0"/>
          <w:numId w:val="9"/>
        </w:numPr>
        <w:spacing w:after="0" w:line="240" w:lineRule="auto"/>
        <w:rPr>
          <w:rFonts w:ascii="Arial" w:eastAsia="Calibri" w:hAnsi="Arial" w:cs="Arial"/>
          <w:sz w:val="24"/>
          <w:szCs w:val="24"/>
        </w:rPr>
      </w:pPr>
      <w:r w:rsidRPr="00D67768">
        <w:rPr>
          <w:rFonts w:ascii="Arial" w:eastAsia="Calibri" w:hAnsi="Arial" w:cs="Arial"/>
          <w:sz w:val="24"/>
          <w:szCs w:val="24"/>
        </w:rPr>
        <w:t xml:space="preserve">EB-2023-0039, NRZ, Rate Generator Model, Tab 3, </w:t>
      </w:r>
      <w:r w:rsidR="004626EE" w:rsidRPr="00D67768">
        <w:rPr>
          <w:rFonts w:ascii="Arial" w:eastAsia="Calibri" w:hAnsi="Arial" w:cs="Arial"/>
          <w:sz w:val="24"/>
          <w:szCs w:val="24"/>
        </w:rPr>
        <w:t xml:space="preserve">Columns </w:t>
      </w:r>
      <w:proofErr w:type="gramStart"/>
      <w:r w:rsidR="004626EE" w:rsidRPr="00D67768">
        <w:rPr>
          <w:rFonts w:ascii="Arial" w:eastAsia="Calibri" w:hAnsi="Arial" w:cs="Arial"/>
          <w:sz w:val="24"/>
          <w:szCs w:val="24"/>
        </w:rPr>
        <w:t>B</w:t>
      </w:r>
      <w:r w:rsidR="0027551B" w:rsidRPr="00D67768">
        <w:rPr>
          <w:rFonts w:ascii="Arial" w:eastAsia="Calibri" w:hAnsi="Arial" w:cs="Arial"/>
          <w:sz w:val="24"/>
          <w:szCs w:val="24"/>
        </w:rPr>
        <w:t>G</w:t>
      </w:r>
      <w:proofErr w:type="gramEnd"/>
      <w:r w:rsidR="004626EE" w:rsidRPr="00D67768">
        <w:rPr>
          <w:rFonts w:ascii="Arial" w:eastAsia="Calibri" w:hAnsi="Arial" w:cs="Arial"/>
          <w:sz w:val="24"/>
          <w:szCs w:val="24"/>
        </w:rPr>
        <w:t xml:space="preserve"> and B</w:t>
      </w:r>
      <w:r w:rsidR="0027551B" w:rsidRPr="00D67768">
        <w:rPr>
          <w:rFonts w:ascii="Arial" w:eastAsia="Calibri" w:hAnsi="Arial" w:cs="Arial"/>
          <w:sz w:val="24"/>
          <w:szCs w:val="24"/>
        </w:rPr>
        <w:t>L</w:t>
      </w:r>
    </w:p>
    <w:p w14:paraId="03E6C438" w14:textId="529D74A2" w:rsidR="00702681" w:rsidRPr="00D67768" w:rsidRDefault="002F3013" w:rsidP="00A03E72">
      <w:pPr>
        <w:pStyle w:val="ListParagraph"/>
        <w:numPr>
          <w:ilvl w:val="0"/>
          <w:numId w:val="9"/>
        </w:numPr>
        <w:spacing w:after="0" w:line="240" w:lineRule="auto"/>
        <w:rPr>
          <w:rFonts w:ascii="Arial" w:eastAsia="Calibri" w:hAnsi="Arial" w:cs="Arial"/>
          <w:sz w:val="24"/>
          <w:szCs w:val="24"/>
        </w:rPr>
      </w:pPr>
      <w:r w:rsidRPr="00D67768">
        <w:rPr>
          <w:rFonts w:ascii="Arial" w:eastAsia="Calibri" w:hAnsi="Arial" w:cs="Arial"/>
          <w:sz w:val="24"/>
          <w:szCs w:val="24"/>
        </w:rPr>
        <w:t>EB-2024-</w:t>
      </w:r>
      <w:r w:rsidR="0042292D" w:rsidRPr="00D67768">
        <w:rPr>
          <w:rFonts w:ascii="Arial" w:eastAsia="Calibri" w:hAnsi="Arial" w:cs="Arial"/>
          <w:sz w:val="24"/>
          <w:szCs w:val="24"/>
        </w:rPr>
        <w:t>0042, NRZ</w:t>
      </w:r>
      <w:r w:rsidR="00806E98" w:rsidRPr="00D67768">
        <w:rPr>
          <w:rFonts w:ascii="Arial" w:eastAsia="Calibri" w:hAnsi="Arial" w:cs="Arial"/>
          <w:sz w:val="24"/>
          <w:szCs w:val="24"/>
        </w:rPr>
        <w:t xml:space="preserve">, Rate Generator Model, Tab 3, </w:t>
      </w:r>
      <w:r w:rsidR="00A4173D" w:rsidRPr="00D67768">
        <w:rPr>
          <w:rFonts w:ascii="Arial" w:eastAsia="Calibri" w:hAnsi="Arial" w:cs="Arial"/>
          <w:sz w:val="24"/>
          <w:szCs w:val="24"/>
        </w:rPr>
        <w:t xml:space="preserve">Columns BC and BH </w:t>
      </w:r>
    </w:p>
    <w:p w14:paraId="5549CF3E" w14:textId="273BCED4" w:rsidR="000776AE" w:rsidRPr="00D67768" w:rsidRDefault="001C5A0A" w:rsidP="00A03E72">
      <w:pPr>
        <w:pStyle w:val="ListParagraph"/>
        <w:numPr>
          <w:ilvl w:val="0"/>
          <w:numId w:val="9"/>
        </w:numPr>
        <w:spacing w:after="0" w:line="240" w:lineRule="auto"/>
        <w:rPr>
          <w:rFonts w:ascii="Arial" w:eastAsia="Calibri" w:hAnsi="Arial" w:cs="Arial"/>
          <w:sz w:val="24"/>
          <w:szCs w:val="24"/>
        </w:rPr>
      </w:pPr>
      <w:r w:rsidRPr="00D67768">
        <w:rPr>
          <w:rFonts w:ascii="Arial" w:eastAsia="Calibri" w:hAnsi="Arial" w:cs="Arial"/>
          <w:sz w:val="24"/>
          <w:szCs w:val="24"/>
        </w:rPr>
        <w:t>EB-2023-0039, MRZ, Rate Generator Model, Tab 3,</w:t>
      </w:r>
      <w:r w:rsidR="004626EE" w:rsidRPr="00D67768">
        <w:rPr>
          <w:rFonts w:ascii="Arial" w:eastAsia="Calibri" w:hAnsi="Arial" w:cs="Arial"/>
          <w:sz w:val="24"/>
          <w:szCs w:val="24"/>
        </w:rPr>
        <w:t xml:space="preserve"> Columns </w:t>
      </w:r>
      <w:proofErr w:type="gramStart"/>
      <w:r w:rsidR="004626EE" w:rsidRPr="00D67768">
        <w:rPr>
          <w:rFonts w:ascii="Arial" w:eastAsia="Calibri" w:hAnsi="Arial" w:cs="Arial"/>
          <w:sz w:val="24"/>
          <w:szCs w:val="24"/>
        </w:rPr>
        <w:t>B</w:t>
      </w:r>
      <w:r w:rsidR="00FC5C0C" w:rsidRPr="00D67768">
        <w:rPr>
          <w:rFonts w:ascii="Arial" w:eastAsia="Calibri" w:hAnsi="Arial" w:cs="Arial"/>
          <w:sz w:val="24"/>
          <w:szCs w:val="24"/>
        </w:rPr>
        <w:t>G</w:t>
      </w:r>
      <w:proofErr w:type="gramEnd"/>
      <w:r w:rsidR="004626EE" w:rsidRPr="00D67768">
        <w:rPr>
          <w:rFonts w:ascii="Arial" w:eastAsia="Calibri" w:hAnsi="Arial" w:cs="Arial"/>
          <w:sz w:val="24"/>
          <w:szCs w:val="24"/>
        </w:rPr>
        <w:t xml:space="preserve"> and B</w:t>
      </w:r>
      <w:r w:rsidR="00FC5C0C" w:rsidRPr="00D67768">
        <w:rPr>
          <w:rFonts w:ascii="Arial" w:eastAsia="Calibri" w:hAnsi="Arial" w:cs="Arial"/>
          <w:sz w:val="24"/>
          <w:szCs w:val="24"/>
        </w:rPr>
        <w:t>L</w:t>
      </w:r>
    </w:p>
    <w:p w14:paraId="10244A18" w14:textId="29D43624" w:rsidR="00702681" w:rsidRPr="00D67768" w:rsidRDefault="00702681" w:rsidP="00A03E72">
      <w:pPr>
        <w:pStyle w:val="ListParagraph"/>
        <w:numPr>
          <w:ilvl w:val="0"/>
          <w:numId w:val="9"/>
        </w:numPr>
        <w:spacing w:after="0" w:line="240" w:lineRule="auto"/>
        <w:rPr>
          <w:rFonts w:ascii="Arial" w:eastAsia="Calibri" w:hAnsi="Arial" w:cs="Arial"/>
          <w:sz w:val="24"/>
          <w:szCs w:val="24"/>
        </w:rPr>
      </w:pPr>
      <w:r w:rsidRPr="00D67768">
        <w:rPr>
          <w:rFonts w:ascii="Arial" w:eastAsia="Calibri" w:hAnsi="Arial" w:cs="Arial"/>
          <w:sz w:val="24"/>
          <w:szCs w:val="24"/>
        </w:rPr>
        <w:t>EB-2024-0042, MRZ, Rate Generator Model, Tab 3, Columns BC and BH</w:t>
      </w:r>
    </w:p>
    <w:p w14:paraId="72EE0570" w14:textId="77777777" w:rsidR="00702681" w:rsidRPr="00D67768" w:rsidRDefault="00702681" w:rsidP="000776AE">
      <w:pPr>
        <w:pStyle w:val="ListParagraph"/>
        <w:spacing w:after="0" w:line="240" w:lineRule="auto"/>
        <w:ind w:left="1080"/>
        <w:rPr>
          <w:rFonts w:ascii="Arial" w:eastAsia="Calibri" w:hAnsi="Arial" w:cs="Arial"/>
          <w:b/>
          <w:bCs/>
          <w:sz w:val="24"/>
          <w:szCs w:val="24"/>
        </w:rPr>
      </w:pPr>
    </w:p>
    <w:p w14:paraId="5EA1479A" w14:textId="77777777" w:rsidR="005835CB" w:rsidRPr="00D67768" w:rsidRDefault="005835CB" w:rsidP="005835CB">
      <w:pPr>
        <w:pStyle w:val="Default"/>
        <w:rPr>
          <w:rFonts w:ascii="Arial" w:eastAsia="Calibri" w:hAnsi="Arial" w:cs="Arial"/>
          <w:color w:val="auto"/>
        </w:rPr>
      </w:pPr>
      <w:r w:rsidRPr="00D67768">
        <w:rPr>
          <w:rFonts w:ascii="Arial" w:eastAsia="Calibri" w:hAnsi="Arial" w:cs="Arial"/>
          <w:color w:val="auto"/>
        </w:rPr>
        <w:t>Preamble:</w:t>
      </w:r>
    </w:p>
    <w:p w14:paraId="7CA0F1FE" w14:textId="5B81F689" w:rsidR="0002605C" w:rsidRPr="00D67768" w:rsidRDefault="00AD62CB" w:rsidP="0002605C">
      <w:pPr>
        <w:spacing w:after="0" w:line="240" w:lineRule="auto"/>
        <w:rPr>
          <w:rFonts w:ascii="Arial" w:eastAsia="Calibri" w:hAnsi="Arial" w:cs="Arial"/>
          <w:b/>
          <w:bCs/>
          <w:sz w:val="24"/>
          <w:szCs w:val="24"/>
        </w:rPr>
      </w:pPr>
      <w:r w:rsidRPr="00D67768">
        <w:rPr>
          <w:rFonts w:ascii="Arial" w:hAnsi="Arial" w:cs="Arial"/>
          <w:bCs/>
          <w:sz w:val="24"/>
          <w:szCs w:val="24"/>
        </w:rPr>
        <w:t>OEB staff notes discrepancies between the 2022 closing balances for principal and interest in Ref. (I) and Ref. (III) and the 2023 opening balances for principal and interest in Ref. (II) and Ref. (IV) for Sub-accounts 1595. Tables 1 and 2 below illustrate the variances between these opening and closing balances.</w:t>
      </w:r>
      <w:r w:rsidR="00D12E55" w:rsidRPr="00D67768">
        <w:rPr>
          <w:rFonts w:ascii="Arial" w:hAnsi="Arial" w:cs="Arial"/>
          <w:noProof/>
          <w:sz w:val="24"/>
          <w:szCs w:val="24"/>
        </w:rPr>
        <w:drawing>
          <wp:inline distT="0" distB="0" distL="0" distR="0" wp14:anchorId="5178F7FF" wp14:editId="220B28E5">
            <wp:extent cx="5943600" cy="2581275"/>
            <wp:effectExtent l="0" t="0" r="0" b="9525"/>
            <wp:docPr id="1547882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581275"/>
                    </a:xfrm>
                    <a:prstGeom prst="rect">
                      <a:avLst/>
                    </a:prstGeom>
                    <a:noFill/>
                    <a:ln>
                      <a:noFill/>
                    </a:ln>
                  </pic:spPr>
                </pic:pic>
              </a:graphicData>
            </a:graphic>
          </wp:inline>
        </w:drawing>
      </w:r>
    </w:p>
    <w:p w14:paraId="15A2A817" w14:textId="77777777" w:rsidR="00D12E55" w:rsidRPr="00D67768" w:rsidRDefault="00D12E55" w:rsidP="0009197D">
      <w:pPr>
        <w:pStyle w:val="Default"/>
        <w:rPr>
          <w:rFonts w:ascii="Arial" w:eastAsia="Calibri" w:hAnsi="Arial" w:cs="Arial"/>
          <w:b/>
          <w:bCs/>
          <w:color w:val="auto"/>
        </w:rPr>
      </w:pPr>
    </w:p>
    <w:p w14:paraId="5642971E" w14:textId="34B4C2D1" w:rsidR="0009197D" w:rsidRPr="00D67768" w:rsidRDefault="0009197D" w:rsidP="0009197D">
      <w:pPr>
        <w:pStyle w:val="Default"/>
        <w:rPr>
          <w:rFonts w:ascii="Arial" w:eastAsia="Calibri" w:hAnsi="Arial" w:cs="Arial"/>
          <w:b/>
          <w:bCs/>
          <w:color w:val="auto"/>
        </w:rPr>
      </w:pPr>
      <w:r w:rsidRPr="00D67768">
        <w:rPr>
          <w:rFonts w:ascii="Arial" w:eastAsia="Calibri" w:hAnsi="Arial" w:cs="Arial"/>
          <w:b/>
          <w:bCs/>
          <w:color w:val="auto"/>
        </w:rPr>
        <w:t xml:space="preserve">Question(s): </w:t>
      </w:r>
    </w:p>
    <w:p w14:paraId="78E01995" w14:textId="6F97C9DA" w:rsidR="004C5D54" w:rsidRPr="00D67768" w:rsidRDefault="00083C1A" w:rsidP="00A03E72">
      <w:pPr>
        <w:pStyle w:val="ListParagraph"/>
        <w:numPr>
          <w:ilvl w:val="0"/>
          <w:numId w:val="10"/>
        </w:numPr>
        <w:spacing w:after="0" w:line="240" w:lineRule="auto"/>
        <w:rPr>
          <w:rFonts w:ascii="Arial" w:eastAsia="Calibri" w:hAnsi="Arial" w:cs="Arial"/>
          <w:sz w:val="24"/>
          <w:szCs w:val="24"/>
        </w:rPr>
      </w:pPr>
      <w:r w:rsidRPr="00D67768">
        <w:rPr>
          <w:rFonts w:ascii="Arial" w:eastAsia="Calibri" w:hAnsi="Arial" w:cs="Arial"/>
          <w:sz w:val="24"/>
          <w:szCs w:val="24"/>
        </w:rPr>
        <w:t xml:space="preserve">Please confirm whether the balances in 1595 (2019) in Ref. (I) and (III) are currently being disposed of on a final basis. Additionally, please explain why the opening balances </w:t>
      </w:r>
      <w:r w:rsidR="005734CB" w:rsidRPr="00D67768">
        <w:rPr>
          <w:rFonts w:ascii="Arial" w:eastAsia="Calibri" w:hAnsi="Arial" w:cs="Arial"/>
          <w:sz w:val="24"/>
          <w:szCs w:val="24"/>
        </w:rPr>
        <w:t>in</w:t>
      </w:r>
      <w:r w:rsidRPr="00D67768">
        <w:rPr>
          <w:rFonts w:ascii="Arial" w:eastAsia="Calibri" w:hAnsi="Arial" w:cs="Arial"/>
          <w:sz w:val="24"/>
          <w:szCs w:val="24"/>
        </w:rPr>
        <w:t xml:space="preserve"> Sub-account 1595 (2019) are not presented in </w:t>
      </w:r>
      <w:r w:rsidR="007C599B" w:rsidRPr="00D67768">
        <w:rPr>
          <w:rFonts w:ascii="Arial" w:eastAsia="Calibri" w:hAnsi="Arial" w:cs="Arial"/>
          <w:sz w:val="24"/>
          <w:szCs w:val="24"/>
        </w:rPr>
        <w:t>Ref. (II) and (IV)</w:t>
      </w:r>
      <w:r w:rsidRPr="00D67768">
        <w:rPr>
          <w:rFonts w:ascii="Arial" w:eastAsia="Calibri" w:hAnsi="Arial" w:cs="Arial"/>
          <w:sz w:val="24"/>
          <w:szCs w:val="24"/>
        </w:rPr>
        <w:t xml:space="preserve"> for both rate zones.</w:t>
      </w:r>
      <w:r w:rsidR="004C5D54" w:rsidRPr="00D67768">
        <w:rPr>
          <w:rFonts w:ascii="Arial" w:eastAsia="Calibri" w:hAnsi="Arial" w:cs="Arial"/>
          <w:sz w:val="24"/>
          <w:szCs w:val="24"/>
        </w:rPr>
        <w:t xml:space="preserve"> </w:t>
      </w:r>
    </w:p>
    <w:p w14:paraId="2749D1C6" w14:textId="228EC3B3" w:rsidR="004C5D54" w:rsidRPr="00D67768" w:rsidRDefault="00B314FF" w:rsidP="00A03E72">
      <w:pPr>
        <w:pStyle w:val="ListParagraph"/>
        <w:numPr>
          <w:ilvl w:val="0"/>
          <w:numId w:val="10"/>
        </w:numPr>
        <w:spacing w:after="0" w:line="240" w:lineRule="auto"/>
        <w:rPr>
          <w:rFonts w:ascii="Arial" w:eastAsia="Calibri" w:hAnsi="Arial" w:cs="Arial"/>
          <w:sz w:val="24"/>
          <w:szCs w:val="24"/>
        </w:rPr>
      </w:pPr>
      <w:r w:rsidRPr="00D67768">
        <w:rPr>
          <w:rFonts w:ascii="Arial" w:eastAsia="Calibri" w:hAnsi="Arial" w:cs="Arial"/>
          <w:sz w:val="24"/>
          <w:szCs w:val="24"/>
        </w:rPr>
        <w:lastRenderedPageBreak/>
        <w:t xml:space="preserve">OEB staff requests NT Power to provide explanation for the </w:t>
      </w:r>
      <w:r w:rsidR="001A47CE" w:rsidRPr="00D67768">
        <w:rPr>
          <w:rFonts w:ascii="Arial" w:eastAsia="Calibri" w:hAnsi="Arial" w:cs="Arial"/>
          <w:sz w:val="24"/>
          <w:szCs w:val="24"/>
        </w:rPr>
        <w:t>variances</w:t>
      </w:r>
      <w:r w:rsidRPr="00D67768">
        <w:rPr>
          <w:rFonts w:ascii="Arial" w:eastAsia="Calibri" w:hAnsi="Arial" w:cs="Arial"/>
          <w:sz w:val="24"/>
          <w:szCs w:val="24"/>
        </w:rPr>
        <w:t xml:space="preserve"> in opening and closing balances shown in Table</w:t>
      </w:r>
      <w:r w:rsidR="00F44B65" w:rsidRPr="00D67768">
        <w:rPr>
          <w:rFonts w:ascii="Arial" w:eastAsia="Calibri" w:hAnsi="Arial" w:cs="Arial"/>
          <w:sz w:val="24"/>
          <w:szCs w:val="24"/>
        </w:rPr>
        <w:t>s</w:t>
      </w:r>
      <w:r w:rsidRPr="00D67768">
        <w:rPr>
          <w:rFonts w:ascii="Arial" w:eastAsia="Calibri" w:hAnsi="Arial" w:cs="Arial"/>
          <w:sz w:val="24"/>
          <w:szCs w:val="24"/>
        </w:rPr>
        <w:t xml:space="preserve"> 1 and 2</w:t>
      </w:r>
      <w:r w:rsidR="00F44B65" w:rsidRPr="00D67768">
        <w:rPr>
          <w:rFonts w:ascii="Arial" w:eastAsia="Calibri" w:hAnsi="Arial" w:cs="Arial"/>
          <w:sz w:val="24"/>
          <w:szCs w:val="24"/>
        </w:rPr>
        <w:t xml:space="preserve"> above.</w:t>
      </w:r>
    </w:p>
    <w:p w14:paraId="067A0DB0" w14:textId="77777777" w:rsidR="00616CEE" w:rsidRDefault="00616CEE" w:rsidP="00743070">
      <w:pPr>
        <w:spacing w:after="0" w:line="240" w:lineRule="auto"/>
        <w:contextualSpacing/>
        <w:rPr>
          <w:rFonts w:ascii="Arial" w:eastAsia="Calibri" w:hAnsi="Arial" w:cs="Arial"/>
          <w:b/>
          <w:bCs/>
          <w:sz w:val="24"/>
          <w:szCs w:val="24"/>
        </w:rPr>
      </w:pPr>
    </w:p>
    <w:p w14:paraId="764CA08E" w14:textId="2F31042D" w:rsidR="00743070" w:rsidRPr="00D67768" w:rsidRDefault="00743070" w:rsidP="00743070">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Staff Question</w:t>
      </w:r>
      <w:r w:rsidR="00382AC2" w:rsidRPr="00D67768">
        <w:rPr>
          <w:rFonts w:ascii="Arial" w:eastAsia="Calibri" w:hAnsi="Arial" w:cs="Arial"/>
          <w:b/>
          <w:bCs/>
          <w:sz w:val="24"/>
          <w:szCs w:val="24"/>
        </w:rPr>
        <w:t>-5</w:t>
      </w:r>
    </w:p>
    <w:p w14:paraId="74B8573A" w14:textId="77777777" w:rsidR="00743070" w:rsidRPr="00D67768" w:rsidRDefault="00743070" w:rsidP="00743070">
      <w:pPr>
        <w:spacing w:after="0"/>
        <w:rPr>
          <w:rFonts w:ascii="Arial" w:eastAsia="Arial" w:hAnsi="Arial" w:cs="Arial"/>
          <w:b/>
          <w:bCs/>
          <w:sz w:val="24"/>
          <w:szCs w:val="24"/>
        </w:rPr>
      </w:pPr>
    </w:p>
    <w:p w14:paraId="5EF73EC9" w14:textId="77777777" w:rsidR="00743070" w:rsidRPr="00D67768" w:rsidRDefault="00743070" w:rsidP="00743070">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 xml:space="preserve">Reference: </w:t>
      </w:r>
    </w:p>
    <w:p w14:paraId="4E308274" w14:textId="77777777" w:rsidR="00743070" w:rsidRPr="00D67768" w:rsidRDefault="00743070" w:rsidP="00743070">
      <w:pPr>
        <w:spacing w:after="0"/>
        <w:rPr>
          <w:rFonts w:ascii="Arial" w:eastAsia="Arial" w:hAnsi="Arial" w:cs="Arial"/>
          <w:sz w:val="24"/>
          <w:szCs w:val="24"/>
        </w:rPr>
      </w:pPr>
      <w:r w:rsidRPr="00D67768">
        <w:rPr>
          <w:rFonts w:ascii="Arial" w:eastAsia="Arial" w:hAnsi="Arial" w:cs="Arial"/>
          <w:sz w:val="24"/>
          <w:szCs w:val="24"/>
        </w:rPr>
        <w:t>I.</w:t>
      </w:r>
      <w:r w:rsidRPr="00D67768">
        <w:rPr>
          <w:rFonts w:ascii="Arial" w:eastAsia="Arial" w:hAnsi="Arial" w:cs="Arial"/>
          <w:sz w:val="24"/>
          <w:szCs w:val="24"/>
        </w:rPr>
        <w:tab/>
        <w:t>EB-2024-0042, Application for 2025 Rates, Manager’s Summary, Pg. 22</w:t>
      </w:r>
    </w:p>
    <w:p w14:paraId="36098963" w14:textId="77777777" w:rsidR="00743070" w:rsidRPr="00D67768" w:rsidRDefault="00743070" w:rsidP="00743070">
      <w:pPr>
        <w:spacing w:after="0"/>
        <w:rPr>
          <w:rFonts w:ascii="Arial" w:eastAsia="Arial" w:hAnsi="Arial" w:cs="Arial"/>
          <w:b/>
          <w:bCs/>
          <w:sz w:val="24"/>
          <w:szCs w:val="24"/>
        </w:rPr>
      </w:pPr>
      <w:r w:rsidRPr="00D67768">
        <w:rPr>
          <w:rFonts w:ascii="Arial" w:eastAsia="Arial" w:hAnsi="Arial" w:cs="Arial"/>
          <w:b/>
          <w:bCs/>
          <w:sz w:val="24"/>
          <w:szCs w:val="24"/>
        </w:rPr>
        <w:t xml:space="preserve"> </w:t>
      </w:r>
    </w:p>
    <w:p w14:paraId="26E86E5D" w14:textId="77777777" w:rsidR="00743070" w:rsidRPr="00D67768" w:rsidRDefault="00743070" w:rsidP="00743070">
      <w:pPr>
        <w:spacing w:after="0"/>
        <w:rPr>
          <w:rFonts w:ascii="Arial" w:eastAsia="Arial" w:hAnsi="Arial" w:cs="Arial"/>
          <w:sz w:val="24"/>
          <w:szCs w:val="24"/>
        </w:rPr>
      </w:pPr>
      <w:r w:rsidRPr="00D67768">
        <w:rPr>
          <w:rFonts w:ascii="Arial" w:eastAsia="Arial" w:hAnsi="Arial" w:cs="Arial"/>
          <w:sz w:val="24"/>
          <w:szCs w:val="24"/>
        </w:rPr>
        <w:t>Preamble:</w:t>
      </w:r>
    </w:p>
    <w:p w14:paraId="3DDE9FA1" w14:textId="77777777" w:rsidR="00743070" w:rsidRPr="00D67768" w:rsidRDefault="00743070" w:rsidP="00743070">
      <w:pPr>
        <w:spacing w:after="0"/>
        <w:rPr>
          <w:rFonts w:ascii="Arial" w:eastAsia="Arial" w:hAnsi="Arial" w:cs="Arial"/>
          <w:sz w:val="24"/>
          <w:szCs w:val="24"/>
        </w:rPr>
      </w:pPr>
      <w:r w:rsidRPr="00D67768">
        <w:rPr>
          <w:rFonts w:ascii="Arial" w:eastAsia="Arial" w:hAnsi="Arial" w:cs="Arial"/>
          <w:sz w:val="24"/>
          <w:szCs w:val="24"/>
        </w:rPr>
        <w:t>In the Managers Summary, NT Power stated that in reviewing Non-RPP Class A GA related transactions, NT Power identified internal process improvements to enable enhanced tracking of these transactions. NT Power did not identify any adjustments required resulting from this review.</w:t>
      </w:r>
    </w:p>
    <w:p w14:paraId="209EC605" w14:textId="77777777" w:rsidR="00743070" w:rsidRPr="00D67768" w:rsidRDefault="00743070" w:rsidP="00743070">
      <w:pPr>
        <w:spacing w:after="0"/>
        <w:rPr>
          <w:rFonts w:ascii="Arial" w:eastAsia="Arial" w:hAnsi="Arial" w:cs="Arial"/>
          <w:sz w:val="24"/>
          <w:szCs w:val="24"/>
        </w:rPr>
      </w:pPr>
      <w:r w:rsidRPr="00D67768">
        <w:rPr>
          <w:rFonts w:ascii="Arial" w:eastAsia="Arial" w:hAnsi="Arial" w:cs="Arial"/>
          <w:sz w:val="24"/>
          <w:szCs w:val="24"/>
        </w:rPr>
        <w:t xml:space="preserve"> </w:t>
      </w:r>
    </w:p>
    <w:p w14:paraId="061F8231" w14:textId="77777777" w:rsidR="00743070" w:rsidRPr="00D67768" w:rsidRDefault="00743070" w:rsidP="00743070">
      <w:pPr>
        <w:pStyle w:val="Default"/>
        <w:rPr>
          <w:rFonts w:ascii="Arial" w:eastAsia="Calibri" w:hAnsi="Arial" w:cs="Arial"/>
          <w:b/>
          <w:bCs/>
          <w:color w:val="auto"/>
        </w:rPr>
      </w:pPr>
      <w:r w:rsidRPr="00D67768">
        <w:rPr>
          <w:rFonts w:ascii="Arial" w:eastAsia="Calibri" w:hAnsi="Arial" w:cs="Arial"/>
          <w:b/>
          <w:bCs/>
          <w:color w:val="auto"/>
        </w:rPr>
        <w:t>Question(s):</w:t>
      </w:r>
    </w:p>
    <w:p w14:paraId="01D23326" w14:textId="77777777" w:rsidR="00743070" w:rsidRPr="00D67768" w:rsidRDefault="00743070" w:rsidP="00743070">
      <w:pPr>
        <w:pStyle w:val="ListParagraph"/>
        <w:numPr>
          <w:ilvl w:val="0"/>
          <w:numId w:val="2"/>
        </w:numPr>
        <w:spacing w:after="0"/>
        <w:rPr>
          <w:rFonts w:ascii="Arial" w:eastAsia="Arial" w:hAnsi="Arial" w:cs="Arial"/>
          <w:sz w:val="24"/>
          <w:szCs w:val="24"/>
        </w:rPr>
      </w:pPr>
      <w:r w:rsidRPr="00D67768">
        <w:rPr>
          <w:rFonts w:ascii="Arial" w:eastAsia="Arial" w:hAnsi="Arial" w:cs="Arial"/>
          <w:sz w:val="24"/>
          <w:szCs w:val="24"/>
        </w:rPr>
        <w:t>Please provide more details on the process improvements identified for future GA tracking and whether these improvements will have a measurable impact on reducing discrepancies.</w:t>
      </w:r>
    </w:p>
    <w:p w14:paraId="7800E5C2" w14:textId="77777777" w:rsidR="00743070" w:rsidRPr="00D67768" w:rsidRDefault="00743070" w:rsidP="00743070">
      <w:pPr>
        <w:spacing w:after="0"/>
        <w:rPr>
          <w:rFonts w:ascii="Arial" w:eastAsia="Arial" w:hAnsi="Arial" w:cs="Arial"/>
          <w:b/>
          <w:bCs/>
          <w:sz w:val="24"/>
          <w:szCs w:val="24"/>
        </w:rPr>
      </w:pPr>
    </w:p>
    <w:p w14:paraId="557B4315" w14:textId="66BEBF70" w:rsidR="00743070" w:rsidRPr="00D67768" w:rsidRDefault="00743070" w:rsidP="00743070">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Staff Question</w:t>
      </w:r>
      <w:r w:rsidR="00382AC2" w:rsidRPr="00D67768">
        <w:rPr>
          <w:rFonts w:ascii="Arial" w:eastAsia="Calibri" w:hAnsi="Arial" w:cs="Arial"/>
          <w:b/>
          <w:bCs/>
          <w:sz w:val="24"/>
          <w:szCs w:val="24"/>
        </w:rPr>
        <w:t>-6</w:t>
      </w:r>
    </w:p>
    <w:p w14:paraId="74C953EB" w14:textId="77777777" w:rsidR="00743070" w:rsidRPr="00D67768" w:rsidRDefault="00743070" w:rsidP="00743070">
      <w:pPr>
        <w:spacing w:after="0"/>
        <w:rPr>
          <w:rFonts w:ascii="Arial" w:eastAsia="Arial" w:hAnsi="Arial" w:cs="Arial"/>
          <w:b/>
          <w:bCs/>
          <w:sz w:val="24"/>
          <w:szCs w:val="24"/>
        </w:rPr>
      </w:pPr>
    </w:p>
    <w:p w14:paraId="6AA54FA9" w14:textId="77777777" w:rsidR="00743070" w:rsidRPr="00D67768" w:rsidRDefault="00743070" w:rsidP="00743070">
      <w:pPr>
        <w:spacing w:after="0" w:line="240" w:lineRule="auto"/>
        <w:contextualSpacing/>
        <w:rPr>
          <w:rFonts w:ascii="Arial" w:eastAsia="Arial" w:hAnsi="Arial" w:cs="Arial"/>
          <w:b/>
          <w:bCs/>
          <w:sz w:val="24"/>
          <w:szCs w:val="24"/>
        </w:rPr>
      </w:pPr>
      <w:r w:rsidRPr="00D67768">
        <w:rPr>
          <w:rFonts w:ascii="Arial" w:eastAsia="Calibri" w:hAnsi="Arial" w:cs="Arial"/>
          <w:b/>
          <w:bCs/>
          <w:sz w:val="24"/>
          <w:szCs w:val="24"/>
        </w:rPr>
        <w:t xml:space="preserve">Reference: </w:t>
      </w:r>
    </w:p>
    <w:p w14:paraId="62EDF8CF" w14:textId="00632843" w:rsidR="00743070" w:rsidRPr="00D67768" w:rsidRDefault="00743070" w:rsidP="00743070">
      <w:pPr>
        <w:spacing w:after="0"/>
        <w:rPr>
          <w:rFonts w:ascii="Arial" w:eastAsia="Arial" w:hAnsi="Arial" w:cs="Arial"/>
          <w:sz w:val="24"/>
          <w:szCs w:val="24"/>
        </w:rPr>
      </w:pPr>
      <w:r w:rsidRPr="00D67768">
        <w:rPr>
          <w:rFonts w:ascii="Arial" w:eastAsia="Arial" w:hAnsi="Arial" w:cs="Arial"/>
          <w:sz w:val="24"/>
          <w:szCs w:val="24"/>
        </w:rPr>
        <w:t xml:space="preserve">I.  EB-2024-0042, </w:t>
      </w:r>
      <w:r w:rsidRPr="00D67768">
        <w:rPr>
          <w:rFonts w:ascii="Arial" w:eastAsia="Calibri" w:hAnsi="Arial" w:cs="Arial"/>
          <w:sz w:val="24"/>
          <w:szCs w:val="24"/>
        </w:rPr>
        <w:t>NRZ, Rate Generator Model</w:t>
      </w:r>
      <w:r w:rsidRPr="00D67768" w:rsidDel="007A10F0">
        <w:rPr>
          <w:rFonts w:ascii="Arial" w:eastAsia="Arial" w:hAnsi="Arial" w:cs="Arial"/>
          <w:sz w:val="24"/>
          <w:szCs w:val="24"/>
        </w:rPr>
        <w:t>,</w:t>
      </w:r>
      <w:r w:rsidRPr="00D67768">
        <w:rPr>
          <w:rFonts w:ascii="Arial" w:eastAsia="Arial" w:hAnsi="Arial" w:cs="Arial"/>
          <w:sz w:val="24"/>
          <w:szCs w:val="24"/>
        </w:rPr>
        <w:t xml:space="preserve"> Tab 3 Continuity Schedule</w:t>
      </w:r>
      <w:r w:rsidR="008B121F">
        <w:rPr>
          <w:rFonts w:ascii="Arial" w:eastAsia="Arial" w:hAnsi="Arial" w:cs="Arial"/>
          <w:sz w:val="24"/>
          <w:szCs w:val="24"/>
        </w:rPr>
        <w:t xml:space="preserve">, Cells BC28 &amp; </w:t>
      </w:r>
      <w:r w:rsidR="00711240">
        <w:rPr>
          <w:rFonts w:ascii="Arial" w:eastAsia="Arial" w:hAnsi="Arial" w:cs="Arial"/>
          <w:sz w:val="24"/>
          <w:szCs w:val="24"/>
        </w:rPr>
        <w:t>BC</w:t>
      </w:r>
      <w:r w:rsidR="008B121F">
        <w:rPr>
          <w:rFonts w:ascii="Arial" w:eastAsia="Arial" w:hAnsi="Arial" w:cs="Arial"/>
          <w:sz w:val="24"/>
          <w:szCs w:val="24"/>
        </w:rPr>
        <w:t>29</w:t>
      </w:r>
    </w:p>
    <w:p w14:paraId="5E6F050C" w14:textId="607E779D" w:rsidR="00743070" w:rsidRPr="00D67768" w:rsidRDefault="00743070" w:rsidP="00743070">
      <w:pPr>
        <w:spacing w:after="0"/>
        <w:rPr>
          <w:rFonts w:ascii="Arial" w:eastAsia="Arial" w:hAnsi="Arial" w:cs="Arial"/>
          <w:sz w:val="24"/>
          <w:szCs w:val="24"/>
        </w:rPr>
      </w:pPr>
      <w:r w:rsidRPr="00D67768">
        <w:rPr>
          <w:rFonts w:ascii="Arial" w:eastAsia="Arial" w:hAnsi="Arial" w:cs="Arial"/>
          <w:sz w:val="24"/>
          <w:szCs w:val="24"/>
        </w:rPr>
        <w:t xml:space="preserve">II. EB-2023-0039, </w:t>
      </w:r>
      <w:r w:rsidRPr="00D67768">
        <w:rPr>
          <w:rFonts w:ascii="Arial" w:eastAsia="Calibri" w:hAnsi="Arial" w:cs="Arial"/>
          <w:sz w:val="24"/>
          <w:szCs w:val="24"/>
        </w:rPr>
        <w:t>NRZ, Rate Generator Model</w:t>
      </w:r>
      <w:r w:rsidRPr="00D67768" w:rsidDel="007A10F0">
        <w:rPr>
          <w:rFonts w:ascii="Arial" w:eastAsia="Arial" w:hAnsi="Arial" w:cs="Arial"/>
          <w:sz w:val="24"/>
          <w:szCs w:val="24"/>
        </w:rPr>
        <w:t>,</w:t>
      </w:r>
      <w:r w:rsidRPr="00D67768">
        <w:rPr>
          <w:rFonts w:ascii="Arial" w:eastAsia="Arial" w:hAnsi="Arial" w:cs="Arial"/>
          <w:sz w:val="24"/>
          <w:szCs w:val="24"/>
        </w:rPr>
        <w:t xml:space="preserve"> Tab 3 Continuity Schedule</w:t>
      </w:r>
      <w:r w:rsidR="007656D9">
        <w:rPr>
          <w:rFonts w:ascii="Arial" w:eastAsia="Arial" w:hAnsi="Arial" w:cs="Arial"/>
          <w:sz w:val="24"/>
          <w:szCs w:val="24"/>
        </w:rPr>
        <w:t>,</w:t>
      </w:r>
      <w:r w:rsidR="003F0805">
        <w:rPr>
          <w:rFonts w:ascii="Arial" w:eastAsia="Arial" w:hAnsi="Arial" w:cs="Arial"/>
          <w:sz w:val="24"/>
          <w:szCs w:val="24"/>
        </w:rPr>
        <w:t xml:space="preserve"> Cells BG28 &amp;</w:t>
      </w:r>
      <w:r w:rsidR="000329C3">
        <w:rPr>
          <w:rFonts w:ascii="Arial" w:eastAsia="Arial" w:hAnsi="Arial" w:cs="Arial"/>
          <w:sz w:val="24"/>
          <w:szCs w:val="24"/>
        </w:rPr>
        <w:t xml:space="preserve"> </w:t>
      </w:r>
      <w:r w:rsidR="003F0805">
        <w:rPr>
          <w:rFonts w:ascii="Arial" w:eastAsia="Arial" w:hAnsi="Arial" w:cs="Arial"/>
          <w:sz w:val="24"/>
          <w:szCs w:val="24"/>
        </w:rPr>
        <w:t>BG29</w:t>
      </w:r>
    </w:p>
    <w:p w14:paraId="6421941E" w14:textId="77777777" w:rsidR="00743070" w:rsidRPr="00D67768" w:rsidRDefault="00743070" w:rsidP="00743070">
      <w:pPr>
        <w:spacing w:after="0"/>
        <w:rPr>
          <w:rFonts w:ascii="Arial" w:eastAsia="Arial" w:hAnsi="Arial" w:cs="Arial"/>
          <w:sz w:val="24"/>
          <w:szCs w:val="24"/>
        </w:rPr>
      </w:pPr>
      <w:r w:rsidRPr="00D67768">
        <w:rPr>
          <w:rFonts w:ascii="Arial" w:eastAsia="Arial" w:hAnsi="Arial" w:cs="Arial"/>
          <w:b/>
          <w:bCs/>
          <w:sz w:val="24"/>
          <w:szCs w:val="24"/>
        </w:rPr>
        <w:t xml:space="preserve"> </w:t>
      </w:r>
    </w:p>
    <w:p w14:paraId="773C3F47" w14:textId="77777777" w:rsidR="00743070" w:rsidRPr="00D67768" w:rsidRDefault="00743070" w:rsidP="00743070">
      <w:pPr>
        <w:spacing w:after="0"/>
        <w:rPr>
          <w:rFonts w:ascii="Arial" w:eastAsia="Arial" w:hAnsi="Arial" w:cs="Arial"/>
          <w:sz w:val="24"/>
          <w:szCs w:val="24"/>
        </w:rPr>
      </w:pPr>
      <w:r w:rsidRPr="00D67768">
        <w:rPr>
          <w:rFonts w:ascii="Arial" w:eastAsia="Arial" w:hAnsi="Arial" w:cs="Arial"/>
          <w:sz w:val="24"/>
          <w:szCs w:val="24"/>
        </w:rPr>
        <w:t>Preamble:</w:t>
      </w:r>
    </w:p>
    <w:p w14:paraId="5D5474B6" w14:textId="77777777" w:rsidR="00743070" w:rsidRPr="00D67768" w:rsidRDefault="00743070" w:rsidP="00743070">
      <w:pPr>
        <w:spacing w:after="0"/>
        <w:rPr>
          <w:rFonts w:ascii="Arial" w:eastAsia="Arial" w:hAnsi="Arial" w:cs="Arial"/>
          <w:sz w:val="24"/>
          <w:szCs w:val="24"/>
        </w:rPr>
      </w:pPr>
      <w:r w:rsidRPr="00D67768">
        <w:rPr>
          <w:rFonts w:ascii="Arial" w:eastAsia="Arial" w:hAnsi="Arial" w:cs="Arial"/>
          <w:sz w:val="24"/>
          <w:szCs w:val="24"/>
        </w:rPr>
        <w:t>OEB staff notes the following differences in the opening balance for 2023:</w:t>
      </w:r>
    </w:p>
    <w:p w14:paraId="0C0E55F1" w14:textId="2AD0514A" w:rsidR="00743070" w:rsidRPr="00D67768" w:rsidRDefault="00075B30" w:rsidP="00743070">
      <w:pPr>
        <w:spacing w:after="0"/>
        <w:rPr>
          <w:rFonts w:ascii="Arial" w:eastAsia="Arial" w:hAnsi="Arial" w:cs="Arial"/>
          <w:sz w:val="24"/>
          <w:szCs w:val="24"/>
        </w:rPr>
      </w:pPr>
      <w:r w:rsidRPr="00D67768">
        <w:rPr>
          <w:noProof/>
          <w:sz w:val="24"/>
          <w:szCs w:val="24"/>
        </w:rPr>
        <w:drawing>
          <wp:inline distT="0" distB="0" distL="0" distR="0" wp14:anchorId="14CB5329" wp14:editId="69313341">
            <wp:extent cx="6122804" cy="1171575"/>
            <wp:effectExtent l="0" t="0" r="0" b="0"/>
            <wp:docPr id="676582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82599" name=""/>
                    <pic:cNvPicPr/>
                  </pic:nvPicPr>
                  <pic:blipFill>
                    <a:blip r:embed="rId12"/>
                    <a:stretch>
                      <a:fillRect/>
                    </a:stretch>
                  </pic:blipFill>
                  <pic:spPr>
                    <a:xfrm>
                      <a:off x="0" y="0"/>
                      <a:ext cx="6123462" cy="1171701"/>
                    </a:xfrm>
                    <a:prstGeom prst="rect">
                      <a:avLst/>
                    </a:prstGeom>
                  </pic:spPr>
                </pic:pic>
              </a:graphicData>
            </a:graphic>
          </wp:inline>
        </w:drawing>
      </w:r>
    </w:p>
    <w:p w14:paraId="186E08B2" w14:textId="77777777" w:rsidR="00680BF7" w:rsidRPr="00D67768" w:rsidRDefault="00743070" w:rsidP="00743070">
      <w:pPr>
        <w:pStyle w:val="Default"/>
        <w:rPr>
          <w:rFonts w:ascii="Arial" w:eastAsia="Arial" w:hAnsi="Arial" w:cs="Arial"/>
        </w:rPr>
      </w:pPr>
      <w:r w:rsidRPr="00D67768">
        <w:rPr>
          <w:rFonts w:ascii="Arial" w:eastAsia="Arial" w:hAnsi="Arial" w:cs="Arial"/>
        </w:rPr>
        <w:t xml:space="preserve"> </w:t>
      </w:r>
    </w:p>
    <w:p w14:paraId="19902479" w14:textId="29A0C9E4" w:rsidR="00743070" w:rsidRPr="00D67768" w:rsidRDefault="00743070" w:rsidP="00743070">
      <w:pPr>
        <w:pStyle w:val="Default"/>
        <w:rPr>
          <w:rFonts w:ascii="Arial" w:eastAsia="Calibri" w:hAnsi="Arial" w:cs="Arial"/>
          <w:b/>
          <w:bCs/>
          <w:color w:val="auto"/>
        </w:rPr>
      </w:pPr>
      <w:r w:rsidRPr="00D67768">
        <w:rPr>
          <w:rFonts w:ascii="Arial" w:eastAsia="Calibri" w:hAnsi="Arial" w:cs="Arial"/>
          <w:b/>
          <w:bCs/>
          <w:color w:val="auto"/>
        </w:rPr>
        <w:t xml:space="preserve">Question(s): </w:t>
      </w:r>
    </w:p>
    <w:p w14:paraId="49D3E383" w14:textId="77777777" w:rsidR="00743070" w:rsidRPr="00D67768" w:rsidRDefault="00743070" w:rsidP="00743070">
      <w:pPr>
        <w:pStyle w:val="ListParagraph"/>
        <w:numPr>
          <w:ilvl w:val="0"/>
          <w:numId w:val="1"/>
        </w:numPr>
        <w:spacing w:after="0"/>
        <w:rPr>
          <w:rFonts w:ascii="Arial" w:eastAsia="Arial" w:hAnsi="Arial" w:cs="Arial"/>
          <w:sz w:val="24"/>
          <w:szCs w:val="24"/>
        </w:rPr>
      </w:pPr>
      <w:r w:rsidRPr="00D67768">
        <w:rPr>
          <w:rFonts w:ascii="Arial" w:eastAsia="Arial" w:hAnsi="Arial" w:cs="Arial"/>
          <w:sz w:val="24"/>
          <w:szCs w:val="24"/>
        </w:rPr>
        <w:t xml:space="preserve">Please explain the differences noted above. If any adjustments are needed for this year’s DVA continuity schedule, please </w:t>
      </w:r>
      <w:proofErr w:type="gramStart"/>
      <w:r w:rsidRPr="00D67768">
        <w:rPr>
          <w:rFonts w:ascii="Arial" w:eastAsia="Arial" w:hAnsi="Arial" w:cs="Arial"/>
          <w:sz w:val="24"/>
          <w:szCs w:val="24"/>
        </w:rPr>
        <w:t>explain</w:t>
      </w:r>
      <w:proofErr w:type="gramEnd"/>
      <w:r w:rsidRPr="00D67768">
        <w:rPr>
          <w:rFonts w:ascii="Arial" w:eastAsia="Arial" w:hAnsi="Arial" w:cs="Arial"/>
          <w:sz w:val="24"/>
          <w:szCs w:val="24"/>
        </w:rPr>
        <w:t xml:space="preserve"> and provide updated continuity schedule.</w:t>
      </w:r>
    </w:p>
    <w:p w14:paraId="536295DA" w14:textId="77777777" w:rsidR="00382AC2" w:rsidRPr="00D67768" w:rsidRDefault="00382AC2" w:rsidP="004C5D54">
      <w:pPr>
        <w:spacing w:after="0" w:line="240" w:lineRule="auto"/>
        <w:rPr>
          <w:rFonts w:ascii="Arial" w:eastAsia="Calibri" w:hAnsi="Arial" w:cs="Arial"/>
          <w:b/>
          <w:bCs/>
          <w:sz w:val="24"/>
          <w:szCs w:val="24"/>
        </w:rPr>
      </w:pPr>
    </w:p>
    <w:p w14:paraId="7F49EA27" w14:textId="77777777" w:rsidR="00382AC2" w:rsidRPr="00D67768" w:rsidRDefault="00382AC2" w:rsidP="004C5D54">
      <w:pPr>
        <w:spacing w:after="0" w:line="240" w:lineRule="auto"/>
        <w:rPr>
          <w:rFonts w:ascii="Arial" w:eastAsia="Calibri" w:hAnsi="Arial" w:cs="Arial"/>
          <w:b/>
          <w:bCs/>
          <w:sz w:val="24"/>
          <w:szCs w:val="24"/>
        </w:rPr>
      </w:pPr>
    </w:p>
    <w:p w14:paraId="3C02EF95" w14:textId="3EC317A9" w:rsidR="0009197D" w:rsidRPr="00D67768" w:rsidRDefault="0009197D" w:rsidP="004C5D54">
      <w:pPr>
        <w:spacing w:after="0" w:line="240" w:lineRule="auto"/>
        <w:rPr>
          <w:rFonts w:ascii="Arial" w:eastAsia="Calibri" w:hAnsi="Arial" w:cs="Arial"/>
          <w:b/>
          <w:bCs/>
          <w:sz w:val="24"/>
          <w:szCs w:val="24"/>
        </w:rPr>
      </w:pPr>
      <w:r w:rsidRPr="00D67768">
        <w:rPr>
          <w:rFonts w:ascii="Arial" w:eastAsia="Calibri" w:hAnsi="Arial" w:cs="Arial"/>
          <w:b/>
          <w:bCs/>
          <w:sz w:val="24"/>
          <w:szCs w:val="24"/>
        </w:rPr>
        <w:t>Staff Question-</w:t>
      </w:r>
      <w:r w:rsidR="00382AC2" w:rsidRPr="00D67768">
        <w:rPr>
          <w:rFonts w:ascii="Arial" w:eastAsia="Calibri" w:hAnsi="Arial" w:cs="Arial"/>
          <w:b/>
          <w:bCs/>
          <w:sz w:val="24"/>
          <w:szCs w:val="24"/>
        </w:rPr>
        <w:t>7</w:t>
      </w:r>
    </w:p>
    <w:p w14:paraId="150EABF3" w14:textId="77777777" w:rsidR="00153B6A" w:rsidRPr="00D67768" w:rsidRDefault="00153B6A" w:rsidP="0009197D">
      <w:pPr>
        <w:spacing w:after="0" w:line="240" w:lineRule="auto"/>
        <w:contextualSpacing/>
        <w:rPr>
          <w:rFonts w:ascii="Arial" w:eastAsia="Calibri" w:hAnsi="Arial" w:cs="Arial"/>
          <w:b/>
          <w:bCs/>
          <w:sz w:val="24"/>
          <w:szCs w:val="24"/>
        </w:rPr>
      </w:pPr>
    </w:p>
    <w:p w14:paraId="57ADED09" w14:textId="731C0592" w:rsidR="0009197D" w:rsidRPr="00D67768" w:rsidRDefault="0009197D" w:rsidP="0009197D">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 xml:space="preserve">Reference: </w:t>
      </w:r>
    </w:p>
    <w:p w14:paraId="0169A743" w14:textId="5501BEE8" w:rsidR="006F0831" w:rsidRPr="00D67768" w:rsidRDefault="00264383" w:rsidP="00A03E72">
      <w:pPr>
        <w:pStyle w:val="ListParagraph"/>
        <w:numPr>
          <w:ilvl w:val="0"/>
          <w:numId w:val="11"/>
        </w:numPr>
        <w:spacing w:after="0" w:line="240" w:lineRule="auto"/>
        <w:rPr>
          <w:rFonts w:ascii="Arial" w:eastAsia="Calibri" w:hAnsi="Arial" w:cs="Arial"/>
          <w:sz w:val="24"/>
          <w:szCs w:val="24"/>
        </w:rPr>
      </w:pPr>
      <w:r w:rsidRPr="00D67768">
        <w:rPr>
          <w:rFonts w:ascii="Arial" w:eastAsia="Calibri" w:hAnsi="Arial" w:cs="Arial"/>
          <w:sz w:val="24"/>
          <w:szCs w:val="24"/>
        </w:rPr>
        <w:t>EB-2024-0042, Application for 2025 Rates, Manager’s Summary, Pg. 10</w:t>
      </w:r>
      <w:r w:rsidR="003D4350" w:rsidRPr="00D67768">
        <w:rPr>
          <w:rFonts w:ascii="Arial" w:eastAsia="Calibri" w:hAnsi="Arial" w:cs="Arial"/>
          <w:sz w:val="24"/>
          <w:szCs w:val="24"/>
        </w:rPr>
        <w:t xml:space="preserve"> &amp; 11</w:t>
      </w:r>
    </w:p>
    <w:p w14:paraId="4DA5467A" w14:textId="04BAB636" w:rsidR="009F670E" w:rsidRPr="00D67768" w:rsidRDefault="009F670E" w:rsidP="00A03E72">
      <w:pPr>
        <w:pStyle w:val="ListParagraph"/>
        <w:numPr>
          <w:ilvl w:val="0"/>
          <w:numId w:val="11"/>
        </w:numPr>
        <w:spacing w:after="0" w:line="240" w:lineRule="auto"/>
        <w:rPr>
          <w:rFonts w:ascii="Arial" w:eastAsia="Calibri" w:hAnsi="Arial" w:cs="Arial"/>
          <w:sz w:val="24"/>
          <w:szCs w:val="24"/>
        </w:rPr>
      </w:pPr>
      <w:r w:rsidRPr="00D67768">
        <w:rPr>
          <w:rFonts w:ascii="Arial" w:eastAsia="Calibri" w:hAnsi="Arial" w:cs="Arial"/>
          <w:sz w:val="24"/>
          <w:szCs w:val="24"/>
        </w:rPr>
        <w:t xml:space="preserve">EB-2024-0042, NRZ, Rate Generator Model, Tab </w:t>
      </w:r>
      <w:r w:rsidR="004D2ACC" w:rsidRPr="00D67768">
        <w:rPr>
          <w:rFonts w:ascii="Arial" w:eastAsia="Calibri" w:hAnsi="Arial" w:cs="Arial"/>
          <w:sz w:val="24"/>
          <w:szCs w:val="24"/>
        </w:rPr>
        <w:t>19</w:t>
      </w:r>
      <w:r w:rsidRPr="00D67768">
        <w:rPr>
          <w:rFonts w:ascii="Arial" w:eastAsia="Calibri" w:hAnsi="Arial" w:cs="Arial"/>
          <w:sz w:val="24"/>
          <w:szCs w:val="24"/>
        </w:rPr>
        <w:t xml:space="preserve">, </w:t>
      </w:r>
      <w:r w:rsidR="004D2ACC" w:rsidRPr="00D67768">
        <w:rPr>
          <w:rFonts w:ascii="Arial" w:eastAsia="Calibri" w:hAnsi="Arial" w:cs="Arial"/>
          <w:sz w:val="24"/>
          <w:szCs w:val="24"/>
        </w:rPr>
        <w:t>Additional Rates</w:t>
      </w:r>
      <w:r w:rsidRPr="00D67768">
        <w:rPr>
          <w:rFonts w:ascii="Arial" w:eastAsia="Calibri" w:hAnsi="Arial" w:cs="Arial"/>
          <w:sz w:val="24"/>
          <w:szCs w:val="24"/>
        </w:rPr>
        <w:t xml:space="preserve"> </w:t>
      </w:r>
    </w:p>
    <w:p w14:paraId="2C2D5005" w14:textId="2361590A" w:rsidR="009F670E" w:rsidRPr="00D67768" w:rsidRDefault="009F670E" w:rsidP="00A03E72">
      <w:pPr>
        <w:pStyle w:val="ListParagraph"/>
        <w:numPr>
          <w:ilvl w:val="0"/>
          <w:numId w:val="11"/>
        </w:numPr>
        <w:spacing w:after="0" w:line="240" w:lineRule="auto"/>
        <w:rPr>
          <w:rFonts w:ascii="Arial" w:eastAsia="Calibri" w:hAnsi="Arial" w:cs="Arial"/>
          <w:sz w:val="24"/>
          <w:szCs w:val="24"/>
        </w:rPr>
      </w:pPr>
      <w:r w:rsidRPr="00D67768">
        <w:rPr>
          <w:rFonts w:ascii="Arial" w:eastAsia="Calibri" w:hAnsi="Arial" w:cs="Arial"/>
          <w:sz w:val="24"/>
          <w:szCs w:val="24"/>
        </w:rPr>
        <w:t xml:space="preserve">EB-2024-0042, MRZ, Rate Generator Model, Tab </w:t>
      </w:r>
      <w:r w:rsidR="004D2ACC" w:rsidRPr="00D67768">
        <w:rPr>
          <w:rFonts w:ascii="Arial" w:eastAsia="Calibri" w:hAnsi="Arial" w:cs="Arial"/>
          <w:sz w:val="24"/>
          <w:szCs w:val="24"/>
        </w:rPr>
        <w:t>19, Additional Rates</w:t>
      </w:r>
    </w:p>
    <w:p w14:paraId="4873EA97" w14:textId="77777777" w:rsidR="003507C4" w:rsidRPr="00D67768" w:rsidRDefault="003507C4" w:rsidP="006E4741">
      <w:pPr>
        <w:spacing w:after="0" w:line="240" w:lineRule="auto"/>
        <w:rPr>
          <w:rFonts w:ascii="Arial" w:eastAsia="Calibri" w:hAnsi="Arial" w:cs="Arial"/>
          <w:sz w:val="24"/>
          <w:szCs w:val="24"/>
        </w:rPr>
      </w:pPr>
    </w:p>
    <w:p w14:paraId="5A3AA30D" w14:textId="54C29218" w:rsidR="00DF1EA8" w:rsidRPr="00D67768" w:rsidRDefault="00415C1B" w:rsidP="00DC48D4">
      <w:pPr>
        <w:spacing w:after="0" w:line="240" w:lineRule="auto"/>
        <w:rPr>
          <w:rFonts w:ascii="Arial" w:eastAsia="Calibri" w:hAnsi="Arial" w:cs="Arial"/>
          <w:sz w:val="24"/>
          <w:szCs w:val="24"/>
        </w:rPr>
      </w:pPr>
      <w:r w:rsidRPr="00D67768">
        <w:rPr>
          <w:rFonts w:ascii="Arial" w:eastAsia="Calibri" w:hAnsi="Arial" w:cs="Arial"/>
          <w:sz w:val="24"/>
          <w:szCs w:val="24"/>
        </w:rPr>
        <w:t>Preamble:</w:t>
      </w:r>
    </w:p>
    <w:p w14:paraId="69D8C345" w14:textId="1D1839B6" w:rsidR="003F3B29" w:rsidRPr="00D67768" w:rsidRDefault="0005367D" w:rsidP="00DF1EA8">
      <w:pPr>
        <w:pStyle w:val="Default"/>
        <w:rPr>
          <w:rFonts w:ascii="Arial" w:eastAsia="Calibri" w:hAnsi="Arial" w:cs="Arial"/>
          <w:color w:val="auto"/>
        </w:rPr>
      </w:pPr>
      <w:r w:rsidRPr="00D67768">
        <w:rPr>
          <w:rFonts w:ascii="Arial" w:eastAsia="Calibri" w:hAnsi="Arial" w:cs="Arial"/>
          <w:color w:val="auto"/>
        </w:rPr>
        <w:t>In Ref. (I), NT Power proposed a one-time, four-month Rate Year Alignment Rate Rider</w:t>
      </w:r>
      <w:r w:rsidR="00114C25" w:rsidRPr="00D67768">
        <w:rPr>
          <w:rFonts w:ascii="Arial" w:eastAsia="Calibri" w:hAnsi="Arial" w:cs="Arial"/>
          <w:color w:val="auto"/>
        </w:rPr>
        <w:t xml:space="preserve">s for fixed </w:t>
      </w:r>
      <w:r w:rsidR="00DC48D4" w:rsidRPr="00D67768">
        <w:rPr>
          <w:rFonts w:ascii="Arial" w:eastAsia="Calibri" w:hAnsi="Arial" w:cs="Arial"/>
          <w:color w:val="auto"/>
        </w:rPr>
        <w:t>s</w:t>
      </w:r>
      <w:r w:rsidR="00114C25" w:rsidRPr="00D67768">
        <w:rPr>
          <w:rFonts w:ascii="Arial" w:eastAsia="Calibri" w:hAnsi="Arial" w:cs="Arial"/>
          <w:color w:val="auto"/>
        </w:rPr>
        <w:t xml:space="preserve">ervice </w:t>
      </w:r>
      <w:r w:rsidR="00DC48D4" w:rsidRPr="00D67768">
        <w:rPr>
          <w:rFonts w:ascii="Arial" w:eastAsia="Calibri" w:hAnsi="Arial" w:cs="Arial"/>
          <w:color w:val="auto"/>
        </w:rPr>
        <w:t>c</w:t>
      </w:r>
      <w:r w:rsidR="00114C25" w:rsidRPr="00D67768">
        <w:rPr>
          <w:rFonts w:ascii="Arial" w:eastAsia="Calibri" w:hAnsi="Arial" w:cs="Arial"/>
          <w:color w:val="auto"/>
        </w:rPr>
        <w:t xml:space="preserve">harge and </w:t>
      </w:r>
      <w:r w:rsidR="00DC48D4" w:rsidRPr="00D67768">
        <w:rPr>
          <w:rFonts w:ascii="Arial" w:eastAsia="Calibri" w:hAnsi="Arial" w:cs="Arial"/>
          <w:color w:val="auto"/>
        </w:rPr>
        <w:t>v</w:t>
      </w:r>
      <w:r w:rsidR="00114C25" w:rsidRPr="00D67768">
        <w:rPr>
          <w:rFonts w:ascii="Arial" w:eastAsia="Calibri" w:hAnsi="Arial" w:cs="Arial"/>
          <w:color w:val="auto"/>
        </w:rPr>
        <w:t xml:space="preserve">olumetric </w:t>
      </w:r>
      <w:r w:rsidR="00A56340" w:rsidRPr="00D67768">
        <w:rPr>
          <w:rFonts w:ascii="Arial" w:eastAsia="Calibri" w:hAnsi="Arial" w:cs="Arial"/>
          <w:color w:val="auto"/>
        </w:rPr>
        <w:t>c</w:t>
      </w:r>
      <w:r w:rsidR="00114C25" w:rsidRPr="00D67768">
        <w:rPr>
          <w:rFonts w:ascii="Arial" w:eastAsia="Calibri" w:hAnsi="Arial" w:cs="Arial"/>
          <w:color w:val="auto"/>
        </w:rPr>
        <w:t>harge</w:t>
      </w:r>
      <w:r w:rsidR="005055C0" w:rsidRPr="00D67768">
        <w:rPr>
          <w:rFonts w:ascii="Arial" w:eastAsia="Calibri" w:hAnsi="Arial" w:cs="Arial"/>
          <w:color w:val="auto"/>
        </w:rPr>
        <w:t>,</w:t>
      </w:r>
      <w:r w:rsidRPr="00D67768">
        <w:rPr>
          <w:rFonts w:ascii="Arial" w:eastAsia="Calibri" w:hAnsi="Arial" w:cs="Arial"/>
          <w:color w:val="auto"/>
        </w:rPr>
        <w:t xml:space="preserve"> from January 1, 2025, to April 30, 2025, to address the impact of rate year alignment. Th</w:t>
      </w:r>
      <w:r w:rsidR="006F31A6" w:rsidRPr="00D67768">
        <w:rPr>
          <w:rFonts w:ascii="Arial" w:eastAsia="Calibri" w:hAnsi="Arial" w:cs="Arial"/>
          <w:color w:val="auto"/>
        </w:rPr>
        <w:t>ese</w:t>
      </w:r>
      <w:r w:rsidRPr="00D67768">
        <w:rPr>
          <w:rFonts w:ascii="Arial" w:eastAsia="Calibri" w:hAnsi="Arial" w:cs="Arial"/>
          <w:color w:val="auto"/>
        </w:rPr>
        <w:t xml:space="preserve"> rider</w:t>
      </w:r>
      <w:r w:rsidR="006F31A6" w:rsidRPr="00D67768">
        <w:rPr>
          <w:rFonts w:ascii="Arial" w:eastAsia="Calibri" w:hAnsi="Arial" w:cs="Arial"/>
          <w:color w:val="auto"/>
        </w:rPr>
        <w:t>s</w:t>
      </w:r>
      <w:r w:rsidRPr="00D67768">
        <w:rPr>
          <w:rFonts w:ascii="Arial" w:eastAsia="Calibri" w:hAnsi="Arial" w:cs="Arial"/>
          <w:color w:val="auto"/>
        </w:rPr>
        <w:t xml:space="preserve"> would adjust distribution rates to the levels that would have applied had the rate year continued unchanged until May 1, 2025. NT Power </w:t>
      </w:r>
      <w:r w:rsidR="00057AD1" w:rsidRPr="00D67768">
        <w:rPr>
          <w:rFonts w:ascii="Arial" w:eastAsia="Calibri" w:hAnsi="Arial" w:cs="Arial"/>
          <w:color w:val="auto"/>
        </w:rPr>
        <w:t xml:space="preserve">has </w:t>
      </w:r>
      <w:r w:rsidRPr="00D67768">
        <w:rPr>
          <w:rFonts w:ascii="Arial" w:eastAsia="Calibri" w:hAnsi="Arial" w:cs="Arial"/>
          <w:color w:val="auto"/>
        </w:rPr>
        <w:t>also provided the calculations for the Rate Year Alignment Rate Riders for both rate zones</w:t>
      </w:r>
      <w:r w:rsidR="00A20427" w:rsidRPr="00D67768">
        <w:rPr>
          <w:rFonts w:ascii="Arial" w:eastAsia="Calibri" w:hAnsi="Arial" w:cs="Arial"/>
          <w:color w:val="auto"/>
        </w:rPr>
        <w:t xml:space="preserve">. </w:t>
      </w:r>
      <w:r w:rsidRPr="00D67768">
        <w:rPr>
          <w:rFonts w:ascii="Arial" w:eastAsia="Calibri" w:hAnsi="Arial" w:cs="Arial"/>
          <w:color w:val="auto"/>
        </w:rPr>
        <w:t xml:space="preserve">OEB staff acknowledges the accuracy of the </w:t>
      </w:r>
      <w:r w:rsidR="000D3DDB" w:rsidRPr="00D67768">
        <w:rPr>
          <w:rFonts w:ascii="Arial" w:eastAsia="Calibri" w:hAnsi="Arial" w:cs="Arial"/>
          <w:color w:val="auto"/>
        </w:rPr>
        <w:t>s</w:t>
      </w:r>
      <w:r w:rsidRPr="00D67768">
        <w:rPr>
          <w:rFonts w:ascii="Arial" w:eastAsia="Calibri" w:hAnsi="Arial" w:cs="Arial"/>
          <w:color w:val="auto"/>
        </w:rPr>
        <w:t xml:space="preserve">ervice </w:t>
      </w:r>
      <w:r w:rsidR="000D3DDB" w:rsidRPr="00D67768">
        <w:rPr>
          <w:rFonts w:ascii="Arial" w:eastAsia="Calibri" w:hAnsi="Arial" w:cs="Arial"/>
          <w:color w:val="auto"/>
        </w:rPr>
        <w:t>c</w:t>
      </w:r>
      <w:r w:rsidRPr="00D67768">
        <w:rPr>
          <w:rFonts w:ascii="Arial" w:eastAsia="Calibri" w:hAnsi="Arial" w:cs="Arial"/>
          <w:color w:val="auto"/>
        </w:rPr>
        <w:t xml:space="preserve">harge rate adjustments and confirms their correct transfer into the Rate Generator Models in Ref. (II) and Ref. (III). However, OEB staff is unclear about the method used to calculate the </w:t>
      </w:r>
      <w:r w:rsidR="001574F6" w:rsidRPr="00D67768">
        <w:rPr>
          <w:rFonts w:ascii="Arial" w:eastAsia="Calibri" w:hAnsi="Arial" w:cs="Arial"/>
          <w:color w:val="auto"/>
        </w:rPr>
        <w:t>V</w:t>
      </w:r>
      <w:r w:rsidRPr="00D67768">
        <w:rPr>
          <w:rFonts w:ascii="Arial" w:eastAsia="Calibri" w:hAnsi="Arial" w:cs="Arial"/>
          <w:color w:val="auto"/>
        </w:rPr>
        <w:t xml:space="preserve">olumetric Rate Year Alignment Rate Riders. According to the </w:t>
      </w:r>
      <w:r w:rsidR="00360BA5" w:rsidRPr="00D67768">
        <w:rPr>
          <w:rFonts w:ascii="Arial" w:eastAsia="Calibri" w:hAnsi="Arial" w:cs="Arial"/>
          <w:color w:val="auto"/>
        </w:rPr>
        <w:t>T</w:t>
      </w:r>
      <w:r w:rsidRPr="00D67768">
        <w:rPr>
          <w:rFonts w:ascii="Arial" w:eastAsia="Calibri" w:hAnsi="Arial" w:cs="Arial"/>
          <w:color w:val="auto"/>
        </w:rPr>
        <w:t>able</w:t>
      </w:r>
      <w:r w:rsidR="00360BA5" w:rsidRPr="00D67768">
        <w:rPr>
          <w:rFonts w:ascii="Arial" w:eastAsia="Calibri" w:hAnsi="Arial" w:cs="Arial"/>
          <w:color w:val="auto"/>
        </w:rPr>
        <w:t>s</w:t>
      </w:r>
      <w:r w:rsidRPr="00D67768">
        <w:rPr>
          <w:rFonts w:ascii="Arial" w:eastAsia="Calibri" w:hAnsi="Arial" w:cs="Arial"/>
          <w:color w:val="auto"/>
        </w:rPr>
        <w:t xml:space="preserve"> in Ref. (I), NT Power calculated the volumetric rate riders by subtracting values in Column C from those in Column B. However, OEB staff’s calculations do not match NT Power’s results</w:t>
      </w:r>
      <w:r w:rsidR="008F450C" w:rsidRPr="00D67768">
        <w:rPr>
          <w:rFonts w:ascii="Arial" w:eastAsia="Calibri" w:hAnsi="Arial" w:cs="Arial"/>
          <w:color w:val="auto"/>
        </w:rPr>
        <w:t xml:space="preserve"> when subtracting the values in columns B and C</w:t>
      </w:r>
      <w:r w:rsidRPr="00D67768">
        <w:rPr>
          <w:rFonts w:ascii="Arial" w:eastAsia="Calibri" w:hAnsi="Arial" w:cs="Arial"/>
          <w:color w:val="auto"/>
        </w:rPr>
        <w:t xml:space="preserve">. The screenshot below </w:t>
      </w:r>
      <w:r w:rsidR="008B1CF9" w:rsidRPr="00D67768">
        <w:rPr>
          <w:rFonts w:ascii="Arial" w:eastAsia="Calibri" w:hAnsi="Arial" w:cs="Arial"/>
          <w:color w:val="auto"/>
        </w:rPr>
        <w:t>illustrate</w:t>
      </w:r>
      <w:r w:rsidRPr="00D67768">
        <w:rPr>
          <w:rFonts w:ascii="Arial" w:eastAsia="Calibri" w:hAnsi="Arial" w:cs="Arial"/>
          <w:color w:val="auto"/>
        </w:rPr>
        <w:t xml:space="preserve">s the labeled </w:t>
      </w:r>
      <w:r w:rsidR="005E372B" w:rsidRPr="00D67768">
        <w:rPr>
          <w:rFonts w:ascii="Arial" w:eastAsia="Calibri" w:hAnsi="Arial" w:cs="Arial"/>
          <w:color w:val="auto"/>
        </w:rPr>
        <w:t>T</w:t>
      </w:r>
      <w:r w:rsidRPr="00D67768">
        <w:rPr>
          <w:rFonts w:ascii="Arial" w:eastAsia="Calibri" w:hAnsi="Arial" w:cs="Arial"/>
          <w:color w:val="auto"/>
        </w:rPr>
        <w:t>ables for each rate zone</w:t>
      </w:r>
      <w:r w:rsidR="00B40486" w:rsidRPr="00D67768">
        <w:rPr>
          <w:rFonts w:ascii="Arial" w:eastAsia="Calibri" w:hAnsi="Arial" w:cs="Arial"/>
          <w:color w:val="auto"/>
        </w:rPr>
        <w:t>.</w:t>
      </w:r>
    </w:p>
    <w:p w14:paraId="5975F6C1" w14:textId="07D55467" w:rsidR="00B40486" w:rsidRPr="00D67768" w:rsidRDefault="00B40486" w:rsidP="00DF1EA8">
      <w:pPr>
        <w:pStyle w:val="Default"/>
        <w:rPr>
          <w:rFonts w:ascii="Arial" w:eastAsia="Calibri" w:hAnsi="Arial" w:cs="Arial"/>
          <w:color w:val="auto"/>
        </w:rPr>
      </w:pPr>
    </w:p>
    <w:p w14:paraId="3E87BE98" w14:textId="1E13A82B" w:rsidR="00852745" w:rsidRPr="00D67768" w:rsidRDefault="00B40486" w:rsidP="00B40486">
      <w:pPr>
        <w:pStyle w:val="Default"/>
        <w:jc w:val="center"/>
        <w:rPr>
          <w:rFonts w:ascii="Arial" w:eastAsia="Calibri" w:hAnsi="Arial" w:cs="Arial"/>
          <w:color w:val="auto"/>
        </w:rPr>
      </w:pPr>
      <w:r w:rsidRPr="00D67768">
        <w:rPr>
          <w:rFonts w:ascii="Arial" w:hAnsi="Arial" w:cs="Arial"/>
          <w:noProof/>
        </w:rPr>
        <w:drawing>
          <wp:anchor distT="0" distB="0" distL="114300" distR="114300" simplePos="0" relativeHeight="251658240" behindDoc="1" locked="0" layoutInCell="1" allowOverlap="1" wp14:anchorId="51C04CBE" wp14:editId="29E08E79">
            <wp:simplePos x="0" y="0"/>
            <wp:positionH relativeFrom="margin">
              <wp:posOffset>607060</wp:posOffset>
            </wp:positionH>
            <wp:positionV relativeFrom="paragraph">
              <wp:posOffset>119380</wp:posOffset>
            </wp:positionV>
            <wp:extent cx="4038600" cy="3423920"/>
            <wp:effectExtent l="0" t="0" r="0" b="5080"/>
            <wp:wrapTight wrapText="bothSides">
              <wp:wrapPolygon edited="0">
                <wp:start x="0" y="0"/>
                <wp:lineTo x="0" y="21512"/>
                <wp:lineTo x="21498" y="21512"/>
                <wp:lineTo x="21498" y="0"/>
                <wp:lineTo x="0" y="0"/>
              </wp:wrapPolygon>
            </wp:wrapTight>
            <wp:docPr id="1673839800" name="Picture 1" descr="A table with numbers and 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39800" name="Picture 1" descr="A table with numbers and red square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038600" cy="3423920"/>
                    </a:xfrm>
                    <a:prstGeom prst="rect">
                      <a:avLst/>
                    </a:prstGeom>
                  </pic:spPr>
                </pic:pic>
              </a:graphicData>
            </a:graphic>
            <wp14:sizeRelH relativeFrom="page">
              <wp14:pctWidth>0</wp14:pctWidth>
            </wp14:sizeRelH>
            <wp14:sizeRelV relativeFrom="page">
              <wp14:pctHeight>0</wp14:pctHeight>
            </wp14:sizeRelV>
          </wp:anchor>
        </w:drawing>
      </w:r>
    </w:p>
    <w:p w14:paraId="549826E9" w14:textId="25A3FDC5" w:rsidR="00852745" w:rsidRPr="00D67768" w:rsidRDefault="00852745" w:rsidP="0034237A">
      <w:pPr>
        <w:pStyle w:val="Default"/>
        <w:jc w:val="center"/>
        <w:rPr>
          <w:rFonts w:ascii="Arial" w:eastAsia="Calibri" w:hAnsi="Arial" w:cs="Arial"/>
          <w:color w:val="auto"/>
        </w:rPr>
      </w:pPr>
    </w:p>
    <w:p w14:paraId="1E71CD1D" w14:textId="58CD325D" w:rsidR="00B40486" w:rsidRPr="00D67768" w:rsidRDefault="7291183B" w:rsidP="002C2FF3">
      <w:pPr>
        <w:spacing w:after="0"/>
        <w:jc w:val="center"/>
        <w:rPr>
          <w:rFonts w:ascii="Arial" w:eastAsia="Arial" w:hAnsi="Arial" w:cs="Arial"/>
          <w:b/>
          <w:bCs/>
          <w:sz w:val="24"/>
          <w:szCs w:val="24"/>
        </w:rPr>
      </w:pPr>
      <w:r w:rsidRPr="00D67768">
        <w:rPr>
          <w:rFonts w:ascii="Arial" w:eastAsia="Arial" w:hAnsi="Arial" w:cs="Arial"/>
          <w:b/>
          <w:bCs/>
          <w:sz w:val="24"/>
          <w:szCs w:val="24"/>
        </w:rPr>
        <w:t xml:space="preserve"> </w:t>
      </w:r>
    </w:p>
    <w:p w14:paraId="0893AB6D" w14:textId="3DA9AFDF" w:rsidR="00F5400A" w:rsidRPr="00D67768" w:rsidRDefault="00F5400A" w:rsidP="758937AF">
      <w:pPr>
        <w:spacing w:after="0"/>
        <w:rPr>
          <w:rFonts w:ascii="Arial" w:eastAsia="Arial" w:hAnsi="Arial" w:cs="Arial"/>
          <w:b/>
          <w:bCs/>
          <w:sz w:val="24"/>
          <w:szCs w:val="24"/>
        </w:rPr>
      </w:pPr>
    </w:p>
    <w:p w14:paraId="71E83F36" w14:textId="77777777" w:rsidR="00F5400A" w:rsidRPr="00D67768" w:rsidRDefault="00F5400A" w:rsidP="758937AF">
      <w:pPr>
        <w:spacing w:after="0"/>
        <w:rPr>
          <w:rFonts w:ascii="Arial" w:eastAsia="Arial" w:hAnsi="Arial" w:cs="Arial"/>
          <w:b/>
          <w:bCs/>
          <w:sz w:val="24"/>
          <w:szCs w:val="24"/>
        </w:rPr>
      </w:pPr>
    </w:p>
    <w:p w14:paraId="3A5895FF" w14:textId="77777777" w:rsidR="00F5400A" w:rsidRPr="00D67768" w:rsidRDefault="00F5400A" w:rsidP="758937AF">
      <w:pPr>
        <w:spacing w:after="0"/>
        <w:rPr>
          <w:rFonts w:ascii="Arial" w:eastAsia="Arial" w:hAnsi="Arial" w:cs="Arial"/>
          <w:b/>
          <w:bCs/>
          <w:sz w:val="24"/>
          <w:szCs w:val="24"/>
        </w:rPr>
      </w:pPr>
    </w:p>
    <w:p w14:paraId="7DE4ACEA" w14:textId="77777777" w:rsidR="00F5400A" w:rsidRPr="00D67768" w:rsidRDefault="00F5400A" w:rsidP="758937AF">
      <w:pPr>
        <w:spacing w:after="0"/>
        <w:rPr>
          <w:rFonts w:ascii="Arial" w:eastAsia="Arial" w:hAnsi="Arial" w:cs="Arial"/>
          <w:b/>
          <w:bCs/>
          <w:sz w:val="24"/>
          <w:szCs w:val="24"/>
        </w:rPr>
      </w:pPr>
    </w:p>
    <w:p w14:paraId="3E175A77" w14:textId="77777777" w:rsidR="00F5400A" w:rsidRPr="00D67768" w:rsidRDefault="00F5400A" w:rsidP="758937AF">
      <w:pPr>
        <w:spacing w:after="0"/>
        <w:rPr>
          <w:rFonts w:ascii="Arial" w:eastAsia="Arial" w:hAnsi="Arial" w:cs="Arial"/>
          <w:b/>
          <w:bCs/>
          <w:sz w:val="24"/>
          <w:szCs w:val="24"/>
        </w:rPr>
      </w:pPr>
    </w:p>
    <w:p w14:paraId="7DEB5A90" w14:textId="77777777" w:rsidR="00F5400A" w:rsidRPr="00D67768" w:rsidRDefault="00F5400A" w:rsidP="758937AF">
      <w:pPr>
        <w:spacing w:after="0"/>
        <w:rPr>
          <w:rFonts w:ascii="Arial" w:eastAsia="Arial" w:hAnsi="Arial" w:cs="Arial"/>
          <w:b/>
          <w:bCs/>
          <w:sz w:val="24"/>
          <w:szCs w:val="24"/>
        </w:rPr>
      </w:pPr>
    </w:p>
    <w:p w14:paraId="098A54A8" w14:textId="77777777" w:rsidR="00F5400A" w:rsidRPr="00D67768" w:rsidRDefault="00F5400A" w:rsidP="758937AF">
      <w:pPr>
        <w:spacing w:after="0"/>
        <w:rPr>
          <w:rFonts w:ascii="Arial" w:eastAsia="Arial" w:hAnsi="Arial" w:cs="Arial"/>
          <w:b/>
          <w:bCs/>
          <w:sz w:val="24"/>
          <w:szCs w:val="24"/>
        </w:rPr>
      </w:pPr>
    </w:p>
    <w:p w14:paraId="11222F1B" w14:textId="77777777" w:rsidR="00F5400A" w:rsidRPr="00D67768" w:rsidRDefault="00F5400A" w:rsidP="758937AF">
      <w:pPr>
        <w:spacing w:after="0"/>
        <w:rPr>
          <w:rFonts w:ascii="Arial" w:eastAsia="Arial" w:hAnsi="Arial" w:cs="Arial"/>
          <w:b/>
          <w:bCs/>
          <w:sz w:val="24"/>
          <w:szCs w:val="24"/>
        </w:rPr>
      </w:pPr>
    </w:p>
    <w:p w14:paraId="4A90D2AD" w14:textId="77777777" w:rsidR="00F5400A" w:rsidRPr="00D67768" w:rsidRDefault="00F5400A" w:rsidP="758937AF">
      <w:pPr>
        <w:spacing w:after="0"/>
        <w:rPr>
          <w:rFonts w:ascii="Arial" w:eastAsia="Arial" w:hAnsi="Arial" w:cs="Arial"/>
          <w:b/>
          <w:bCs/>
          <w:sz w:val="24"/>
          <w:szCs w:val="24"/>
        </w:rPr>
      </w:pPr>
    </w:p>
    <w:p w14:paraId="67B9CB4E" w14:textId="77777777" w:rsidR="00F5400A" w:rsidRPr="00D67768" w:rsidRDefault="00F5400A" w:rsidP="758937AF">
      <w:pPr>
        <w:spacing w:after="0"/>
        <w:rPr>
          <w:rFonts w:ascii="Arial" w:eastAsia="Arial" w:hAnsi="Arial" w:cs="Arial"/>
          <w:b/>
          <w:bCs/>
          <w:sz w:val="24"/>
          <w:szCs w:val="24"/>
        </w:rPr>
      </w:pPr>
    </w:p>
    <w:p w14:paraId="744146B5" w14:textId="77777777" w:rsidR="00F5400A" w:rsidRPr="00D67768" w:rsidRDefault="00F5400A" w:rsidP="758937AF">
      <w:pPr>
        <w:spacing w:after="0"/>
        <w:rPr>
          <w:rFonts w:ascii="Arial" w:eastAsia="Arial" w:hAnsi="Arial" w:cs="Arial"/>
          <w:b/>
          <w:bCs/>
          <w:sz w:val="24"/>
          <w:szCs w:val="24"/>
        </w:rPr>
      </w:pPr>
    </w:p>
    <w:p w14:paraId="703006C4" w14:textId="77777777" w:rsidR="00F5400A" w:rsidRPr="00D67768" w:rsidRDefault="00F5400A" w:rsidP="758937AF">
      <w:pPr>
        <w:spacing w:after="0"/>
        <w:rPr>
          <w:rFonts w:ascii="Arial" w:eastAsia="Arial" w:hAnsi="Arial" w:cs="Arial"/>
          <w:b/>
          <w:bCs/>
          <w:sz w:val="24"/>
          <w:szCs w:val="24"/>
        </w:rPr>
      </w:pPr>
    </w:p>
    <w:p w14:paraId="7970DA61" w14:textId="77777777" w:rsidR="00F5400A" w:rsidRPr="00D67768" w:rsidRDefault="00F5400A" w:rsidP="758937AF">
      <w:pPr>
        <w:spacing w:after="0"/>
        <w:rPr>
          <w:rFonts w:ascii="Arial" w:eastAsia="Arial" w:hAnsi="Arial" w:cs="Arial"/>
          <w:b/>
          <w:bCs/>
          <w:sz w:val="24"/>
          <w:szCs w:val="24"/>
        </w:rPr>
      </w:pPr>
    </w:p>
    <w:p w14:paraId="7E157AE6" w14:textId="77777777" w:rsidR="00F5400A" w:rsidRPr="00D67768" w:rsidRDefault="00F5400A" w:rsidP="758937AF">
      <w:pPr>
        <w:spacing w:after="0"/>
        <w:rPr>
          <w:rFonts w:ascii="Arial" w:eastAsia="Arial" w:hAnsi="Arial" w:cs="Arial"/>
          <w:b/>
          <w:bCs/>
          <w:sz w:val="24"/>
          <w:szCs w:val="24"/>
        </w:rPr>
      </w:pPr>
    </w:p>
    <w:p w14:paraId="0623D853" w14:textId="77777777" w:rsidR="00F5400A" w:rsidRPr="00D67768" w:rsidRDefault="00F5400A" w:rsidP="758937AF">
      <w:pPr>
        <w:spacing w:after="0"/>
        <w:rPr>
          <w:rFonts w:ascii="Arial" w:eastAsia="Arial" w:hAnsi="Arial" w:cs="Arial"/>
          <w:b/>
          <w:bCs/>
          <w:sz w:val="24"/>
          <w:szCs w:val="24"/>
        </w:rPr>
      </w:pPr>
    </w:p>
    <w:p w14:paraId="4EE16F2F" w14:textId="77777777" w:rsidR="00F5400A" w:rsidRPr="00D67768" w:rsidRDefault="00F5400A" w:rsidP="758937AF">
      <w:pPr>
        <w:spacing w:after="0"/>
        <w:rPr>
          <w:rFonts w:ascii="Arial" w:eastAsia="Arial" w:hAnsi="Arial" w:cs="Arial"/>
          <w:b/>
          <w:bCs/>
          <w:sz w:val="24"/>
          <w:szCs w:val="24"/>
        </w:rPr>
      </w:pPr>
    </w:p>
    <w:p w14:paraId="0D212C8A" w14:textId="77777777" w:rsidR="00F5400A" w:rsidRPr="00D67768" w:rsidRDefault="00F5400A" w:rsidP="758937AF">
      <w:pPr>
        <w:spacing w:after="0"/>
        <w:rPr>
          <w:rFonts w:ascii="Arial" w:eastAsia="Arial" w:hAnsi="Arial" w:cs="Arial"/>
          <w:b/>
          <w:bCs/>
          <w:sz w:val="24"/>
          <w:szCs w:val="24"/>
        </w:rPr>
      </w:pPr>
    </w:p>
    <w:p w14:paraId="6957456B" w14:textId="77777777" w:rsidR="00F10C92" w:rsidRDefault="00F10C92" w:rsidP="0009197D">
      <w:pPr>
        <w:pStyle w:val="Default"/>
        <w:rPr>
          <w:rFonts w:ascii="Arial" w:eastAsia="Calibri" w:hAnsi="Arial" w:cs="Arial"/>
          <w:b/>
          <w:bCs/>
          <w:color w:val="auto"/>
        </w:rPr>
      </w:pPr>
    </w:p>
    <w:p w14:paraId="466B5E2B" w14:textId="3AC66D2E" w:rsidR="0009197D" w:rsidRPr="00D67768" w:rsidRDefault="0009197D" w:rsidP="0009197D">
      <w:pPr>
        <w:pStyle w:val="Default"/>
        <w:rPr>
          <w:rFonts w:ascii="Arial" w:eastAsia="Calibri" w:hAnsi="Arial" w:cs="Arial"/>
          <w:b/>
          <w:bCs/>
          <w:color w:val="auto"/>
        </w:rPr>
      </w:pPr>
      <w:r w:rsidRPr="00D67768">
        <w:rPr>
          <w:rFonts w:ascii="Arial" w:eastAsia="Calibri" w:hAnsi="Arial" w:cs="Arial"/>
          <w:b/>
          <w:bCs/>
          <w:color w:val="auto"/>
        </w:rPr>
        <w:t xml:space="preserve">Question(s): </w:t>
      </w:r>
    </w:p>
    <w:p w14:paraId="6F081A8A" w14:textId="77777777" w:rsidR="00A03E72" w:rsidRPr="00D67768" w:rsidRDefault="00A03E72" w:rsidP="0009197D">
      <w:pPr>
        <w:pStyle w:val="Default"/>
        <w:rPr>
          <w:rFonts w:ascii="Arial" w:eastAsia="Calibri" w:hAnsi="Arial" w:cs="Arial"/>
          <w:b/>
          <w:bCs/>
          <w:color w:val="auto"/>
        </w:rPr>
      </w:pPr>
    </w:p>
    <w:p w14:paraId="19174FA2" w14:textId="7DF989C1" w:rsidR="006020F7" w:rsidRPr="00D67768" w:rsidRDefault="006020F7" w:rsidP="00A03E72">
      <w:pPr>
        <w:pStyle w:val="Default"/>
        <w:numPr>
          <w:ilvl w:val="0"/>
          <w:numId w:val="12"/>
        </w:numPr>
        <w:rPr>
          <w:rFonts w:ascii="Arial" w:eastAsia="Calibri" w:hAnsi="Arial" w:cs="Arial"/>
          <w:color w:val="auto"/>
        </w:rPr>
      </w:pPr>
      <w:r w:rsidRPr="00D67768">
        <w:rPr>
          <w:rFonts w:ascii="Arial" w:eastAsia="Calibri" w:hAnsi="Arial" w:cs="Arial"/>
          <w:color w:val="auto"/>
        </w:rPr>
        <w:t xml:space="preserve">Please confirm whether there is a labelling error </w:t>
      </w:r>
      <w:r w:rsidR="00B114D4" w:rsidRPr="00D67768">
        <w:rPr>
          <w:rFonts w:ascii="Arial" w:eastAsia="Calibri" w:hAnsi="Arial" w:cs="Arial"/>
          <w:color w:val="auto"/>
        </w:rPr>
        <w:t>in</w:t>
      </w:r>
      <w:r w:rsidR="00765124" w:rsidRPr="00D67768">
        <w:rPr>
          <w:rFonts w:ascii="Arial" w:eastAsia="Calibri" w:hAnsi="Arial" w:cs="Arial"/>
          <w:color w:val="auto"/>
        </w:rPr>
        <w:t xml:space="preserve"> ‘2025 Rate Year Alignment Rate Riders</w:t>
      </w:r>
      <w:r w:rsidR="00DB367C" w:rsidRPr="00D67768">
        <w:rPr>
          <w:rFonts w:ascii="Arial" w:eastAsia="Calibri" w:hAnsi="Arial" w:cs="Arial"/>
          <w:color w:val="auto"/>
        </w:rPr>
        <w:t>’ column</w:t>
      </w:r>
      <w:r w:rsidR="0E753345" w:rsidRPr="00D67768">
        <w:rPr>
          <w:rFonts w:ascii="Arial" w:eastAsia="Calibri" w:hAnsi="Arial" w:cs="Arial"/>
          <w:color w:val="auto"/>
        </w:rPr>
        <w:t xml:space="preserve"> and correct the labelling in the tables, as necessary</w:t>
      </w:r>
      <w:r w:rsidR="00DB367C" w:rsidRPr="00D67768">
        <w:rPr>
          <w:rFonts w:ascii="Arial" w:eastAsia="Calibri" w:hAnsi="Arial" w:cs="Arial"/>
          <w:color w:val="auto"/>
        </w:rPr>
        <w:t>.</w:t>
      </w:r>
    </w:p>
    <w:p w14:paraId="49330DEF" w14:textId="0BBF6889" w:rsidR="00C75BF4" w:rsidRPr="00D67768" w:rsidRDefault="00C75BF4" w:rsidP="00A03E72">
      <w:pPr>
        <w:pStyle w:val="Default"/>
        <w:numPr>
          <w:ilvl w:val="0"/>
          <w:numId w:val="12"/>
        </w:numPr>
        <w:rPr>
          <w:rFonts w:ascii="Arial" w:eastAsia="Calibri" w:hAnsi="Arial" w:cs="Arial"/>
          <w:color w:val="auto"/>
        </w:rPr>
      </w:pPr>
      <w:r w:rsidRPr="00D67768">
        <w:rPr>
          <w:rFonts w:ascii="Arial" w:eastAsia="Calibri" w:hAnsi="Arial" w:cs="Arial"/>
          <w:color w:val="auto"/>
        </w:rPr>
        <w:t xml:space="preserve">OEB staff requests NT Power to explain the methodology used to arrive at Volumetric Rate Riders for </w:t>
      </w:r>
      <w:r w:rsidR="00DB367C" w:rsidRPr="00D67768">
        <w:rPr>
          <w:rFonts w:ascii="Arial" w:eastAsia="Calibri" w:hAnsi="Arial" w:cs="Arial"/>
          <w:color w:val="auto"/>
        </w:rPr>
        <w:t>r</w:t>
      </w:r>
      <w:r w:rsidRPr="00D67768">
        <w:rPr>
          <w:rFonts w:ascii="Arial" w:eastAsia="Calibri" w:hAnsi="Arial" w:cs="Arial"/>
          <w:color w:val="auto"/>
        </w:rPr>
        <w:t>ate year alignment.</w:t>
      </w:r>
    </w:p>
    <w:p w14:paraId="5E82D9C6" w14:textId="77777777" w:rsidR="00C75BF4" w:rsidRPr="00D67768" w:rsidRDefault="00C75BF4" w:rsidP="00C75BF4">
      <w:pPr>
        <w:pStyle w:val="Default"/>
        <w:rPr>
          <w:rFonts w:ascii="Arial" w:eastAsia="Calibri" w:hAnsi="Arial" w:cs="Arial"/>
          <w:b/>
          <w:bCs/>
          <w:color w:val="auto"/>
        </w:rPr>
      </w:pPr>
    </w:p>
    <w:p w14:paraId="4234B91E" w14:textId="5D6F7E6B" w:rsidR="00A27598" w:rsidRPr="00D67768" w:rsidRDefault="0009197D" w:rsidP="0009197D">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Staff Question-</w:t>
      </w:r>
      <w:r w:rsidR="00382AC2" w:rsidRPr="00D67768">
        <w:rPr>
          <w:rFonts w:ascii="Arial" w:eastAsia="Calibri" w:hAnsi="Arial" w:cs="Arial"/>
          <w:b/>
          <w:bCs/>
          <w:sz w:val="24"/>
          <w:szCs w:val="24"/>
        </w:rPr>
        <w:t>8</w:t>
      </w:r>
    </w:p>
    <w:p w14:paraId="087C5F04" w14:textId="77777777" w:rsidR="00BD27FB" w:rsidRPr="00D67768" w:rsidRDefault="00BD27FB" w:rsidP="0009197D">
      <w:pPr>
        <w:spacing w:after="0" w:line="240" w:lineRule="auto"/>
        <w:contextualSpacing/>
        <w:rPr>
          <w:rFonts w:ascii="Arial" w:eastAsia="Calibri" w:hAnsi="Arial" w:cs="Arial"/>
          <w:b/>
          <w:bCs/>
          <w:sz w:val="24"/>
          <w:szCs w:val="24"/>
        </w:rPr>
      </w:pPr>
    </w:p>
    <w:p w14:paraId="74482A5F" w14:textId="77777777" w:rsidR="0009197D" w:rsidRPr="00D67768" w:rsidRDefault="0009197D" w:rsidP="0009197D">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 xml:space="preserve">Reference: </w:t>
      </w:r>
    </w:p>
    <w:p w14:paraId="312DABF0" w14:textId="744203BA" w:rsidR="001A120A" w:rsidRPr="00D67768" w:rsidRDefault="001A120A" w:rsidP="001A120A">
      <w:pPr>
        <w:pStyle w:val="ListParagraph"/>
        <w:numPr>
          <w:ilvl w:val="0"/>
          <w:numId w:val="13"/>
        </w:numPr>
        <w:spacing w:after="0" w:line="240" w:lineRule="auto"/>
        <w:rPr>
          <w:rFonts w:ascii="Arial" w:eastAsia="Calibri" w:hAnsi="Arial" w:cs="Arial"/>
          <w:sz w:val="24"/>
          <w:szCs w:val="24"/>
        </w:rPr>
      </w:pPr>
      <w:r w:rsidRPr="00D67768">
        <w:rPr>
          <w:rFonts w:ascii="Arial" w:eastAsia="Calibri" w:hAnsi="Arial" w:cs="Arial"/>
          <w:sz w:val="24"/>
          <w:szCs w:val="24"/>
        </w:rPr>
        <w:t xml:space="preserve">EB-2024-0042, NRZ, Rate Generator Model, Tab 20, </w:t>
      </w:r>
      <w:r w:rsidR="002E1903" w:rsidRPr="00D67768">
        <w:rPr>
          <w:rFonts w:ascii="Arial" w:eastAsia="Calibri" w:hAnsi="Arial" w:cs="Arial"/>
          <w:sz w:val="24"/>
          <w:szCs w:val="24"/>
        </w:rPr>
        <w:t>Final Tariff Schedule</w:t>
      </w:r>
      <w:r w:rsidRPr="00D67768">
        <w:rPr>
          <w:rFonts w:ascii="Arial" w:eastAsia="Calibri" w:hAnsi="Arial" w:cs="Arial"/>
          <w:sz w:val="24"/>
          <w:szCs w:val="24"/>
        </w:rPr>
        <w:t xml:space="preserve"> </w:t>
      </w:r>
    </w:p>
    <w:p w14:paraId="4029D7C0" w14:textId="37963510" w:rsidR="001A120A" w:rsidRPr="00D67768" w:rsidRDefault="001A120A" w:rsidP="001A120A">
      <w:pPr>
        <w:pStyle w:val="ListParagraph"/>
        <w:numPr>
          <w:ilvl w:val="0"/>
          <w:numId w:val="13"/>
        </w:numPr>
        <w:spacing w:after="0" w:line="240" w:lineRule="auto"/>
        <w:rPr>
          <w:rFonts w:ascii="Arial" w:eastAsia="Calibri" w:hAnsi="Arial" w:cs="Arial"/>
          <w:sz w:val="24"/>
          <w:szCs w:val="24"/>
        </w:rPr>
      </w:pPr>
      <w:r w:rsidRPr="00D67768">
        <w:rPr>
          <w:rFonts w:ascii="Arial" w:eastAsia="Calibri" w:hAnsi="Arial" w:cs="Arial"/>
          <w:sz w:val="24"/>
          <w:szCs w:val="24"/>
        </w:rPr>
        <w:t xml:space="preserve">EB-2024-0042, MRZ, Rate Generator Model, </w:t>
      </w:r>
      <w:r w:rsidR="004B7E29" w:rsidRPr="00D67768">
        <w:rPr>
          <w:rFonts w:ascii="Arial" w:eastAsia="Calibri" w:hAnsi="Arial" w:cs="Arial"/>
          <w:sz w:val="24"/>
          <w:szCs w:val="24"/>
        </w:rPr>
        <w:t>Tab 20, Final Tariff Schedule</w:t>
      </w:r>
    </w:p>
    <w:p w14:paraId="4149C8C2" w14:textId="0A6E2EDD" w:rsidR="00CA4431" w:rsidRPr="00D67768" w:rsidRDefault="00CA4431" w:rsidP="00542DA9">
      <w:pPr>
        <w:spacing w:after="0" w:line="240" w:lineRule="auto"/>
        <w:ind w:left="360"/>
        <w:rPr>
          <w:rFonts w:ascii="Arial" w:eastAsia="Calibri" w:hAnsi="Arial" w:cs="Arial"/>
          <w:b/>
          <w:bCs/>
          <w:sz w:val="24"/>
          <w:szCs w:val="24"/>
        </w:rPr>
      </w:pPr>
    </w:p>
    <w:p w14:paraId="2EBBDC7D" w14:textId="530D79E9" w:rsidR="001A5C47" w:rsidRPr="00D67768" w:rsidRDefault="001A5C47" w:rsidP="00FE2B2A">
      <w:pPr>
        <w:spacing w:after="0" w:line="240" w:lineRule="auto"/>
        <w:rPr>
          <w:rFonts w:ascii="Arial" w:eastAsia="Calibri" w:hAnsi="Arial" w:cs="Arial"/>
          <w:sz w:val="24"/>
          <w:szCs w:val="24"/>
        </w:rPr>
      </w:pPr>
      <w:r w:rsidRPr="00D67768">
        <w:rPr>
          <w:rFonts w:ascii="Arial" w:eastAsia="Calibri" w:hAnsi="Arial" w:cs="Arial"/>
          <w:sz w:val="24"/>
          <w:szCs w:val="24"/>
        </w:rPr>
        <w:t>Preamble:</w:t>
      </w:r>
    </w:p>
    <w:p w14:paraId="01C8383B" w14:textId="3CDF6004" w:rsidR="001A5C47" w:rsidRPr="00D67768" w:rsidRDefault="003B4DA0" w:rsidP="00FE2B2A">
      <w:pPr>
        <w:spacing w:after="0" w:line="240" w:lineRule="auto"/>
        <w:rPr>
          <w:rFonts w:ascii="Arial" w:eastAsia="Calibri" w:hAnsi="Arial" w:cs="Arial"/>
          <w:sz w:val="24"/>
          <w:szCs w:val="24"/>
        </w:rPr>
      </w:pPr>
      <w:r w:rsidRPr="00D67768">
        <w:rPr>
          <w:rFonts w:ascii="Arial" w:eastAsia="Calibri" w:hAnsi="Arial" w:cs="Arial"/>
          <w:sz w:val="24"/>
          <w:szCs w:val="24"/>
        </w:rPr>
        <w:t>OEB staff notes that the Final Tariff Schedule includes two rate riders for Tax Change, one for 2024 and another for 2025</w:t>
      </w:r>
      <w:r w:rsidR="00FE0E42" w:rsidRPr="00D67768">
        <w:rPr>
          <w:rFonts w:ascii="Arial" w:eastAsia="Calibri" w:hAnsi="Arial" w:cs="Arial"/>
          <w:sz w:val="24"/>
          <w:szCs w:val="24"/>
        </w:rPr>
        <w:t>.</w:t>
      </w:r>
      <w:r w:rsidR="0024392F" w:rsidRPr="00D67768">
        <w:rPr>
          <w:rFonts w:ascii="Arial" w:eastAsia="Calibri" w:hAnsi="Arial" w:cs="Arial"/>
          <w:sz w:val="24"/>
          <w:szCs w:val="24"/>
        </w:rPr>
        <w:t xml:space="preserve"> </w:t>
      </w:r>
      <w:r w:rsidRPr="00D67768">
        <w:rPr>
          <w:rFonts w:ascii="Arial" w:eastAsia="Calibri" w:hAnsi="Arial" w:cs="Arial"/>
          <w:sz w:val="24"/>
          <w:szCs w:val="24"/>
        </w:rPr>
        <w:t>The 2024 rate ri</w:t>
      </w:r>
      <w:r w:rsidR="003C7402" w:rsidRPr="00D67768">
        <w:rPr>
          <w:rFonts w:ascii="Arial" w:eastAsia="Calibri" w:hAnsi="Arial" w:cs="Arial"/>
          <w:sz w:val="24"/>
          <w:szCs w:val="24"/>
        </w:rPr>
        <w:t xml:space="preserve">der is effective until April </w:t>
      </w:r>
      <w:r w:rsidR="6BCB92F6" w:rsidRPr="00D67768">
        <w:rPr>
          <w:rFonts w:ascii="Arial" w:eastAsia="Calibri" w:hAnsi="Arial" w:cs="Arial"/>
          <w:sz w:val="24"/>
          <w:szCs w:val="24"/>
        </w:rPr>
        <w:t>3</w:t>
      </w:r>
      <w:r w:rsidR="003C7402" w:rsidRPr="00D67768">
        <w:rPr>
          <w:rFonts w:ascii="Arial" w:eastAsia="Calibri" w:hAnsi="Arial" w:cs="Arial"/>
          <w:sz w:val="24"/>
          <w:szCs w:val="24"/>
        </w:rPr>
        <w:t xml:space="preserve">0, </w:t>
      </w:r>
      <w:r w:rsidR="008943A2" w:rsidRPr="00D67768">
        <w:rPr>
          <w:rFonts w:ascii="Arial" w:eastAsia="Calibri" w:hAnsi="Arial" w:cs="Arial"/>
          <w:sz w:val="24"/>
          <w:szCs w:val="24"/>
        </w:rPr>
        <w:t>2025, and 2025 rate rider is effective until December 31, 2025.</w:t>
      </w:r>
      <w:r w:rsidR="00FE0E42" w:rsidRPr="00D67768">
        <w:rPr>
          <w:rFonts w:ascii="Arial" w:eastAsia="Calibri" w:hAnsi="Arial" w:cs="Arial"/>
          <w:sz w:val="24"/>
          <w:szCs w:val="24"/>
        </w:rPr>
        <w:t xml:space="preserve"> </w:t>
      </w:r>
      <w:r w:rsidR="00695909" w:rsidRPr="00D67768">
        <w:rPr>
          <w:rFonts w:ascii="Arial" w:eastAsia="Calibri" w:hAnsi="Arial" w:cs="Arial"/>
          <w:sz w:val="24"/>
          <w:szCs w:val="24"/>
        </w:rPr>
        <w:t xml:space="preserve">OEB staff observes a similar approach applied to other rate riders, including those for Global Adjustments (GA), DVA, and Capacity-Based Recovery (CBR). </w:t>
      </w:r>
      <w:r w:rsidR="002F4AC4" w:rsidRPr="00D67768">
        <w:rPr>
          <w:rFonts w:ascii="Arial" w:eastAsia="Calibri" w:hAnsi="Arial" w:cs="Arial"/>
          <w:sz w:val="24"/>
          <w:szCs w:val="24"/>
        </w:rPr>
        <w:t>An</w:t>
      </w:r>
      <w:r w:rsidR="00695909" w:rsidRPr="00D67768">
        <w:rPr>
          <w:rFonts w:ascii="Arial" w:eastAsia="Calibri" w:hAnsi="Arial" w:cs="Arial"/>
          <w:sz w:val="24"/>
          <w:szCs w:val="24"/>
        </w:rPr>
        <w:t xml:space="preserve"> example of the Tariff Schedule </w:t>
      </w:r>
      <w:r w:rsidR="00F52324" w:rsidRPr="00D67768">
        <w:rPr>
          <w:rFonts w:ascii="Arial" w:eastAsia="Calibri" w:hAnsi="Arial" w:cs="Arial"/>
          <w:sz w:val="24"/>
          <w:szCs w:val="24"/>
        </w:rPr>
        <w:t xml:space="preserve">is </w:t>
      </w:r>
      <w:r w:rsidR="00695909" w:rsidRPr="00D67768">
        <w:rPr>
          <w:rFonts w:ascii="Arial" w:eastAsia="Calibri" w:hAnsi="Arial" w:cs="Arial"/>
          <w:sz w:val="24"/>
          <w:szCs w:val="24"/>
        </w:rPr>
        <w:t xml:space="preserve">provided below </w:t>
      </w:r>
      <w:r w:rsidR="00F52324" w:rsidRPr="00D67768">
        <w:rPr>
          <w:rFonts w:ascii="Arial" w:eastAsia="Calibri" w:hAnsi="Arial" w:cs="Arial"/>
          <w:sz w:val="24"/>
          <w:szCs w:val="24"/>
        </w:rPr>
        <w:t xml:space="preserve">to </w:t>
      </w:r>
      <w:r w:rsidR="00695909" w:rsidRPr="00D67768">
        <w:rPr>
          <w:rFonts w:ascii="Arial" w:eastAsia="Calibri" w:hAnsi="Arial" w:cs="Arial"/>
          <w:sz w:val="24"/>
          <w:szCs w:val="24"/>
        </w:rPr>
        <w:t xml:space="preserve">illustrate NT Power's </w:t>
      </w:r>
      <w:r w:rsidR="00F52324" w:rsidRPr="00D67768">
        <w:rPr>
          <w:rFonts w:ascii="Arial" w:eastAsia="Calibri" w:hAnsi="Arial" w:cs="Arial"/>
          <w:sz w:val="24"/>
          <w:szCs w:val="24"/>
        </w:rPr>
        <w:t>approach</w:t>
      </w:r>
      <w:r w:rsidR="00523B77" w:rsidRPr="00D67768">
        <w:rPr>
          <w:rFonts w:ascii="Arial" w:eastAsia="Calibri" w:hAnsi="Arial" w:cs="Arial"/>
          <w:sz w:val="24"/>
          <w:szCs w:val="24"/>
        </w:rPr>
        <w:t xml:space="preserve"> in relation to the rate year alignment.</w:t>
      </w:r>
    </w:p>
    <w:p w14:paraId="322CF92B" w14:textId="6226736D" w:rsidR="3852045A" w:rsidRPr="00D67768" w:rsidRDefault="3852045A" w:rsidP="3852045A">
      <w:pPr>
        <w:spacing w:after="0" w:line="240" w:lineRule="auto"/>
        <w:ind w:left="360"/>
        <w:rPr>
          <w:rFonts w:ascii="Arial" w:eastAsia="Calibri" w:hAnsi="Arial" w:cs="Arial"/>
          <w:sz w:val="24"/>
          <w:szCs w:val="24"/>
        </w:rPr>
      </w:pPr>
    </w:p>
    <w:p w14:paraId="2898BB34" w14:textId="673F2D0E" w:rsidR="43BFE823" w:rsidRPr="00D67768" w:rsidRDefault="0852DF84" w:rsidP="43BFE823">
      <w:pPr>
        <w:spacing w:after="0" w:line="240" w:lineRule="auto"/>
        <w:ind w:left="360"/>
        <w:rPr>
          <w:rFonts w:ascii="Arial" w:eastAsia="Calibri" w:hAnsi="Arial" w:cs="Arial"/>
          <w:sz w:val="24"/>
          <w:szCs w:val="24"/>
        </w:rPr>
      </w:pPr>
      <w:r w:rsidRPr="00D67768">
        <w:rPr>
          <w:rFonts w:ascii="Arial" w:hAnsi="Arial" w:cs="Arial"/>
          <w:noProof/>
          <w:sz w:val="24"/>
          <w:szCs w:val="24"/>
        </w:rPr>
        <w:drawing>
          <wp:inline distT="0" distB="0" distL="0" distR="0" wp14:anchorId="65F8D355" wp14:editId="17C6F86F">
            <wp:extent cx="5943600" cy="3439160"/>
            <wp:effectExtent l="0" t="0" r="0" b="8890"/>
            <wp:docPr id="99286601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943600" cy="3439160"/>
                    </a:xfrm>
                    <a:prstGeom prst="rect">
                      <a:avLst/>
                    </a:prstGeom>
                  </pic:spPr>
                </pic:pic>
              </a:graphicData>
            </a:graphic>
          </wp:inline>
        </w:drawing>
      </w:r>
    </w:p>
    <w:p w14:paraId="45071743" w14:textId="073D33FB" w:rsidR="00071F18" w:rsidRPr="00D67768" w:rsidRDefault="00071F18" w:rsidP="0009197D">
      <w:pPr>
        <w:pStyle w:val="Default"/>
        <w:rPr>
          <w:rFonts w:ascii="Arial" w:eastAsia="Calibri" w:hAnsi="Arial" w:cs="Arial"/>
          <w:b/>
          <w:bCs/>
          <w:color w:val="auto"/>
        </w:rPr>
      </w:pPr>
    </w:p>
    <w:p w14:paraId="0F8E6EAF" w14:textId="0D1A4CF5" w:rsidR="0009197D" w:rsidRPr="00D67768" w:rsidRDefault="0009197D" w:rsidP="0009197D">
      <w:pPr>
        <w:pStyle w:val="Default"/>
        <w:rPr>
          <w:rFonts w:ascii="Arial" w:eastAsia="Calibri" w:hAnsi="Arial" w:cs="Arial"/>
          <w:b/>
          <w:bCs/>
          <w:color w:val="auto"/>
        </w:rPr>
      </w:pPr>
      <w:r w:rsidRPr="00D67768">
        <w:rPr>
          <w:rFonts w:ascii="Arial" w:eastAsia="Calibri" w:hAnsi="Arial" w:cs="Arial"/>
          <w:b/>
          <w:bCs/>
          <w:color w:val="auto"/>
        </w:rPr>
        <w:t xml:space="preserve">Question(s): </w:t>
      </w:r>
    </w:p>
    <w:p w14:paraId="5954F5DF" w14:textId="762F3379" w:rsidR="00AE28AD" w:rsidRPr="00D67768" w:rsidRDefault="00AE28AD" w:rsidP="000D392D">
      <w:pPr>
        <w:pStyle w:val="Default"/>
        <w:numPr>
          <w:ilvl w:val="0"/>
          <w:numId w:val="14"/>
        </w:numPr>
        <w:rPr>
          <w:rFonts w:ascii="Arial" w:eastAsia="Calibri" w:hAnsi="Arial" w:cs="Arial"/>
          <w:color w:val="auto"/>
        </w:rPr>
      </w:pPr>
      <w:r w:rsidRPr="00D67768">
        <w:rPr>
          <w:rFonts w:ascii="Arial" w:eastAsia="Calibri" w:hAnsi="Arial" w:cs="Arial"/>
          <w:color w:val="auto"/>
        </w:rPr>
        <w:t>Please confirm if the 2025 Tax Change rate rider will take effect on May 1, 2025, immediately following the end of the 2024 Tax Change rate rider.</w:t>
      </w:r>
    </w:p>
    <w:p w14:paraId="006BFB8C" w14:textId="77777777" w:rsidR="009E4828" w:rsidRPr="00D67768" w:rsidRDefault="00172355" w:rsidP="0009197D">
      <w:pPr>
        <w:pStyle w:val="Default"/>
        <w:numPr>
          <w:ilvl w:val="0"/>
          <w:numId w:val="14"/>
        </w:numPr>
        <w:rPr>
          <w:rFonts w:ascii="Arial" w:eastAsia="Calibri" w:hAnsi="Arial" w:cs="Arial"/>
          <w:color w:val="auto"/>
        </w:rPr>
      </w:pPr>
      <w:r w:rsidRPr="00D67768">
        <w:rPr>
          <w:rFonts w:ascii="Arial" w:eastAsia="Calibri" w:hAnsi="Arial" w:cs="Arial"/>
        </w:rPr>
        <w:lastRenderedPageBreak/>
        <w:t>If</w:t>
      </w:r>
      <w:r w:rsidR="000D392D" w:rsidRPr="00D67768">
        <w:rPr>
          <w:rFonts w:ascii="Arial" w:eastAsia="Calibri" w:hAnsi="Arial" w:cs="Arial"/>
        </w:rPr>
        <w:t xml:space="preserve"> the 2025 Tax Change rate rider is effective from January 1, 2025, discuss the rational behind carrying two rate riders for Tax Change from January 1 to April 30, 2025, including consideration on the bill impact.</w:t>
      </w:r>
    </w:p>
    <w:p w14:paraId="7D3B9E78" w14:textId="5BFFD3C4" w:rsidR="000D392D" w:rsidRPr="00D67768" w:rsidRDefault="009E4828" w:rsidP="0009197D">
      <w:pPr>
        <w:pStyle w:val="Default"/>
        <w:numPr>
          <w:ilvl w:val="0"/>
          <w:numId w:val="14"/>
        </w:numPr>
        <w:rPr>
          <w:rFonts w:ascii="Arial" w:eastAsia="Calibri" w:hAnsi="Arial" w:cs="Arial"/>
          <w:color w:val="auto"/>
        </w:rPr>
      </w:pPr>
      <w:r w:rsidRPr="00D67768">
        <w:rPr>
          <w:rFonts w:ascii="Arial" w:eastAsia="Calibri" w:hAnsi="Arial" w:cs="Arial"/>
        </w:rPr>
        <w:t xml:space="preserve">Please discuss the potential bill impact of having two rate riders for DVA and GA from January 1 to April 30, 2025, and whether a mitigation strategy should be applied to minimize the impact, </w:t>
      </w:r>
      <w:proofErr w:type="gramStart"/>
      <w:r w:rsidRPr="00D67768">
        <w:rPr>
          <w:rFonts w:ascii="Arial" w:eastAsia="Calibri" w:hAnsi="Arial" w:cs="Arial"/>
        </w:rPr>
        <w:t>similar to</w:t>
      </w:r>
      <w:proofErr w:type="gramEnd"/>
      <w:r w:rsidRPr="00D67768">
        <w:rPr>
          <w:rFonts w:ascii="Arial" w:eastAsia="Calibri" w:hAnsi="Arial" w:cs="Arial"/>
        </w:rPr>
        <w:t xml:space="preserve"> the approach used for service and volumetric charge adjustments.</w:t>
      </w:r>
    </w:p>
    <w:p w14:paraId="071A049E" w14:textId="77777777" w:rsidR="00F671CC" w:rsidRPr="00D67768" w:rsidRDefault="00F671CC" w:rsidP="0009197D">
      <w:pPr>
        <w:spacing w:after="0" w:line="240" w:lineRule="auto"/>
        <w:contextualSpacing/>
        <w:rPr>
          <w:rFonts w:ascii="Arial" w:eastAsia="Calibri" w:hAnsi="Arial" w:cs="Arial"/>
          <w:b/>
          <w:bCs/>
          <w:sz w:val="24"/>
          <w:szCs w:val="24"/>
        </w:rPr>
      </w:pPr>
    </w:p>
    <w:p w14:paraId="05D2BA0C" w14:textId="1951A86A" w:rsidR="0009197D" w:rsidRPr="00D67768" w:rsidRDefault="0009197D" w:rsidP="0009197D">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Staff Question-</w:t>
      </w:r>
      <w:r w:rsidR="00382AC2" w:rsidRPr="00D67768">
        <w:rPr>
          <w:rFonts w:ascii="Arial" w:eastAsia="Calibri" w:hAnsi="Arial" w:cs="Arial"/>
          <w:b/>
          <w:bCs/>
          <w:sz w:val="24"/>
          <w:szCs w:val="24"/>
        </w:rPr>
        <w:t>9</w:t>
      </w:r>
    </w:p>
    <w:p w14:paraId="51394CFB" w14:textId="77777777" w:rsidR="004701A2" w:rsidRPr="00D67768" w:rsidRDefault="004701A2" w:rsidP="0009197D">
      <w:pPr>
        <w:spacing w:after="0" w:line="240" w:lineRule="auto"/>
        <w:contextualSpacing/>
        <w:rPr>
          <w:rFonts w:ascii="Arial" w:eastAsia="Calibri" w:hAnsi="Arial" w:cs="Arial"/>
          <w:b/>
          <w:bCs/>
          <w:sz w:val="24"/>
          <w:szCs w:val="24"/>
        </w:rPr>
      </w:pPr>
    </w:p>
    <w:p w14:paraId="00381DE8" w14:textId="77777777" w:rsidR="0009197D" w:rsidRPr="00D67768" w:rsidRDefault="0009197D" w:rsidP="0009197D">
      <w:pPr>
        <w:spacing w:after="0" w:line="240" w:lineRule="auto"/>
        <w:contextualSpacing/>
        <w:rPr>
          <w:rFonts w:ascii="Arial" w:eastAsia="Calibri" w:hAnsi="Arial" w:cs="Arial"/>
          <w:b/>
          <w:bCs/>
          <w:sz w:val="24"/>
          <w:szCs w:val="24"/>
        </w:rPr>
      </w:pPr>
      <w:r w:rsidRPr="00D67768">
        <w:rPr>
          <w:rFonts w:ascii="Arial" w:eastAsia="Calibri" w:hAnsi="Arial" w:cs="Arial"/>
          <w:b/>
          <w:bCs/>
          <w:sz w:val="24"/>
          <w:szCs w:val="24"/>
        </w:rPr>
        <w:t xml:space="preserve">Reference: </w:t>
      </w:r>
    </w:p>
    <w:p w14:paraId="3335A168" w14:textId="3D7BC139" w:rsidR="00B51612" w:rsidRPr="00D67768" w:rsidRDefault="00A13AEF" w:rsidP="00B51612">
      <w:pPr>
        <w:pStyle w:val="ListParagraph"/>
        <w:numPr>
          <w:ilvl w:val="0"/>
          <w:numId w:val="15"/>
        </w:numPr>
        <w:spacing w:after="0" w:line="240" w:lineRule="auto"/>
        <w:rPr>
          <w:rFonts w:ascii="Arial" w:eastAsia="Calibri" w:hAnsi="Arial" w:cs="Arial"/>
          <w:sz w:val="24"/>
          <w:szCs w:val="24"/>
        </w:rPr>
      </w:pPr>
      <w:r w:rsidRPr="00D67768">
        <w:rPr>
          <w:rFonts w:ascii="Arial" w:eastAsia="Calibri" w:hAnsi="Arial" w:cs="Arial"/>
          <w:sz w:val="24"/>
          <w:szCs w:val="24"/>
        </w:rPr>
        <w:t>EB-2024-0042, Rate Generator Models, Tab 3, Continuity Schedule</w:t>
      </w:r>
    </w:p>
    <w:p w14:paraId="41ABA66D" w14:textId="77777777" w:rsidR="00A13AEF" w:rsidRPr="00D67768" w:rsidRDefault="00A13AEF" w:rsidP="0009197D">
      <w:pPr>
        <w:pStyle w:val="Default"/>
        <w:rPr>
          <w:rFonts w:ascii="Arial" w:eastAsia="Calibri" w:hAnsi="Arial" w:cs="Arial"/>
          <w:b/>
          <w:bCs/>
          <w:color w:val="auto"/>
        </w:rPr>
      </w:pPr>
    </w:p>
    <w:p w14:paraId="6F60A833" w14:textId="04BAEB39" w:rsidR="00A13AEF" w:rsidRPr="00D67768" w:rsidRDefault="00A13AEF" w:rsidP="0009197D">
      <w:pPr>
        <w:pStyle w:val="Default"/>
        <w:rPr>
          <w:rFonts w:ascii="Arial" w:eastAsia="Calibri" w:hAnsi="Arial" w:cs="Arial"/>
          <w:color w:val="auto"/>
        </w:rPr>
      </w:pPr>
      <w:r w:rsidRPr="00D67768">
        <w:rPr>
          <w:rFonts w:ascii="Arial" w:eastAsia="Calibri" w:hAnsi="Arial" w:cs="Arial"/>
          <w:color w:val="auto"/>
        </w:rPr>
        <w:t>Preamble:</w:t>
      </w:r>
    </w:p>
    <w:p w14:paraId="22D6B60B" w14:textId="2AE2354E" w:rsidR="00A13AEF" w:rsidRPr="00D67768" w:rsidRDefault="003B7D53" w:rsidP="0009197D">
      <w:pPr>
        <w:pStyle w:val="Default"/>
        <w:rPr>
          <w:rFonts w:ascii="Arial" w:eastAsia="Calibri" w:hAnsi="Arial" w:cs="Arial"/>
        </w:rPr>
      </w:pPr>
      <w:r w:rsidRPr="00D67768">
        <w:rPr>
          <w:rFonts w:ascii="Arial" w:eastAsia="Calibri" w:hAnsi="Arial" w:cs="Arial"/>
        </w:rPr>
        <w:t xml:space="preserve">On September 13, 2024, the OEB published the 2024 Quarter 4 prescribed accounting interest rates applicable to the carrying charges of deferral, </w:t>
      </w:r>
      <w:proofErr w:type="gramStart"/>
      <w:r w:rsidRPr="00D67768">
        <w:rPr>
          <w:rFonts w:ascii="Arial" w:eastAsia="Calibri" w:hAnsi="Arial" w:cs="Arial"/>
        </w:rPr>
        <w:t>variance</w:t>
      </w:r>
      <w:proofErr w:type="gramEnd"/>
      <w:r w:rsidRPr="00D67768">
        <w:rPr>
          <w:rFonts w:ascii="Arial" w:eastAsia="Calibri" w:hAnsi="Arial" w:cs="Arial"/>
        </w:rPr>
        <w:t xml:space="preserve"> and construction work in progress (CWIP) accounts of natural gas utilities, electricity distributors and other rate-regulated entities.</w:t>
      </w:r>
    </w:p>
    <w:p w14:paraId="25A4F972" w14:textId="77777777" w:rsidR="00A13AEF" w:rsidRPr="00D67768" w:rsidRDefault="00A13AEF" w:rsidP="0009197D">
      <w:pPr>
        <w:pStyle w:val="Default"/>
        <w:rPr>
          <w:rFonts w:ascii="Arial" w:eastAsia="Calibri" w:hAnsi="Arial" w:cs="Arial"/>
          <w:b/>
          <w:bCs/>
          <w:color w:val="auto"/>
        </w:rPr>
      </w:pPr>
    </w:p>
    <w:p w14:paraId="03DFF297" w14:textId="6A2196D9" w:rsidR="0009197D" w:rsidRPr="00D67768" w:rsidRDefault="0009197D" w:rsidP="0009197D">
      <w:pPr>
        <w:pStyle w:val="Default"/>
        <w:rPr>
          <w:rFonts w:ascii="Arial" w:eastAsia="Calibri" w:hAnsi="Arial" w:cs="Arial"/>
          <w:b/>
          <w:bCs/>
          <w:color w:val="auto"/>
        </w:rPr>
      </w:pPr>
      <w:r w:rsidRPr="00D67768">
        <w:rPr>
          <w:rFonts w:ascii="Arial" w:eastAsia="Calibri" w:hAnsi="Arial" w:cs="Arial"/>
          <w:b/>
          <w:bCs/>
          <w:color w:val="auto"/>
        </w:rPr>
        <w:t xml:space="preserve">Question(s): </w:t>
      </w:r>
    </w:p>
    <w:p w14:paraId="4E087C99" w14:textId="1E647B97" w:rsidR="003B7D53" w:rsidRPr="00D67768" w:rsidRDefault="009903AE" w:rsidP="003B7D53">
      <w:pPr>
        <w:pStyle w:val="Default"/>
        <w:numPr>
          <w:ilvl w:val="0"/>
          <w:numId w:val="16"/>
        </w:numPr>
        <w:rPr>
          <w:rFonts w:ascii="Arial" w:eastAsia="Calibri" w:hAnsi="Arial" w:cs="Arial"/>
          <w:color w:val="auto"/>
        </w:rPr>
      </w:pPr>
      <w:r w:rsidRPr="00D67768">
        <w:rPr>
          <w:rFonts w:ascii="Arial" w:eastAsia="Calibri" w:hAnsi="Arial" w:cs="Arial"/>
          <w:color w:val="auto"/>
        </w:rPr>
        <w:t>Please update Tab 3 (Continuity Schedule) as necessary to reflect the Q4 2024 OEB-prescribed interest rate of 4.40%.</w:t>
      </w:r>
    </w:p>
    <w:p w14:paraId="63A58DAC" w14:textId="77777777" w:rsidR="009F1963" w:rsidRPr="00D67768" w:rsidRDefault="009F1963" w:rsidP="009F1963">
      <w:pPr>
        <w:spacing w:after="240"/>
        <w:contextualSpacing/>
        <w:rPr>
          <w:rFonts w:ascii="Arial" w:hAnsi="Arial" w:cs="Arial"/>
          <w:b/>
          <w:sz w:val="24"/>
          <w:szCs w:val="24"/>
        </w:rPr>
      </w:pPr>
    </w:p>
    <w:p w14:paraId="70625D6D" w14:textId="6CB6A04E" w:rsidR="009F1963" w:rsidRPr="00D67768" w:rsidRDefault="009F1963" w:rsidP="009F1963">
      <w:pPr>
        <w:spacing w:after="240"/>
        <w:contextualSpacing/>
        <w:rPr>
          <w:rFonts w:ascii="Arial" w:hAnsi="Arial" w:cs="Arial"/>
          <w:b/>
          <w:sz w:val="24"/>
          <w:szCs w:val="24"/>
        </w:rPr>
      </w:pPr>
      <w:r w:rsidRPr="00D67768">
        <w:rPr>
          <w:rFonts w:ascii="Arial" w:hAnsi="Arial" w:cs="Arial"/>
          <w:b/>
          <w:sz w:val="24"/>
          <w:szCs w:val="24"/>
        </w:rPr>
        <w:t>Staff Question-</w:t>
      </w:r>
      <w:r w:rsidR="00382AC2" w:rsidRPr="00D67768">
        <w:rPr>
          <w:rFonts w:ascii="Arial" w:hAnsi="Arial" w:cs="Arial"/>
          <w:b/>
          <w:sz w:val="24"/>
          <w:szCs w:val="24"/>
        </w:rPr>
        <w:t>10</w:t>
      </w:r>
    </w:p>
    <w:p w14:paraId="30ACF362" w14:textId="77777777" w:rsidR="00F95F42" w:rsidRPr="00D67768" w:rsidRDefault="00F95F42" w:rsidP="009F1963">
      <w:pPr>
        <w:spacing w:after="240"/>
        <w:contextualSpacing/>
        <w:rPr>
          <w:rFonts w:ascii="Arial" w:hAnsi="Arial" w:cs="Arial"/>
          <w:b/>
          <w:sz w:val="24"/>
          <w:szCs w:val="24"/>
        </w:rPr>
      </w:pPr>
    </w:p>
    <w:p w14:paraId="08A70388" w14:textId="40F5CC57" w:rsidR="009F1963" w:rsidRPr="00D67768" w:rsidRDefault="009F1963" w:rsidP="009F1963">
      <w:pPr>
        <w:spacing w:after="240"/>
        <w:contextualSpacing/>
        <w:rPr>
          <w:rFonts w:ascii="Arial" w:hAnsi="Arial" w:cs="Arial"/>
          <w:b/>
          <w:sz w:val="24"/>
          <w:szCs w:val="24"/>
        </w:rPr>
      </w:pPr>
      <w:r w:rsidRPr="00D67768">
        <w:rPr>
          <w:rFonts w:ascii="Arial" w:hAnsi="Arial" w:cs="Arial"/>
          <w:b/>
          <w:sz w:val="24"/>
          <w:szCs w:val="24"/>
        </w:rPr>
        <w:t>Reference:</w:t>
      </w:r>
    </w:p>
    <w:p w14:paraId="0A3F1F4C" w14:textId="77777777" w:rsidR="009F1963" w:rsidRPr="00D67768" w:rsidRDefault="009F1963" w:rsidP="009F1963">
      <w:pPr>
        <w:pStyle w:val="ListParagraph"/>
        <w:numPr>
          <w:ilvl w:val="0"/>
          <w:numId w:val="17"/>
        </w:numPr>
        <w:spacing w:after="0" w:line="240" w:lineRule="auto"/>
        <w:ind w:left="720" w:hanging="360"/>
        <w:rPr>
          <w:rFonts w:ascii="Arial" w:eastAsia="Calibri" w:hAnsi="Arial" w:cs="Arial"/>
          <w:sz w:val="24"/>
          <w:szCs w:val="24"/>
        </w:rPr>
      </w:pPr>
      <w:r w:rsidRPr="00D67768">
        <w:rPr>
          <w:rFonts w:ascii="Arial" w:eastAsia="Calibri" w:hAnsi="Arial" w:cs="Arial"/>
          <w:sz w:val="24"/>
          <w:szCs w:val="24"/>
        </w:rPr>
        <w:t>2024 IRM Rate Generator Model, Continuity Schedule, Tab 3 </w:t>
      </w:r>
    </w:p>
    <w:p w14:paraId="32A06480" w14:textId="77777777" w:rsidR="009F1963" w:rsidRPr="00D67768" w:rsidRDefault="009F1963" w:rsidP="009F1963">
      <w:pPr>
        <w:pStyle w:val="ListParagraph"/>
        <w:numPr>
          <w:ilvl w:val="0"/>
          <w:numId w:val="17"/>
        </w:numPr>
        <w:spacing w:after="0" w:line="240" w:lineRule="auto"/>
        <w:ind w:left="720" w:hanging="360"/>
        <w:rPr>
          <w:rFonts w:ascii="Arial" w:eastAsia="Calibri" w:hAnsi="Arial" w:cs="Arial"/>
          <w:sz w:val="24"/>
          <w:szCs w:val="24"/>
        </w:rPr>
      </w:pPr>
      <w:r w:rsidRPr="00D67768">
        <w:rPr>
          <w:rFonts w:ascii="Arial" w:eastAsia="Calibri" w:hAnsi="Arial" w:cs="Arial"/>
          <w:sz w:val="24"/>
          <w:szCs w:val="24"/>
        </w:rPr>
        <w:t xml:space="preserve">IRM Rate Generator – DVA Tabs Instructions </w:t>
      </w:r>
      <w:r w:rsidRPr="00D67768">
        <w:rPr>
          <w:rFonts w:ascii="Cambria Math" w:eastAsia="Calibri" w:hAnsi="Cambria Math" w:cs="Cambria Math"/>
          <w:sz w:val="24"/>
          <w:szCs w:val="24"/>
        </w:rPr>
        <w:t>‐</w:t>
      </w:r>
      <w:r w:rsidRPr="00D67768">
        <w:rPr>
          <w:rFonts w:ascii="Arial" w:eastAsia="Calibri" w:hAnsi="Arial" w:cs="Arial"/>
          <w:sz w:val="24"/>
          <w:szCs w:val="24"/>
        </w:rPr>
        <w:t xml:space="preserve"> 2024 Rates</w:t>
      </w:r>
    </w:p>
    <w:p w14:paraId="4E3C5DB0" w14:textId="77777777" w:rsidR="009F1963" w:rsidRPr="00D67768" w:rsidRDefault="009F1963" w:rsidP="009F1963">
      <w:pPr>
        <w:pStyle w:val="ListParagraph"/>
        <w:numPr>
          <w:ilvl w:val="0"/>
          <w:numId w:val="17"/>
        </w:numPr>
        <w:spacing w:after="0" w:line="240" w:lineRule="auto"/>
        <w:ind w:left="720" w:hanging="360"/>
        <w:rPr>
          <w:rFonts w:ascii="Arial" w:eastAsia="Calibri" w:hAnsi="Arial" w:cs="Arial"/>
          <w:sz w:val="24"/>
          <w:szCs w:val="24"/>
        </w:rPr>
      </w:pPr>
      <w:r w:rsidRPr="00D67768">
        <w:rPr>
          <w:rFonts w:ascii="Arial" w:eastAsia="Calibri" w:hAnsi="Arial" w:cs="Arial"/>
          <w:sz w:val="24"/>
          <w:szCs w:val="24"/>
        </w:rPr>
        <w:t>OEB Guidance for Electricity Distributors with Forgone Revenues Due to Postponed Rate Implementation from COVID-19, August 6, 2020, page 5</w:t>
      </w:r>
    </w:p>
    <w:p w14:paraId="7CE304F2" w14:textId="77777777" w:rsidR="009F1963" w:rsidRPr="00D67768" w:rsidRDefault="009F1963" w:rsidP="009F1963">
      <w:pPr>
        <w:spacing w:after="240"/>
        <w:contextualSpacing/>
        <w:rPr>
          <w:rFonts w:ascii="Arial" w:hAnsi="Arial" w:cs="Arial"/>
          <w:b/>
          <w:sz w:val="24"/>
          <w:szCs w:val="24"/>
        </w:rPr>
      </w:pPr>
    </w:p>
    <w:p w14:paraId="2C41BA37" w14:textId="77777777" w:rsidR="009F1963" w:rsidRPr="00D67768" w:rsidRDefault="009F1963" w:rsidP="009F1963">
      <w:pPr>
        <w:spacing w:after="240"/>
        <w:contextualSpacing/>
        <w:rPr>
          <w:rFonts w:ascii="Arial" w:hAnsi="Arial" w:cs="Arial"/>
          <w:bCs/>
          <w:sz w:val="24"/>
          <w:szCs w:val="24"/>
        </w:rPr>
      </w:pPr>
      <w:r w:rsidRPr="00D67768">
        <w:rPr>
          <w:rFonts w:ascii="Arial" w:hAnsi="Arial" w:cs="Arial"/>
          <w:bCs/>
          <w:sz w:val="24"/>
          <w:szCs w:val="24"/>
        </w:rPr>
        <w:t>Preamble:</w:t>
      </w:r>
    </w:p>
    <w:p w14:paraId="7091A505" w14:textId="77777777" w:rsidR="009F1963" w:rsidRPr="00D67768" w:rsidRDefault="009F1963" w:rsidP="009F1963">
      <w:pPr>
        <w:spacing w:after="240"/>
        <w:contextualSpacing/>
        <w:rPr>
          <w:rFonts w:ascii="Arial" w:hAnsi="Arial" w:cs="Arial"/>
          <w:bCs/>
          <w:sz w:val="24"/>
          <w:szCs w:val="24"/>
        </w:rPr>
      </w:pPr>
      <w:r w:rsidRPr="00D67768">
        <w:rPr>
          <w:rFonts w:ascii="Arial" w:hAnsi="Arial" w:cs="Arial"/>
          <w:bCs/>
          <w:sz w:val="24"/>
          <w:szCs w:val="24"/>
        </w:rPr>
        <w:t xml:space="preserve">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 </w:t>
      </w:r>
    </w:p>
    <w:p w14:paraId="1E74B73D" w14:textId="77777777" w:rsidR="009F1963" w:rsidRPr="00D67768" w:rsidRDefault="009F1963" w:rsidP="009F1963">
      <w:pPr>
        <w:spacing w:after="240"/>
        <w:contextualSpacing/>
        <w:rPr>
          <w:rFonts w:ascii="Arial" w:hAnsi="Arial" w:cs="Arial"/>
          <w:bCs/>
          <w:sz w:val="24"/>
          <w:szCs w:val="24"/>
        </w:rPr>
      </w:pPr>
    </w:p>
    <w:p w14:paraId="7EA673E7" w14:textId="77777777" w:rsidR="009F1963" w:rsidRPr="00D67768" w:rsidRDefault="009F1963" w:rsidP="009F1963">
      <w:pPr>
        <w:spacing w:after="240"/>
        <w:contextualSpacing/>
        <w:rPr>
          <w:rFonts w:ascii="Arial" w:hAnsi="Arial" w:cs="Arial"/>
          <w:bCs/>
          <w:sz w:val="24"/>
          <w:szCs w:val="24"/>
        </w:rPr>
      </w:pPr>
      <w:r w:rsidRPr="00D67768">
        <w:rPr>
          <w:rFonts w:ascii="Arial" w:hAnsi="Arial" w:cs="Arial"/>
          <w:bCs/>
          <w:sz w:val="24"/>
          <w:szCs w:val="24"/>
        </w:rPr>
        <w:t xml:space="preserve">Regarding Account 1509, Impacts Arising from the COVID-19 Emergency Account, Sub-account Forgone Revenues from Postponing Rate Implementation, the following steps are noted in the August 6, </w:t>
      </w:r>
      <w:proofErr w:type="gramStart"/>
      <w:r w:rsidRPr="00D67768">
        <w:rPr>
          <w:rFonts w:ascii="Arial" w:hAnsi="Arial" w:cs="Arial"/>
          <w:bCs/>
          <w:sz w:val="24"/>
          <w:szCs w:val="24"/>
        </w:rPr>
        <w:t>2020</w:t>
      </w:r>
      <w:proofErr w:type="gramEnd"/>
      <w:r w:rsidRPr="00D67768">
        <w:rPr>
          <w:rFonts w:ascii="Arial" w:hAnsi="Arial" w:cs="Arial"/>
          <w:bCs/>
          <w:sz w:val="24"/>
          <w:szCs w:val="24"/>
        </w:rPr>
        <w:t xml:space="preserve"> guidance: </w:t>
      </w:r>
    </w:p>
    <w:p w14:paraId="52B94F77" w14:textId="77777777" w:rsidR="009F1963" w:rsidRPr="00D67768" w:rsidRDefault="009F1963" w:rsidP="009F1963">
      <w:pPr>
        <w:pStyle w:val="ListParagraph"/>
        <w:numPr>
          <w:ilvl w:val="0"/>
          <w:numId w:val="18"/>
        </w:numPr>
        <w:spacing w:after="240"/>
        <w:rPr>
          <w:rFonts w:ascii="Arial" w:hAnsi="Arial" w:cs="Arial"/>
          <w:bCs/>
          <w:sz w:val="24"/>
          <w:szCs w:val="24"/>
        </w:rPr>
      </w:pPr>
      <w:r w:rsidRPr="00D67768">
        <w:rPr>
          <w:rFonts w:ascii="Arial" w:hAnsi="Arial" w:cs="Arial"/>
          <w:bCs/>
          <w:sz w:val="24"/>
          <w:szCs w:val="24"/>
        </w:rPr>
        <w:lastRenderedPageBreak/>
        <w:t xml:space="preserve">Upon implementation of the forgone revenue rate rider that is calculated from the Forgone Revenue Model, the rate rider transactions will be recorded in the same Forgone Revenues Sub-account. This will draw down the accumulated balance of actual forgone revenues/amounts. </w:t>
      </w:r>
    </w:p>
    <w:p w14:paraId="2A2A6D76" w14:textId="77777777" w:rsidR="009F1963" w:rsidRPr="00D67768" w:rsidRDefault="009F1963" w:rsidP="009F1963">
      <w:pPr>
        <w:pStyle w:val="ListParagraph"/>
        <w:numPr>
          <w:ilvl w:val="0"/>
          <w:numId w:val="18"/>
        </w:numPr>
        <w:spacing w:after="240"/>
        <w:rPr>
          <w:rFonts w:ascii="Arial" w:hAnsi="Arial" w:cs="Arial"/>
          <w:bCs/>
          <w:sz w:val="24"/>
          <w:szCs w:val="24"/>
        </w:rPr>
      </w:pPr>
      <w:r w:rsidRPr="00D67768">
        <w:rPr>
          <w:rFonts w:ascii="Arial" w:hAnsi="Arial" w:cs="Arial"/>
          <w:bCs/>
          <w:sz w:val="24"/>
          <w:szCs w:val="24"/>
        </w:rPr>
        <w:t>Any residual balance after the expiry of the rate riders should be requested for final disposition in a future rate application (cost of service or IRM</w:t>
      </w:r>
      <w:proofErr w:type="gramStart"/>
      <w:r w:rsidRPr="00D67768">
        <w:rPr>
          <w:rFonts w:ascii="Arial" w:hAnsi="Arial" w:cs="Arial"/>
          <w:bCs/>
          <w:sz w:val="24"/>
          <w:szCs w:val="24"/>
        </w:rPr>
        <w:t>), once</w:t>
      </w:r>
      <w:proofErr w:type="gramEnd"/>
      <w:r w:rsidRPr="00D67768">
        <w:rPr>
          <w:rFonts w:ascii="Arial" w:hAnsi="Arial" w:cs="Arial"/>
          <w:bCs/>
          <w:sz w:val="24"/>
          <w:szCs w:val="24"/>
        </w:rPr>
        <w:t xml:space="preserve"> the balance has been audited in accordance with normal deferral and variance account disposition practices. </w:t>
      </w:r>
    </w:p>
    <w:p w14:paraId="38B60A8E" w14:textId="77777777" w:rsidR="009F1963" w:rsidRPr="00D67768" w:rsidRDefault="009F1963" w:rsidP="009F1963">
      <w:pPr>
        <w:pStyle w:val="ListParagraph"/>
        <w:numPr>
          <w:ilvl w:val="0"/>
          <w:numId w:val="18"/>
        </w:numPr>
        <w:spacing w:after="240"/>
        <w:rPr>
          <w:rFonts w:ascii="Arial" w:hAnsi="Arial" w:cs="Arial"/>
          <w:bCs/>
          <w:sz w:val="24"/>
          <w:szCs w:val="24"/>
        </w:rPr>
      </w:pPr>
      <w:r w:rsidRPr="00D67768">
        <w:rPr>
          <w:rFonts w:ascii="Arial" w:hAnsi="Arial" w:cs="Arial"/>
          <w:bCs/>
          <w:sz w:val="24"/>
          <w:szCs w:val="24"/>
        </w:rPr>
        <w:t>If disposition is approved, the residual balance in the Forgone Revenues Sub-account should be disposed proportionately by customer class and the residual balance will be transferred to Account 1595.</w:t>
      </w:r>
    </w:p>
    <w:p w14:paraId="3ABFB663" w14:textId="77777777" w:rsidR="009F1963" w:rsidRPr="00D67768" w:rsidRDefault="009F1963" w:rsidP="009F1963">
      <w:pPr>
        <w:spacing w:after="240"/>
        <w:contextualSpacing/>
        <w:rPr>
          <w:rFonts w:ascii="Arial" w:hAnsi="Arial" w:cs="Arial"/>
          <w:b/>
          <w:sz w:val="24"/>
          <w:szCs w:val="24"/>
        </w:rPr>
      </w:pPr>
      <w:r w:rsidRPr="00D67768">
        <w:rPr>
          <w:rFonts w:ascii="Arial" w:hAnsi="Arial" w:cs="Arial"/>
          <w:b/>
          <w:sz w:val="24"/>
          <w:szCs w:val="24"/>
        </w:rPr>
        <w:t>Question(s):</w:t>
      </w:r>
    </w:p>
    <w:p w14:paraId="67C4D4C5" w14:textId="77777777" w:rsidR="009F1963" w:rsidRPr="00D67768" w:rsidRDefault="009F1963" w:rsidP="009F1963">
      <w:pPr>
        <w:pStyle w:val="ListParagraph"/>
        <w:numPr>
          <w:ilvl w:val="0"/>
          <w:numId w:val="19"/>
        </w:numPr>
        <w:spacing w:after="240"/>
        <w:rPr>
          <w:rFonts w:ascii="Arial" w:hAnsi="Arial" w:cs="Arial"/>
          <w:bCs/>
          <w:sz w:val="24"/>
          <w:szCs w:val="24"/>
        </w:rPr>
      </w:pPr>
      <w:r w:rsidRPr="00D67768">
        <w:rPr>
          <w:rFonts w:ascii="Arial" w:hAnsi="Arial" w:cs="Arial"/>
          <w:bCs/>
          <w:sz w:val="24"/>
          <w:szCs w:val="24"/>
        </w:rPr>
        <w:t xml:space="preserve">Please update Tab 3 (Continuity Schedule) and Tab 4 as necessary to reflect a balance in Account 1509 – Impacts Arising from the COVID-19 Emergency, Subaccount Forgone Revenues from Postponing Rate Implementation. Please complete the above-noted steps #1, #2, #3. </w:t>
      </w:r>
    </w:p>
    <w:p w14:paraId="05237D7C" w14:textId="77777777" w:rsidR="009F1963" w:rsidRPr="00D67768" w:rsidRDefault="009F1963" w:rsidP="009F1963">
      <w:pPr>
        <w:pStyle w:val="ListParagraph"/>
        <w:numPr>
          <w:ilvl w:val="0"/>
          <w:numId w:val="19"/>
        </w:numPr>
        <w:spacing w:after="240"/>
        <w:rPr>
          <w:rFonts w:ascii="Arial" w:hAnsi="Arial" w:cs="Arial"/>
          <w:bCs/>
          <w:sz w:val="24"/>
          <w:szCs w:val="24"/>
        </w:rPr>
      </w:pPr>
      <w:r w:rsidRPr="00D67768">
        <w:rPr>
          <w:rFonts w:ascii="Arial" w:hAnsi="Arial" w:cs="Arial"/>
          <w:bCs/>
          <w:sz w:val="24"/>
          <w:szCs w:val="24"/>
        </w:rPr>
        <w:t>If this balance is not applicable, please explain.</w:t>
      </w:r>
    </w:p>
    <w:p w14:paraId="00710E98" w14:textId="77777777" w:rsidR="009903AE" w:rsidRPr="00D67768" w:rsidRDefault="009903AE" w:rsidP="0009197D">
      <w:pPr>
        <w:spacing w:after="0" w:line="240" w:lineRule="auto"/>
        <w:contextualSpacing/>
        <w:rPr>
          <w:rFonts w:ascii="Arial" w:eastAsia="Calibri" w:hAnsi="Arial" w:cs="Arial"/>
          <w:b/>
          <w:bCs/>
          <w:sz w:val="24"/>
          <w:szCs w:val="24"/>
        </w:rPr>
      </w:pPr>
    </w:p>
    <w:p w14:paraId="457EF1F2" w14:textId="77777777" w:rsidR="0009197D" w:rsidRPr="00D67768" w:rsidRDefault="0009197D" w:rsidP="0009197D">
      <w:pPr>
        <w:spacing w:after="0" w:line="240" w:lineRule="auto"/>
        <w:rPr>
          <w:rFonts w:ascii="Arial" w:eastAsia="Calibri" w:hAnsi="Arial" w:cs="Arial"/>
          <w:b/>
          <w:bCs/>
          <w:sz w:val="24"/>
          <w:szCs w:val="24"/>
        </w:rPr>
      </w:pPr>
    </w:p>
    <w:sectPr w:rsidR="0009197D" w:rsidRPr="00D67768" w:rsidSect="0092685E">
      <w:headerReference w:type="default" r:id="rId15"/>
      <w:footerReference w:type="default" r:id="rId16"/>
      <w:headerReference w:type="first" r:id="rId17"/>
      <w:footerReference w:type="first" r:id="rId18"/>
      <w:pgSz w:w="12240" w:h="15840" w:code="1"/>
      <w:pgMar w:top="1440" w:right="1440" w:bottom="1440" w:left="1440" w:header="709" w:footer="7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D1A6" w14:textId="77777777" w:rsidR="002E6708" w:rsidRDefault="002E6708" w:rsidP="003E6FB1">
      <w:pPr>
        <w:spacing w:after="0" w:line="240" w:lineRule="auto"/>
      </w:pPr>
      <w:r>
        <w:separator/>
      </w:r>
    </w:p>
  </w:endnote>
  <w:endnote w:type="continuationSeparator" w:id="0">
    <w:p w14:paraId="0FAF2C7F" w14:textId="77777777" w:rsidR="002E6708" w:rsidRDefault="002E6708" w:rsidP="003E6FB1">
      <w:pPr>
        <w:spacing w:after="0" w:line="240" w:lineRule="auto"/>
      </w:pPr>
      <w:r>
        <w:continuationSeparator/>
      </w:r>
    </w:p>
  </w:endnote>
  <w:endnote w:type="continuationNotice" w:id="1">
    <w:p w14:paraId="2621D4CD" w14:textId="77777777" w:rsidR="002E6708" w:rsidRDefault="002E6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D530" w14:textId="1A5CAC85" w:rsidR="00462D87" w:rsidRDefault="00462D87">
    <w:pPr>
      <w:pStyle w:val="Footer"/>
    </w:pPr>
  </w:p>
  <w:p w14:paraId="4AC6874A" w14:textId="77777777" w:rsidR="00462D87" w:rsidRDefault="0046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006813"/>
      <w:docPartObj>
        <w:docPartGallery w:val="Page Numbers (Bottom of Page)"/>
        <w:docPartUnique/>
      </w:docPartObj>
    </w:sdtPr>
    <w:sdtEndPr>
      <w:rPr>
        <w:noProof/>
      </w:rPr>
    </w:sdtEndPr>
    <w:sdtContent>
      <w:p w14:paraId="3409825A" w14:textId="27990ADB" w:rsidR="009253DA" w:rsidRDefault="009253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E1C85" w14:textId="77777777" w:rsidR="00C675C0" w:rsidRDefault="00C675C0" w:rsidP="00C675C0">
    <w:pPr>
      <w:pStyle w:val="Footer"/>
      <w:ind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0F21" w14:textId="77777777" w:rsidR="002E6708" w:rsidRDefault="002E6708" w:rsidP="003E6FB1">
      <w:pPr>
        <w:spacing w:after="0" w:line="240" w:lineRule="auto"/>
      </w:pPr>
      <w:r>
        <w:separator/>
      </w:r>
    </w:p>
  </w:footnote>
  <w:footnote w:type="continuationSeparator" w:id="0">
    <w:p w14:paraId="23F222F4" w14:textId="77777777" w:rsidR="002E6708" w:rsidRDefault="002E6708" w:rsidP="003E6FB1">
      <w:pPr>
        <w:spacing w:after="0" w:line="240" w:lineRule="auto"/>
      </w:pPr>
      <w:r>
        <w:continuationSeparator/>
      </w:r>
    </w:p>
  </w:footnote>
  <w:footnote w:type="continuationNotice" w:id="1">
    <w:p w14:paraId="29C96E18" w14:textId="77777777" w:rsidR="002E6708" w:rsidRDefault="002E67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2797" w14:textId="646C2534" w:rsidR="00E972EF" w:rsidRPr="00E972EF" w:rsidRDefault="7EF6BC4F" w:rsidP="00E972EF">
    <w:pPr>
      <w:pStyle w:val="Default"/>
      <w:jc w:val="right"/>
      <w:rPr>
        <w:rFonts w:ascii="Arial" w:hAnsi="Arial" w:cs="Arial"/>
        <w:sz w:val="20"/>
        <w:szCs w:val="20"/>
      </w:rPr>
    </w:pPr>
    <w:r w:rsidRPr="7EF6BC4F">
      <w:rPr>
        <w:rFonts w:ascii="Arial" w:hAnsi="Arial" w:cs="Arial"/>
        <w:sz w:val="20"/>
        <w:szCs w:val="20"/>
      </w:rPr>
      <w:t>Newmarket-</w:t>
    </w:r>
    <w:r w:rsidR="6CCE37B8" w:rsidRPr="6CCE37B8">
      <w:rPr>
        <w:rFonts w:ascii="Arial" w:hAnsi="Arial" w:cs="Arial"/>
        <w:sz w:val="20"/>
        <w:szCs w:val="20"/>
      </w:rPr>
      <w:t xml:space="preserve">Tay Power </w:t>
    </w:r>
    <w:r w:rsidR="28DAA4D9" w:rsidRPr="28DAA4D9">
      <w:rPr>
        <w:rFonts w:ascii="Arial" w:hAnsi="Arial" w:cs="Arial"/>
        <w:sz w:val="20"/>
        <w:szCs w:val="20"/>
      </w:rPr>
      <w:t>Distribution Ltd.</w:t>
    </w:r>
  </w:p>
  <w:p w14:paraId="44028EC4" w14:textId="23DC282A" w:rsidR="00E972EF" w:rsidRPr="00E972EF" w:rsidRDefault="40DD2A4E" w:rsidP="00E972EF">
    <w:pPr>
      <w:pStyle w:val="Default"/>
      <w:jc w:val="right"/>
      <w:rPr>
        <w:rFonts w:ascii="Arial" w:hAnsi="Arial" w:cs="Arial"/>
        <w:sz w:val="20"/>
        <w:szCs w:val="20"/>
      </w:rPr>
    </w:pPr>
    <w:r w:rsidRPr="40DD2A4E">
      <w:rPr>
        <w:rFonts w:ascii="Arial" w:hAnsi="Arial" w:cs="Arial"/>
        <w:sz w:val="20"/>
        <w:szCs w:val="20"/>
      </w:rPr>
      <w:t>OEB Staff Questions</w:t>
    </w:r>
  </w:p>
  <w:p w14:paraId="312BD6E9" w14:textId="4EDB6CCD" w:rsidR="00E972EF" w:rsidRPr="00E972EF" w:rsidRDefault="43BE93A3" w:rsidP="00E972EF">
    <w:pPr>
      <w:pStyle w:val="Default"/>
      <w:jc w:val="right"/>
      <w:rPr>
        <w:rFonts w:ascii="Arial" w:hAnsi="Arial" w:cs="Arial"/>
        <w:sz w:val="20"/>
        <w:szCs w:val="20"/>
      </w:rPr>
    </w:pPr>
    <w:r w:rsidRPr="43BE93A3">
      <w:rPr>
        <w:rFonts w:ascii="Arial" w:hAnsi="Arial" w:cs="Arial"/>
        <w:sz w:val="20"/>
        <w:szCs w:val="20"/>
      </w:rPr>
      <w:t>EB-2024-</w:t>
    </w:r>
    <w:r w:rsidR="6AD07F4A" w:rsidRPr="6AD07F4A">
      <w:rPr>
        <w:rFonts w:ascii="Arial" w:hAnsi="Arial" w:cs="Arial"/>
        <w:sz w:val="20"/>
        <w:szCs w:val="20"/>
      </w:rPr>
      <w:t>0042</w:t>
    </w:r>
  </w:p>
  <w:p w14:paraId="5A870A6C" w14:textId="75D97385" w:rsidR="007F7A36" w:rsidRPr="00E972EF" w:rsidRDefault="007F7A36" w:rsidP="00E972EF">
    <w:pPr>
      <w:pStyle w:val="Header"/>
      <w:jc w:val="right"/>
      <w:rPr>
        <w:rFonts w:ascii="Arial" w:hAnsi="Arial" w:cs="Arial"/>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12D6" w14:textId="6D6C555B" w:rsidR="00B83DC3" w:rsidRDefault="00B83DC3" w:rsidP="00B83DC3">
    <w:pPr>
      <w:pStyle w:val="Header"/>
      <w:jc w:val="right"/>
    </w:pPr>
    <w:r>
      <w:t xml:space="preserve">                                                                                                              </w:t>
    </w:r>
    <w:r w:rsidR="00E7365E">
      <w:t xml:space="preserve">  </w:t>
    </w:r>
    <w:r>
      <w:t xml:space="preserve"> </w:t>
    </w:r>
    <w:r w:rsidR="007A4CC0" w:rsidRPr="007A4CC0">
      <w:t>Newmarket</w:t>
    </w:r>
    <w:r w:rsidR="216DECE3">
      <w:t>-</w:t>
    </w:r>
    <w:r w:rsidR="007A4CC0" w:rsidRPr="007A4CC0">
      <w:t>Tay Power Distribution Ltd</w:t>
    </w:r>
    <w:r>
      <w:t xml:space="preserve">.  </w:t>
    </w:r>
  </w:p>
  <w:p w14:paraId="006E8F73" w14:textId="77777777" w:rsidR="00B83DC3" w:rsidRDefault="00B83DC3" w:rsidP="00B83DC3">
    <w:pPr>
      <w:pStyle w:val="Header"/>
      <w:jc w:val="right"/>
    </w:pPr>
    <w:r>
      <w:t xml:space="preserve">                                                                 OEB Staff Questions </w:t>
    </w:r>
  </w:p>
  <w:p w14:paraId="4748428E" w14:textId="796DF051" w:rsidR="007E2761" w:rsidRDefault="00B83DC3" w:rsidP="00B83DC3">
    <w:pPr>
      <w:pStyle w:val="Header"/>
      <w:jc w:val="right"/>
    </w:pPr>
    <w:r>
      <w:t xml:space="preserve">                                                                      EB-2024-00</w:t>
    </w:r>
    <w:r w:rsidR="007A4CC0">
      <w:t>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DD3"/>
    <w:multiLevelType w:val="hybridMultilevel"/>
    <w:tmpl w:val="87960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0A07"/>
    <w:multiLevelType w:val="hybridMultilevel"/>
    <w:tmpl w:val="F604B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41334"/>
    <w:multiLevelType w:val="hybridMultilevel"/>
    <w:tmpl w:val="4240F95C"/>
    <w:lvl w:ilvl="0" w:tplc="DF0C5B6C">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5047C"/>
    <w:multiLevelType w:val="hybridMultilevel"/>
    <w:tmpl w:val="7ADCD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A6AC5"/>
    <w:multiLevelType w:val="hybridMultilevel"/>
    <w:tmpl w:val="C9CE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95310"/>
    <w:multiLevelType w:val="hybridMultilevel"/>
    <w:tmpl w:val="31806878"/>
    <w:lvl w:ilvl="0" w:tplc="768A1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6B4CF"/>
    <w:multiLevelType w:val="hybridMultilevel"/>
    <w:tmpl w:val="FFFFFFFF"/>
    <w:lvl w:ilvl="0" w:tplc="DFA44F44">
      <w:start w:val="1"/>
      <w:numFmt w:val="lowerLetter"/>
      <w:lvlText w:val="a)"/>
      <w:lvlJc w:val="left"/>
      <w:pPr>
        <w:ind w:left="720" w:hanging="360"/>
      </w:pPr>
    </w:lvl>
    <w:lvl w:ilvl="1" w:tplc="6346F34E">
      <w:start w:val="1"/>
      <w:numFmt w:val="lowerLetter"/>
      <w:lvlText w:val="%2."/>
      <w:lvlJc w:val="left"/>
      <w:pPr>
        <w:ind w:left="1440" w:hanging="360"/>
      </w:pPr>
    </w:lvl>
    <w:lvl w:ilvl="2" w:tplc="8AB49DB2">
      <w:start w:val="1"/>
      <w:numFmt w:val="lowerRoman"/>
      <w:lvlText w:val="%3."/>
      <w:lvlJc w:val="right"/>
      <w:pPr>
        <w:ind w:left="2160" w:hanging="180"/>
      </w:pPr>
    </w:lvl>
    <w:lvl w:ilvl="3" w:tplc="491C32AE">
      <w:start w:val="1"/>
      <w:numFmt w:val="decimal"/>
      <w:lvlText w:val="%4."/>
      <w:lvlJc w:val="left"/>
      <w:pPr>
        <w:ind w:left="2880" w:hanging="360"/>
      </w:pPr>
    </w:lvl>
    <w:lvl w:ilvl="4" w:tplc="854C34CE">
      <w:start w:val="1"/>
      <w:numFmt w:val="lowerLetter"/>
      <w:lvlText w:val="%5."/>
      <w:lvlJc w:val="left"/>
      <w:pPr>
        <w:ind w:left="3600" w:hanging="360"/>
      </w:pPr>
    </w:lvl>
    <w:lvl w:ilvl="5" w:tplc="3898A908">
      <w:start w:val="1"/>
      <w:numFmt w:val="lowerRoman"/>
      <w:lvlText w:val="%6."/>
      <w:lvlJc w:val="right"/>
      <w:pPr>
        <w:ind w:left="4320" w:hanging="180"/>
      </w:pPr>
    </w:lvl>
    <w:lvl w:ilvl="6" w:tplc="29AC08CA">
      <w:start w:val="1"/>
      <w:numFmt w:val="decimal"/>
      <w:lvlText w:val="%7."/>
      <w:lvlJc w:val="left"/>
      <w:pPr>
        <w:ind w:left="5040" w:hanging="360"/>
      </w:pPr>
    </w:lvl>
    <w:lvl w:ilvl="7" w:tplc="76E235DC">
      <w:start w:val="1"/>
      <w:numFmt w:val="lowerLetter"/>
      <w:lvlText w:val="%8."/>
      <w:lvlJc w:val="left"/>
      <w:pPr>
        <w:ind w:left="5760" w:hanging="360"/>
      </w:pPr>
    </w:lvl>
    <w:lvl w:ilvl="8" w:tplc="ADE2665C">
      <w:start w:val="1"/>
      <w:numFmt w:val="lowerRoman"/>
      <w:lvlText w:val="%9."/>
      <w:lvlJc w:val="right"/>
      <w:pPr>
        <w:ind w:left="6480" w:hanging="180"/>
      </w:pPr>
    </w:lvl>
  </w:abstractNum>
  <w:abstractNum w:abstractNumId="7" w15:restartNumberingAfterBreak="0">
    <w:nsid w:val="29B364BD"/>
    <w:multiLevelType w:val="hybridMultilevel"/>
    <w:tmpl w:val="92FC6B9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9B6EB"/>
    <w:multiLevelType w:val="hybridMultilevel"/>
    <w:tmpl w:val="FFFFFFFF"/>
    <w:lvl w:ilvl="0" w:tplc="461E5998">
      <w:start w:val="1"/>
      <w:numFmt w:val="lowerLetter"/>
      <w:lvlText w:val="a)"/>
      <w:lvlJc w:val="left"/>
      <w:pPr>
        <w:ind w:left="720" w:hanging="360"/>
      </w:pPr>
    </w:lvl>
    <w:lvl w:ilvl="1" w:tplc="829AEF2A">
      <w:start w:val="1"/>
      <w:numFmt w:val="lowerLetter"/>
      <w:lvlText w:val="%2."/>
      <w:lvlJc w:val="left"/>
      <w:pPr>
        <w:ind w:left="1440" w:hanging="360"/>
      </w:pPr>
    </w:lvl>
    <w:lvl w:ilvl="2" w:tplc="DE9A506A">
      <w:start w:val="1"/>
      <w:numFmt w:val="lowerRoman"/>
      <w:lvlText w:val="%3."/>
      <w:lvlJc w:val="right"/>
      <w:pPr>
        <w:ind w:left="2160" w:hanging="180"/>
      </w:pPr>
    </w:lvl>
    <w:lvl w:ilvl="3" w:tplc="721C3692">
      <w:start w:val="1"/>
      <w:numFmt w:val="decimal"/>
      <w:lvlText w:val="%4."/>
      <w:lvlJc w:val="left"/>
      <w:pPr>
        <w:ind w:left="2880" w:hanging="360"/>
      </w:pPr>
    </w:lvl>
    <w:lvl w:ilvl="4" w:tplc="10A28E4C">
      <w:start w:val="1"/>
      <w:numFmt w:val="lowerLetter"/>
      <w:lvlText w:val="%5."/>
      <w:lvlJc w:val="left"/>
      <w:pPr>
        <w:ind w:left="3600" w:hanging="360"/>
      </w:pPr>
    </w:lvl>
    <w:lvl w:ilvl="5" w:tplc="6A268C4E">
      <w:start w:val="1"/>
      <w:numFmt w:val="lowerRoman"/>
      <w:lvlText w:val="%6."/>
      <w:lvlJc w:val="right"/>
      <w:pPr>
        <w:ind w:left="4320" w:hanging="180"/>
      </w:pPr>
    </w:lvl>
    <w:lvl w:ilvl="6" w:tplc="0706D830">
      <w:start w:val="1"/>
      <w:numFmt w:val="decimal"/>
      <w:lvlText w:val="%7."/>
      <w:lvlJc w:val="left"/>
      <w:pPr>
        <w:ind w:left="5040" w:hanging="360"/>
      </w:pPr>
    </w:lvl>
    <w:lvl w:ilvl="7" w:tplc="3F6A29AA">
      <w:start w:val="1"/>
      <w:numFmt w:val="lowerLetter"/>
      <w:lvlText w:val="%8."/>
      <w:lvlJc w:val="left"/>
      <w:pPr>
        <w:ind w:left="5760" w:hanging="360"/>
      </w:pPr>
    </w:lvl>
    <w:lvl w:ilvl="8" w:tplc="EE0A9464">
      <w:start w:val="1"/>
      <w:numFmt w:val="lowerRoman"/>
      <w:lvlText w:val="%9."/>
      <w:lvlJc w:val="right"/>
      <w:pPr>
        <w:ind w:left="6480" w:hanging="180"/>
      </w:pPr>
    </w:lvl>
  </w:abstractNum>
  <w:abstractNum w:abstractNumId="9" w15:restartNumberingAfterBreak="0">
    <w:nsid w:val="2FF57BE7"/>
    <w:multiLevelType w:val="hybridMultilevel"/>
    <w:tmpl w:val="4ABEE246"/>
    <w:lvl w:ilvl="0" w:tplc="768A1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930F0"/>
    <w:multiLevelType w:val="hybridMultilevel"/>
    <w:tmpl w:val="68D65972"/>
    <w:lvl w:ilvl="0" w:tplc="03981BEA">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E677B"/>
    <w:multiLevelType w:val="hybridMultilevel"/>
    <w:tmpl w:val="13108F14"/>
    <w:lvl w:ilvl="0" w:tplc="768A1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02C82"/>
    <w:multiLevelType w:val="hybridMultilevel"/>
    <w:tmpl w:val="CCAEC4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6163A"/>
    <w:multiLevelType w:val="hybridMultilevel"/>
    <w:tmpl w:val="449A379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20627"/>
    <w:multiLevelType w:val="hybridMultilevel"/>
    <w:tmpl w:val="33689A06"/>
    <w:lvl w:ilvl="0" w:tplc="5D3640D4">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8695F"/>
    <w:multiLevelType w:val="hybridMultilevel"/>
    <w:tmpl w:val="45C89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57985"/>
    <w:multiLevelType w:val="hybridMultilevel"/>
    <w:tmpl w:val="5E9AC02C"/>
    <w:lvl w:ilvl="0" w:tplc="768A1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FB5DE2"/>
    <w:multiLevelType w:val="hybridMultilevel"/>
    <w:tmpl w:val="44165C0E"/>
    <w:lvl w:ilvl="0" w:tplc="768A1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7940EE"/>
    <w:multiLevelType w:val="hybridMultilevel"/>
    <w:tmpl w:val="0820F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277758">
    <w:abstractNumId w:val="8"/>
  </w:num>
  <w:num w:numId="2" w16cid:durableId="1377698980">
    <w:abstractNumId w:val="6"/>
  </w:num>
  <w:num w:numId="3" w16cid:durableId="78719893">
    <w:abstractNumId w:val="9"/>
  </w:num>
  <w:num w:numId="4" w16cid:durableId="904994664">
    <w:abstractNumId w:val="18"/>
  </w:num>
  <w:num w:numId="5" w16cid:durableId="1505975723">
    <w:abstractNumId w:val="16"/>
  </w:num>
  <w:num w:numId="6" w16cid:durableId="893933633">
    <w:abstractNumId w:val="7"/>
  </w:num>
  <w:num w:numId="7" w16cid:durableId="492448858">
    <w:abstractNumId w:val="2"/>
  </w:num>
  <w:num w:numId="8" w16cid:durableId="806242292">
    <w:abstractNumId w:val="13"/>
  </w:num>
  <w:num w:numId="9" w16cid:durableId="1575238669">
    <w:abstractNumId w:val="14"/>
  </w:num>
  <w:num w:numId="10" w16cid:durableId="1068770381">
    <w:abstractNumId w:val="12"/>
  </w:num>
  <w:num w:numId="11" w16cid:durableId="970358359">
    <w:abstractNumId w:val="5"/>
  </w:num>
  <w:num w:numId="12" w16cid:durableId="863446314">
    <w:abstractNumId w:val="1"/>
  </w:num>
  <w:num w:numId="13" w16cid:durableId="1372337538">
    <w:abstractNumId w:val="11"/>
  </w:num>
  <w:num w:numId="14" w16cid:durableId="962810974">
    <w:abstractNumId w:val="4"/>
  </w:num>
  <w:num w:numId="15" w16cid:durableId="1260137481">
    <w:abstractNumId w:val="17"/>
  </w:num>
  <w:num w:numId="16" w16cid:durableId="954363142">
    <w:abstractNumId w:val="3"/>
  </w:num>
  <w:num w:numId="17" w16cid:durableId="516038223">
    <w:abstractNumId w:val="10"/>
  </w:num>
  <w:num w:numId="18" w16cid:durableId="1122531356">
    <w:abstractNumId w:val="15"/>
  </w:num>
  <w:num w:numId="19" w16cid:durableId="190791226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EA"/>
    <w:rsid w:val="00001BE4"/>
    <w:rsid w:val="000061B3"/>
    <w:rsid w:val="00011059"/>
    <w:rsid w:val="00011288"/>
    <w:rsid w:val="00011C43"/>
    <w:rsid w:val="00013461"/>
    <w:rsid w:val="000151FC"/>
    <w:rsid w:val="0001789B"/>
    <w:rsid w:val="00023469"/>
    <w:rsid w:val="000258C3"/>
    <w:rsid w:val="00025F08"/>
    <w:rsid w:val="0002605C"/>
    <w:rsid w:val="00027F95"/>
    <w:rsid w:val="00030E57"/>
    <w:rsid w:val="000329C3"/>
    <w:rsid w:val="00033E23"/>
    <w:rsid w:val="000357DD"/>
    <w:rsid w:val="0004013E"/>
    <w:rsid w:val="00040C17"/>
    <w:rsid w:val="00042F7A"/>
    <w:rsid w:val="00047A91"/>
    <w:rsid w:val="00050CB2"/>
    <w:rsid w:val="00051187"/>
    <w:rsid w:val="00053427"/>
    <w:rsid w:val="0005367D"/>
    <w:rsid w:val="00053A23"/>
    <w:rsid w:val="00056137"/>
    <w:rsid w:val="00057515"/>
    <w:rsid w:val="000578CF"/>
    <w:rsid w:val="00057AD1"/>
    <w:rsid w:val="00060239"/>
    <w:rsid w:val="00060371"/>
    <w:rsid w:val="0006110A"/>
    <w:rsid w:val="000701CC"/>
    <w:rsid w:val="00071F18"/>
    <w:rsid w:val="00073225"/>
    <w:rsid w:val="000758EA"/>
    <w:rsid w:val="00075B30"/>
    <w:rsid w:val="00076758"/>
    <w:rsid w:val="000776AE"/>
    <w:rsid w:val="000814F6"/>
    <w:rsid w:val="00083C1A"/>
    <w:rsid w:val="00085B9F"/>
    <w:rsid w:val="00086722"/>
    <w:rsid w:val="0009197D"/>
    <w:rsid w:val="00097F8C"/>
    <w:rsid w:val="000A587B"/>
    <w:rsid w:val="000A741A"/>
    <w:rsid w:val="000A741D"/>
    <w:rsid w:val="000B0422"/>
    <w:rsid w:val="000B3391"/>
    <w:rsid w:val="000B49EA"/>
    <w:rsid w:val="000B68C2"/>
    <w:rsid w:val="000C6DAA"/>
    <w:rsid w:val="000D310C"/>
    <w:rsid w:val="000D392D"/>
    <w:rsid w:val="000D3DDB"/>
    <w:rsid w:val="000D5076"/>
    <w:rsid w:val="000E00D7"/>
    <w:rsid w:val="000E3318"/>
    <w:rsid w:val="000E4F0C"/>
    <w:rsid w:val="000E7B65"/>
    <w:rsid w:val="000F2A55"/>
    <w:rsid w:val="000F4C3B"/>
    <w:rsid w:val="000F63AC"/>
    <w:rsid w:val="00103424"/>
    <w:rsid w:val="00103BB9"/>
    <w:rsid w:val="00104847"/>
    <w:rsid w:val="00105B99"/>
    <w:rsid w:val="00111FFF"/>
    <w:rsid w:val="001132B0"/>
    <w:rsid w:val="00113B45"/>
    <w:rsid w:val="00114041"/>
    <w:rsid w:val="00114C25"/>
    <w:rsid w:val="0011531D"/>
    <w:rsid w:val="00116AC9"/>
    <w:rsid w:val="00117FBC"/>
    <w:rsid w:val="0012022B"/>
    <w:rsid w:val="001244F9"/>
    <w:rsid w:val="001302B5"/>
    <w:rsid w:val="00131B67"/>
    <w:rsid w:val="00133264"/>
    <w:rsid w:val="001371A7"/>
    <w:rsid w:val="001377AA"/>
    <w:rsid w:val="00142BB9"/>
    <w:rsid w:val="00145C00"/>
    <w:rsid w:val="00152349"/>
    <w:rsid w:val="00153B6A"/>
    <w:rsid w:val="00155766"/>
    <w:rsid w:val="001574F6"/>
    <w:rsid w:val="00157B16"/>
    <w:rsid w:val="0016029C"/>
    <w:rsid w:val="00162208"/>
    <w:rsid w:val="00164C87"/>
    <w:rsid w:val="00167E7B"/>
    <w:rsid w:val="00170DBC"/>
    <w:rsid w:val="00171205"/>
    <w:rsid w:val="00172346"/>
    <w:rsid w:val="00172355"/>
    <w:rsid w:val="001747A4"/>
    <w:rsid w:val="00174FDD"/>
    <w:rsid w:val="0018086B"/>
    <w:rsid w:val="001817B8"/>
    <w:rsid w:val="00183E26"/>
    <w:rsid w:val="00184361"/>
    <w:rsid w:val="001860A2"/>
    <w:rsid w:val="00186998"/>
    <w:rsid w:val="00186A27"/>
    <w:rsid w:val="001916D5"/>
    <w:rsid w:val="0019346C"/>
    <w:rsid w:val="00196E5B"/>
    <w:rsid w:val="00197286"/>
    <w:rsid w:val="001A120A"/>
    <w:rsid w:val="001A299F"/>
    <w:rsid w:val="001A455F"/>
    <w:rsid w:val="001A47CE"/>
    <w:rsid w:val="001A5C47"/>
    <w:rsid w:val="001B08B2"/>
    <w:rsid w:val="001B30BA"/>
    <w:rsid w:val="001B361D"/>
    <w:rsid w:val="001B520B"/>
    <w:rsid w:val="001C40BD"/>
    <w:rsid w:val="001C5A0A"/>
    <w:rsid w:val="001D28E7"/>
    <w:rsid w:val="001D6761"/>
    <w:rsid w:val="001F17E0"/>
    <w:rsid w:val="001F1802"/>
    <w:rsid w:val="001F27AE"/>
    <w:rsid w:val="001F4060"/>
    <w:rsid w:val="001F68BB"/>
    <w:rsid w:val="001F7F8D"/>
    <w:rsid w:val="00214299"/>
    <w:rsid w:val="0021442C"/>
    <w:rsid w:val="002206E0"/>
    <w:rsid w:val="0024392F"/>
    <w:rsid w:val="002457AB"/>
    <w:rsid w:val="0025282E"/>
    <w:rsid w:val="00252892"/>
    <w:rsid w:val="002548B4"/>
    <w:rsid w:val="0026068D"/>
    <w:rsid w:val="00264346"/>
    <w:rsid w:val="00264383"/>
    <w:rsid w:val="00264C30"/>
    <w:rsid w:val="002670D6"/>
    <w:rsid w:val="0027551B"/>
    <w:rsid w:val="00275AFD"/>
    <w:rsid w:val="00283AF5"/>
    <w:rsid w:val="0028417E"/>
    <w:rsid w:val="00292F1C"/>
    <w:rsid w:val="0029411E"/>
    <w:rsid w:val="0029567B"/>
    <w:rsid w:val="00295CFB"/>
    <w:rsid w:val="00296661"/>
    <w:rsid w:val="002A018E"/>
    <w:rsid w:val="002A0772"/>
    <w:rsid w:val="002A45EF"/>
    <w:rsid w:val="002A7984"/>
    <w:rsid w:val="002A7A6E"/>
    <w:rsid w:val="002B0965"/>
    <w:rsid w:val="002B351B"/>
    <w:rsid w:val="002B4267"/>
    <w:rsid w:val="002B5A1C"/>
    <w:rsid w:val="002B5D65"/>
    <w:rsid w:val="002B6126"/>
    <w:rsid w:val="002B6A59"/>
    <w:rsid w:val="002C1D18"/>
    <w:rsid w:val="002C2FF3"/>
    <w:rsid w:val="002D1296"/>
    <w:rsid w:val="002D195A"/>
    <w:rsid w:val="002D78D7"/>
    <w:rsid w:val="002D7BD6"/>
    <w:rsid w:val="002E1903"/>
    <w:rsid w:val="002E23D9"/>
    <w:rsid w:val="002E5701"/>
    <w:rsid w:val="002E5C05"/>
    <w:rsid w:val="002E6708"/>
    <w:rsid w:val="002F1E02"/>
    <w:rsid w:val="002F3013"/>
    <w:rsid w:val="002F37D3"/>
    <w:rsid w:val="002F4AC4"/>
    <w:rsid w:val="002F5A20"/>
    <w:rsid w:val="003010CE"/>
    <w:rsid w:val="00303D8B"/>
    <w:rsid w:val="003044A3"/>
    <w:rsid w:val="00306213"/>
    <w:rsid w:val="00306824"/>
    <w:rsid w:val="00313ECE"/>
    <w:rsid w:val="0031445B"/>
    <w:rsid w:val="00315180"/>
    <w:rsid w:val="0031680C"/>
    <w:rsid w:val="0032128A"/>
    <w:rsid w:val="00330923"/>
    <w:rsid w:val="00331B89"/>
    <w:rsid w:val="00332D2C"/>
    <w:rsid w:val="00332F14"/>
    <w:rsid w:val="00333176"/>
    <w:rsid w:val="0033448B"/>
    <w:rsid w:val="0033794F"/>
    <w:rsid w:val="00337DBD"/>
    <w:rsid w:val="0034237A"/>
    <w:rsid w:val="00343B9F"/>
    <w:rsid w:val="00344D80"/>
    <w:rsid w:val="0034642E"/>
    <w:rsid w:val="00347C9C"/>
    <w:rsid w:val="003507C4"/>
    <w:rsid w:val="00350B5B"/>
    <w:rsid w:val="00353406"/>
    <w:rsid w:val="003536BD"/>
    <w:rsid w:val="00360BA5"/>
    <w:rsid w:val="00365A3C"/>
    <w:rsid w:val="00366A6B"/>
    <w:rsid w:val="00367CBD"/>
    <w:rsid w:val="00367E82"/>
    <w:rsid w:val="00375181"/>
    <w:rsid w:val="003808FE"/>
    <w:rsid w:val="0038190D"/>
    <w:rsid w:val="00382AC2"/>
    <w:rsid w:val="00386888"/>
    <w:rsid w:val="00386C9B"/>
    <w:rsid w:val="00390795"/>
    <w:rsid w:val="00395F0B"/>
    <w:rsid w:val="003A182B"/>
    <w:rsid w:val="003A1DEC"/>
    <w:rsid w:val="003A62A2"/>
    <w:rsid w:val="003A658D"/>
    <w:rsid w:val="003B31C1"/>
    <w:rsid w:val="003B4DA0"/>
    <w:rsid w:val="003B4F46"/>
    <w:rsid w:val="003B7D53"/>
    <w:rsid w:val="003C03CA"/>
    <w:rsid w:val="003C1978"/>
    <w:rsid w:val="003C7402"/>
    <w:rsid w:val="003D148A"/>
    <w:rsid w:val="003D2595"/>
    <w:rsid w:val="003D4350"/>
    <w:rsid w:val="003E2620"/>
    <w:rsid w:val="003E6FB1"/>
    <w:rsid w:val="003F0805"/>
    <w:rsid w:val="003F1DB2"/>
    <w:rsid w:val="003F342F"/>
    <w:rsid w:val="003F3B29"/>
    <w:rsid w:val="003F518A"/>
    <w:rsid w:val="003F5545"/>
    <w:rsid w:val="003F6586"/>
    <w:rsid w:val="003F78C3"/>
    <w:rsid w:val="003F78EF"/>
    <w:rsid w:val="00400E91"/>
    <w:rsid w:val="00403E13"/>
    <w:rsid w:val="0041119F"/>
    <w:rsid w:val="00412DC6"/>
    <w:rsid w:val="00415C1B"/>
    <w:rsid w:val="0042292D"/>
    <w:rsid w:val="00426397"/>
    <w:rsid w:val="0042762F"/>
    <w:rsid w:val="004347B8"/>
    <w:rsid w:val="00435953"/>
    <w:rsid w:val="004359C7"/>
    <w:rsid w:val="0044459B"/>
    <w:rsid w:val="00444D84"/>
    <w:rsid w:val="004462F4"/>
    <w:rsid w:val="004466E8"/>
    <w:rsid w:val="0044682F"/>
    <w:rsid w:val="00451157"/>
    <w:rsid w:val="0045156B"/>
    <w:rsid w:val="004537A1"/>
    <w:rsid w:val="004543A8"/>
    <w:rsid w:val="004545DF"/>
    <w:rsid w:val="00457D9F"/>
    <w:rsid w:val="004626EE"/>
    <w:rsid w:val="00462D87"/>
    <w:rsid w:val="00464B66"/>
    <w:rsid w:val="004701A2"/>
    <w:rsid w:val="0047121D"/>
    <w:rsid w:val="004737BA"/>
    <w:rsid w:val="00473958"/>
    <w:rsid w:val="00475445"/>
    <w:rsid w:val="00476CE1"/>
    <w:rsid w:val="00477500"/>
    <w:rsid w:val="00480C03"/>
    <w:rsid w:val="0048260E"/>
    <w:rsid w:val="004869D3"/>
    <w:rsid w:val="0049172A"/>
    <w:rsid w:val="00492021"/>
    <w:rsid w:val="004926B8"/>
    <w:rsid w:val="0049305B"/>
    <w:rsid w:val="00494B62"/>
    <w:rsid w:val="00497FBF"/>
    <w:rsid w:val="004A2047"/>
    <w:rsid w:val="004A2117"/>
    <w:rsid w:val="004A3943"/>
    <w:rsid w:val="004A5DBB"/>
    <w:rsid w:val="004B6759"/>
    <w:rsid w:val="004B7E29"/>
    <w:rsid w:val="004C1176"/>
    <w:rsid w:val="004C5D54"/>
    <w:rsid w:val="004C6A50"/>
    <w:rsid w:val="004D2ACC"/>
    <w:rsid w:val="004D30A8"/>
    <w:rsid w:val="004D48C1"/>
    <w:rsid w:val="004D6251"/>
    <w:rsid w:val="004D7473"/>
    <w:rsid w:val="004D7633"/>
    <w:rsid w:val="004E0113"/>
    <w:rsid w:val="004E7AD0"/>
    <w:rsid w:val="004F1974"/>
    <w:rsid w:val="004F37F6"/>
    <w:rsid w:val="004F5FD9"/>
    <w:rsid w:val="00501E6A"/>
    <w:rsid w:val="005055C0"/>
    <w:rsid w:val="00507FA6"/>
    <w:rsid w:val="005128CC"/>
    <w:rsid w:val="005129EB"/>
    <w:rsid w:val="00523B77"/>
    <w:rsid w:val="005267B2"/>
    <w:rsid w:val="0052755A"/>
    <w:rsid w:val="00531A9D"/>
    <w:rsid w:val="00531C2B"/>
    <w:rsid w:val="00531EE8"/>
    <w:rsid w:val="0053224E"/>
    <w:rsid w:val="005348A6"/>
    <w:rsid w:val="00541950"/>
    <w:rsid w:val="00542DA9"/>
    <w:rsid w:val="00544086"/>
    <w:rsid w:val="00545D3F"/>
    <w:rsid w:val="0055727F"/>
    <w:rsid w:val="00562772"/>
    <w:rsid w:val="00563C12"/>
    <w:rsid w:val="005669BD"/>
    <w:rsid w:val="005672B5"/>
    <w:rsid w:val="00572D0A"/>
    <w:rsid w:val="005734CB"/>
    <w:rsid w:val="0057738E"/>
    <w:rsid w:val="00583387"/>
    <w:rsid w:val="005835CB"/>
    <w:rsid w:val="00585F8A"/>
    <w:rsid w:val="00591DEF"/>
    <w:rsid w:val="00595B1B"/>
    <w:rsid w:val="00596F79"/>
    <w:rsid w:val="005A0210"/>
    <w:rsid w:val="005A03EF"/>
    <w:rsid w:val="005B288A"/>
    <w:rsid w:val="005B3815"/>
    <w:rsid w:val="005D085C"/>
    <w:rsid w:val="005E33F6"/>
    <w:rsid w:val="005E372B"/>
    <w:rsid w:val="005E560D"/>
    <w:rsid w:val="005E716E"/>
    <w:rsid w:val="006020F7"/>
    <w:rsid w:val="00603A41"/>
    <w:rsid w:val="0060797B"/>
    <w:rsid w:val="00607BEA"/>
    <w:rsid w:val="006140A3"/>
    <w:rsid w:val="00616CEE"/>
    <w:rsid w:val="00622F74"/>
    <w:rsid w:val="00625991"/>
    <w:rsid w:val="0062646E"/>
    <w:rsid w:val="00631C22"/>
    <w:rsid w:val="00645DDF"/>
    <w:rsid w:val="00647276"/>
    <w:rsid w:val="00653253"/>
    <w:rsid w:val="006554F8"/>
    <w:rsid w:val="006575AB"/>
    <w:rsid w:val="00663A9B"/>
    <w:rsid w:val="006659BC"/>
    <w:rsid w:val="006678DB"/>
    <w:rsid w:val="00670DB9"/>
    <w:rsid w:val="00680B8B"/>
    <w:rsid w:val="00680BF7"/>
    <w:rsid w:val="006818B5"/>
    <w:rsid w:val="00690952"/>
    <w:rsid w:val="00692773"/>
    <w:rsid w:val="0069435D"/>
    <w:rsid w:val="00695909"/>
    <w:rsid w:val="006A3242"/>
    <w:rsid w:val="006A4DB9"/>
    <w:rsid w:val="006A6D69"/>
    <w:rsid w:val="006B2B6A"/>
    <w:rsid w:val="006B2E8A"/>
    <w:rsid w:val="006B3154"/>
    <w:rsid w:val="006C3FAA"/>
    <w:rsid w:val="006C455E"/>
    <w:rsid w:val="006D0F05"/>
    <w:rsid w:val="006D7163"/>
    <w:rsid w:val="006E1F48"/>
    <w:rsid w:val="006E4741"/>
    <w:rsid w:val="006E67DC"/>
    <w:rsid w:val="006E6D83"/>
    <w:rsid w:val="006F0831"/>
    <w:rsid w:val="006F2684"/>
    <w:rsid w:val="006F2A39"/>
    <w:rsid w:val="006F2FAA"/>
    <w:rsid w:val="006F31A6"/>
    <w:rsid w:val="006F33FC"/>
    <w:rsid w:val="006F51C2"/>
    <w:rsid w:val="006F5A32"/>
    <w:rsid w:val="0070060B"/>
    <w:rsid w:val="00702681"/>
    <w:rsid w:val="00706AAF"/>
    <w:rsid w:val="00706BDA"/>
    <w:rsid w:val="00711240"/>
    <w:rsid w:val="00713AC1"/>
    <w:rsid w:val="007174CF"/>
    <w:rsid w:val="007176B5"/>
    <w:rsid w:val="00723AB2"/>
    <w:rsid w:val="00725BF5"/>
    <w:rsid w:val="00726198"/>
    <w:rsid w:val="00731458"/>
    <w:rsid w:val="007339F0"/>
    <w:rsid w:val="00735876"/>
    <w:rsid w:val="00743070"/>
    <w:rsid w:val="00746080"/>
    <w:rsid w:val="0074636D"/>
    <w:rsid w:val="00746672"/>
    <w:rsid w:val="00752ED4"/>
    <w:rsid w:val="0075375F"/>
    <w:rsid w:val="00754C6F"/>
    <w:rsid w:val="00756E04"/>
    <w:rsid w:val="00760D5C"/>
    <w:rsid w:val="00761320"/>
    <w:rsid w:val="00762E5D"/>
    <w:rsid w:val="0076347A"/>
    <w:rsid w:val="00763690"/>
    <w:rsid w:val="0076460C"/>
    <w:rsid w:val="00765124"/>
    <w:rsid w:val="007656D9"/>
    <w:rsid w:val="0076570D"/>
    <w:rsid w:val="00767D7F"/>
    <w:rsid w:val="00770619"/>
    <w:rsid w:val="00770DA4"/>
    <w:rsid w:val="00775613"/>
    <w:rsid w:val="00777D99"/>
    <w:rsid w:val="007805FA"/>
    <w:rsid w:val="00780C3F"/>
    <w:rsid w:val="007822FF"/>
    <w:rsid w:val="00785E75"/>
    <w:rsid w:val="007A0CD8"/>
    <w:rsid w:val="007A10F0"/>
    <w:rsid w:val="007A2D6F"/>
    <w:rsid w:val="007A4CC0"/>
    <w:rsid w:val="007A6315"/>
    <w:rsid w:val="007B7C77"/>
    <w:rsid w:val="007C599B"/>
    <w:rsid w:val="007D1882"/>
    <w:rsid w:val="007D3876"/>
    <w:rsid w:val="007D4EEA"/>
    <w:rsid w:val="007D51C6"/>
    <w:rsid w:val="007D56B9"/>
    <w:rsid w:val="007D570A"/>
    <w:rsid w:val="007D7577"/>
    <w:rsid w:val="007E019E"/>
    <w:rsid w:val="007E2366"/>
    <w:rsid w:val="007E2761"/>
    <w:rsid w:val="007E2FD9"/>
    <w:rsid w:val="007E5A6F"/>
    <w:rsid w:val="007E70D0"/>
    <w:rsid w:val="007E7394"/>
    <w:rsid w:val="007F1146"/>
    <w:rsid w:val="007F7A36"/>
    <w:rsid w:val="00802947"/>
    <w:rsid w:val="00804CA2"/>
    <w:rsid w:val="008069F9"/>
    <w:rsid w:val="00806E98"/>
    <w:rsid w:val="008167EA"/>
    <w:rsid w:val="0081742E"/>
    <w:rsid w:val="00817F49"/>
    <w:rsid w:val="0082076D"/>
    <w:rsid w:val="00822156"/>
    <w:rsid w:val="00822377"/>
    <w:rsid w:val="00824CF4"/>
    <w:rsid w:val="008274AC"/>
    <w:rsid w:val="008339F4"/>
    <w:rsid w:val="00837C11"/>
    <w:rsid w:val="00842E95"/>
    <w:rsid w:val="00844910"/>
    <w:rsid w:val="008514F4"/>
    <w:rsid w:val="00852745"/>
    <w:rsid w:val="00852C0E"/>
    <w:rsid w:val="00857352"/>
    <w:rsid w:val="0085762B"/>
    <w:rsid w:val="00857D12"/>
    <w:rsid w:val="00862BA3"/>
    <w:rsid w:val="008730D3"/>
    <w:rsid w:val="00876D1D"/>
    <w:rsid w:val="0087739F"/>
    <w:rsid w:val="0088157B"/>
    <w:rsid w:val="008852BC"/>
    <w:rsid w:val="00886FB1"/>
    <w:rsid w:val="0089041D"/>
    <w:rsid w:val="0089332A"/>
    <w:rsid w:val="008937CA"/>
    <w:rsid w:val="008943A2"/>
    <w:rsid w:val="00894C09"/>
    <w:rsid w:val="008B121F"/>
    <w:rsid w:val="008B1CF9"/>
    <w:rsid w:val="008B3C00"/>
    <w:rsid w:val="008B6D32"/>
    <w:rsid w:val="008C472E"/>
    <w:rsid w:val="008C67F5"/>
    <w:rsid w:val="008D4EB4"/>
    <w:rsid w:val="008D6C06"/>
    <w:rsid w:val="008E0645"/>
    <w:rsid w:val="008E617F"/>
    <w:rsid w:val="008F0C40"/>
    <w:rsid w:val="008F2470"/>
    <w:rsid w:val="008F26D7"/>
    <w:rsid w:val="008F450C"/>
    <w:rsid w:val="008F6D9B"/>
    <w:rsid w:val="00900B26"/>
    <w:rsid w:val="009056C1"/>
    <w:rsid w:val="00911BB7"/>
    <w:rsid w:val="00913609"/>
    <w:rsid w:val="0091393B"/>
    <w:rsid w:val="00915502"/>
    <w:rsid w:val="00915856"/>
    <w:rsid w:val="00916454"/>
    <w:rsid w:val="00916B86"/>
    <w:rsid w:val="009253DA"/>
    <w:rsid w:val="00926537"/>
    <w:rsid w:val="0092685E"/>
    <w:rsid w:val="0093085F"/>
    <w:rsid w:val="009361BE"/>
    <w:rsid w:val="00942194"/>
    <w:rsid w:val="0094371C"/>
    <w:rsid w:val="00944C51"/>
    <w:rsid w:val="00944CD9"/>
    <w:rsid w:val="0095201F"/>
    <w:rsid w:val="0095263F"/>
    <w:rsid w:val="009571D0"/>
    <w:rsid w:val="009579B3"/>
    <w:rsid w:val="009604B1"/>
    <w:rsid w:val="009612B8"/>
    <w:rsid w:val="00961530"/>
    <w:rsid w:val="00962BBA"/>
    <w:rsid w:val="00963921"/>
    <w:rsid w:val="009647FF"/>
    <w:rsid w:val="00965EAB"/>
    <w:rsid w:val="0096600C"/>
    <w:rsid w:val="009665CB"/>
    <w:rsid w:val="00971719"/>
    <w:rsid w:val="00971FC9"/>
    <w:rsid w:val="00973F48"/>
    <w:rsid w:val="00982B34"/>
    <w:rsid w:val="00985958"/>
    <w:rsid w:val="00986D66"/>
    <w:rsid w:val="009903AE"/>
    <w:rsid w:val="00991B25"/>
    <w:rsid w:val="009936CD"/>
    <w:rsid w:val="009A48C0"/>
    <w:rsid w:val="009A61E0"/>
    <w:rsid w:val="009A6D12"/>
    <w:rsid w:val="009B0D8D"/>
    <w:rsid w:val="009B3CC7"/>
    <w:rsid w:val="009B3CE5"/>
    <w:rsid w:val="009B6942"/>
    <w:rsid w:val="009C2010"/>
    <w:rsid w:val="009C21FB"/>
    <w:rsid w:val="009C49E8"/>
    <w:rsid w:val="009C69E3"/>
    <w:rsid w:val="009C6E52"/>
    <w:rsid w:val="009C769E"/>
    <w:rsid w:val="009D02FD"/>
    <w:rsid w:val="009D6AC5"/>
    <w:rsid w:val="009E362D"/>
    <w:rsid w:val="009E4828"/>
    <w:rsid w:val="009E6D64"/>
    <w:rsid w:val="009F1819"/>
    <w:rsid w:val="009F1963"/>
    <w:rsid w:val="009F2D76"/>
    <w:rsid w:val="009F300F"/>
    <w:rsid w:val="009F39A7"/>
    <w:rsid w:val="009F3A64"/>
    <w:rsid w:val="009F3AA6"/>
    <w:rsid w:val="009F50E2"/>
    <w:rsid w:val="009F670E"/>
    <w:rsid w:val="00A0049A"/>
    <w:rsid w:val="00A0185F"/>
    <w:rsid w:val="00A01A18"/>
    <w:rsid w:val="00A03E72"/>
    <w:rsid w:val="00A11191"/>
    <w:rsid w:val="00A13AEF"/>
    <w:rsid w:val="00A16151"/>
    <w:rsid w:val="00A20427"/>
    <w:rsid w:val="00A22F84"/>
    <w:rsid w:val="00A26B72"/>
    <w:rsid w:val="00A27598"/>
    <w:rsid w:val="00A277A1"/>
    <w:rsid w:val="00A27B95"/>
    <w:rsid w:val="00A308AE"/>
    <w:rsid w:val="00A30ED9"/>
    <w:rsid w:val="00A31132"/>
    <w:rsid w:val="00A34EF0"/>
    <w:rsid w:val="00A3576A"/>
    <w:rsid w:val="00A35B21"/>
    <w:rsid w:val="00A3634B"/>
    <w:rsid w:val="00A366A5"/>
    <w:rsid w:val="00A369CC"/>
    <w:rsid w:val="00A4173D"/>
    <w:rsid w:val="00A43356"/>
    <w:rsid w:val="00A50F19"/>
    <w:rsid w:val="00A510AD"/>
    <w:rsid w:val="00A51AC5"/>
    <w:rsid w:val="00A56340"/>
    <w:rsid w:val="00A6078D"/>
    <w:rsid w:val="00A62F33"/>
    <w:rsid w:val="00A6624D"/>
    <w:rsid w:val="00A72586"/>
    <w:rsid w:val="00A72E8E"/>
    <w:rsid w:val="00A77CAF"/>
    <w:rsid w:val="00A802EC"/>
    <w:rsid w:val="00A817EE"/>
    <w:rsid w:val="00A82A7B"/>
    <w:rsid w:val="00A9024A"/>
    <w:rsid w:val="00A92A13"/>
    <w:rsid w:val="00A92DAF"/>
    <w:rsid w:val="00AA06D9"/>
    <w:rsid w:val="00AA1385"/>
    <w:rsid w:val="00AA19EF"/>
    <w:rsid w:val="00AA6A9C"/>
    <w:rsid w:val="00AA70C0"/>
    <w:rsid w:val="00AA7F5B"/>
    <w:rsid w:val="00AB2932"/>
    <w:rsid w:val="00AB52C9"/>
    <w:rsid w:val="00AC00C4"/>
    <w:rsid w:val="00AC28CE"/>
    <w:rsid w:val="00AC7BA7"/>
    <w:rsid w:val="00AD24D3"/>
    <w:rsid w:val="00AD61AC"/>
    <w:rsid w:val="00AD62CB"/>
    <w:rsid w:val="00AE2413"/>
    <w:rsid w:val="00AE28AD"/>
    <w:rsid w:val="00AE56B5"/>
    <w:rsid w:val="00AF41F9"/>
    <w:rsid w:val="00AF4C6C"/>
    <w:rsid w:val="00AF71A0"/>
    <w:rsid w:val="00B04E13"/>
    <w:rsid w:val="00B114D4"/>
    <w:rsid w:val="00B12C21"/>
    <w:rsid w:val="00B138B5"/>
    <w:rsid w:val="00B13A14"/>
    <w:rsid w:val="00B14F96"/>
    <w:rsid w:val="00B16269"/>
    <w:rsid w:val="00B17364"/>
    <w:rsid w:val="00B173B5"/>
    <w:rsid w:val="00B17E47"/>
    <w:rsid w:val="00B250A1"/>
    <w:rsid w:val="00B25576"/>
    <w:rsid w:val="00B271D9"/>
    <w:rsid w:val="00B314FF"/>
    <w:rsid w:val="00B40486"/>
    <w:rsid w:val="00B43877"/>
    <w:rsid w:val="00B4499C"/>
    <w:rsid w:val="00B44E5B"/>
    <w:rsid w:val="00B4621A"/>
    <w:rsid w:val="00B50A70"/>
    <w:rsid w:val="00B51612"/>
    <w:rsid w:val="00B52300"/>
    <w:rsid w:val="00B523EB"/>
    <w:rsid w:val="00B5323A"/>
    <w:rsid w:val="00B53857"/>
    <w:rsid w:val="00B543CA"/>
    <w:rsid w:val="00B6543B"/>
    <w:rsid w:val="00B65441"/>
    <w:rsid w:val="00B65936"/>
    <w:rsid w:val="00B72495"/>
    <w:rsid w:val="00B83440"/>
    <w:rsid w:val="00B83CAD"/>
    <w:rsid w:val="00B83DC3"/>
    <w:rsid w:val="00B857C8"/>
    <w:rsid w:val="00B87D63"/>
    <w:rsid w:val="00B93942"/>
    <w:rsid w:val="00B95891"/>
    <w:rsid w:val="00BB3714"/>
    <w:rsid w:val="00BC15E8"/>
    <w:rsid w:val="00BC25D8"/>
    <w:rsid w:val="00BC5B80"/>
    <w:rsid w:val="00BD00D0"/>
    <w:rsid w:val="00BD0DF8"/>
    <w:rsid w:val="00BD0EA8"/>
    <w:rsid w:val="00BD27FB"/>
    <w:rsid w:val="00BD40B5"/>
    <w:rsid w:val="00BE5405"/>
    <w:rsid w:val="00BE6941"/>
    <w:rsid w:val="00BE70D6"/>
    <w:rsid w:val="00BE749A"/>
    <w:rsid w:val="00BF6BB6"/>
    <w:rsid w:val="00C13C17"/>
    <w:rsid w:val="00C14D42"/>
    <w:rsid w:val="00C20CDC"/>
    <w:rsid w:val="00C32F58"/>
    <w:rsid w:val="00C3490F"/>
    <w:rsid w:val="00C34B4B"/>
    <w:rsid w:val="00C35242"/>
    <w:rsid w:val="00C357BF"/>
    <w:rsid w:val="00C37227"/>
    <w:rsid w:val="00C41FC2"/>
    <w:rsid w:val="00C439F0"/>
    <w:rsid w:val="00C43FDA"/>
    <w:rsid w:val="00C44269"/>
    <w:rsid w:val="00C56F8E"/>
    <w:rsid w:val="00C57765"/>
    <w:rsid w:val="00C579F7"/>
    <w:rsid w:val="00C65B1A"/>
    <w:rsid w:val="00C65DA3"/>
    <w:rsid w:val="00C66B57"/>
    <w:rsid w:val="00C66DDD"/>
    <w:rsid w:val="00C6752B"/>
    <w:rsid w:val="00C675C0"/>
    <w:rsid w:val="00C71519"/>
    <w:rsid w:val="00C75BF4"/>
    <w:rsid w:val="00C7699D"/>
    <w:rsid w:val="00C8057F"/>
    <w:rsid w:val="00C806F3"/>
    <w:rsid w:val="00C83F44"/>
    <w:rsid w:val="00C84BDA"/>
    <w:rsid w:val="00C86492"/>
    <w:rsid w:val="00C92DF2"/>
    <w:rsid w:val="00C959DF"/>
    <w:rsid w:val="00C9751B"/>
    <w:rsid w:val="00CA4431"/>
    <w:rsid w:val="00CA5FDF"/>
    <w:rsid w:val="00CB1141"/>
    <w:rsid w:val="00CB1DF7"/>
    <w:rsid w:val="00CB5409"/>
    <w:rsid w:val="00CB7DE2"/>
    <w:rsid w:val="00CC0D43"/>
    <w:rsid w:val="00CC4140"/>
    <w:rsid w:val="00CC4296"/>
    <w:rsid w:val="00CC58F1"/>
    <w:rsid w:val="00CC61B2"/>
    <w:rsid w:val="00CC6D14"/>
    <w:rsid w:val="00CC73C5"/>
    <w:rsid w:val="00CD5134"/>
    <w:rsid w:val="00CE0F14"/>
    <w:rsid w:val="00CE45B4"/>
    <w:rsid w:val="00CE4900"/>
    <w:rsid w:val="00CE547C"/>
    <w:rsid w:val="00CE6749"/>
    <w:rsid w:val="00CF1BA0"/>
    <w:rsid w:val="00CF1F73"/>
    <w:rsid w:val="00CF467D"/>
    <w:rsid w:val="00CF488E"/>
    <w:rsid w:val="00D00886"/>
    <w:rsid w:val="00D06940"/>
    <w:rsid w:val="00D106BF"/>
    <w:rsid w:val="00D12E55"/>
    <w:rsid w:val="00D14EB9"/>
    <w:rsid w:val="00D15E19"/>
    <w:rsid w:val="00D21509"/>
    <w:rsid w:val="00D216AC"/>
    <w:rsid w:val="00D240B9"/>
    <w:rsid w:val="00D26DE0"/>
    <w:rsid w:val="00D3145F"/>
    <w:rsid w:val="00D34E9B"/>
    <w:rsid w:val="00D35809"/>
    <w:rsid w:val="00D37DDF"/>
    <w:rsid w:val="00D42156"/>
    <w:rsid w:val="00D43CEA"/>
    <w:rsid w:val="00D46B81"/>
    <w:rsid w:val="00D47A04"/>
    <w:rsid w:val="00D51AE5"/>
    <w:rsid w:val="00D567F6"/>
    <w:rsid w:val="00D56BA0"/>
    <w:rsid w:val="00D628F0"/>
    <w:rsid w:val="00D642A6"/>
    <w:rsid w:val="00D651ED"/>
    <w:rsid w:val="00D67768"/>
    <w:rsid w:val="00D7001E"/>
    <w:rsid w:val="00D7468A"/>
    <w:rsid w:val="00D74968"/>
    <w:rsid w:val="00D74A13"/>
    <w:rsid w:val="00D76B05"/>
    <w:rsid w:val="00D8018A"/>
    <w:rsid w:val="00D803C0"/>
    <w:rsid w:val="00D82F80"/>
    <w:rsid w:val="00D82F87"/>
    <w:rsid w:val="00D861AF"/>
    <w:rsid w:val="00D92046"/>
    <w:rsid w:val="00D96550"/>
    <w:rsid w:val="00D97FB9"/>
    <w:rsid w:val="00DA120A"/>
    <w:rsid w:val="00DA1717"/>
    <w:rsid w:val="00DA260C"/>
    <w:rsid w:val="00DA2F17"/>
    <w:rsid w:val="00DB21DA"/>
    <w:rsid w:val="00DB367C"/>
    <w:rsid w:val="00DC3FA1"/>
    <w:rsid w:val="00DC48D4"/>
    <w:rsid w:val="00DC69D3"/>
    <w:rsid w:val="00DC6EDD"/>
    <w:rsid w:val="00DC7EA4"/>
    <w:rsid w:val="00DD483C"/>
    <w:rsid w:val="00DD64D3"/>
    <w:rsid w:val="00DD6DB4"/>
    <w:rsid w:val="00DE2286"/>
    <w:rsid w:val="00DE283D"/>
    <w:rsid w:val="00DF0930"/>
    <w:rsid w:val="00DF165F"/>
    <w:rsid w:val="00DF1EA8"/>
    <w:rsid w:val="00DF46BC"/>
    <w:rsid w:val="00DF7E6A"/>
    <w:rsid w:val="00E00225"/>
    <w:rsid w:val="00E0170C"/>
    <w:rsid w:val="00E01A49"/>
    <w:rsid w:val="00E061DD"/>
    <w:rsid w:val="00E110FE"/>
    <w:rsid w:val="00E121DA"/>
    <w:rsid w:val="00E15E1C"/>
    <w:rsid w:val="00E17F62"/>
    <w:rsid w:val="00E20748"/>
    <w:rsid w:val="00E210D4"/>
    <w:rsid w:val="00E22901"/>
    <w:rsid w:val="00E248E8"/>
    <w:rsid w:val="00E24AA6"/>
    <w:rsid w:val="00E2674D"/>
    <w:rsid w:val="00E27FB4"/>
    <w:rsid w:val="00E35E76"/>
    <w:rsid w:val="00E362D3"/>
    <w:rsid w:val="00E37F1F"/>
    <w:rsid w:val="00E4259B"/>
    <w:rsid w:val="00E426DD"/>
    <w:rsid w:val="00E4327B"/>
    <w:rsid w:val="00E4380A"/>
    <w:rsid w:val="00E502EA"/>
    <w:rsid w:val="00E534FD"/>
    <w:rsid w:val="00E5350C"/>
    <w:rsid w:val="00E542B6"/>
    <w:rsid w:val="00E55074"/>
    <w:rsid w:val="00E64909"/>
    <w:rsid w:val="00E65102"/>
    <w:rsid w:val="00E7365E"/>
    <w:rsid w:val="00E74E72"/>
    <w:rsid w:val="00E76B5E"/>
    <w:rsid w:val="00E77529"/>
    <w:rsid w:val="00E775A5"/>
    <w:rsid w:val="00E7763F"/>
    <w:rsid w:val="00E80999"/>
    <w:rsid w:val="00E80F04"/>
    <w:rsid w:val="00E82BF0"/>
    <w:rsid w:val="00E830DE"/>
    <w:rsid w:val="00E8352C"/>
    <w:rsid w:val="00E86B81"/>
    <w:rsid w:val="00E879BC"/>
    <w:rsid w:val="00E93A4C"/>
    <w:rsid w:val="00E942C9"/>
    <w:rsid w:val="00E944AF"/>
    <w:rsid w:val="00E972EF"/>
    <w:rsid w:val="00E975B3"/>
    <w:rsid w:val="00EA0919"/>
    <w:rsid w:val="00EA2100"/>
    <w:rsid w:val="00EA2C4A"/>
    <w:rsid w:val="00EA71A3"/>
    <w:rsid w:val="00EB1EC6"/>
    <w:rsid w:val="00EB280B"/>
    <w:rsid w:val="00EB2B7C"/>
    <w:rsid w:val="00EB44A3"/>
    <w:rsid w:val="00EB75F6"/>
    <w:rsid w:val="00EB760C"/>
    <w:rsid w:val="00EC1AAA"/>
    <w:rsid w:val="00EC1BB2"/>
    <w:rsid w:val="00EC1C44"/>
    <w:rsid w:val="00EC284A"/>
    <w:rsid w:val="00EC3772"/>
    <w:rsid w:val="00ED0932"/>
    <w:rsid w:val="00ED1CE4"/>
    <w:rsid w:val="00ED3426"/>
    <w:rsid w:val="00ED5276"/>
    <w:rsid w:val="00ED6621"/>
    <w:rsid w:val="00ED6CEE"/>
    <w:rsid w:val="00EE3272"/>
    <w:rsid w:val="00EE4775"/>
    <w:rsid w:val="00EE6417"/>
    <w:rsid w:val="00EE65FE"/>
    <w:rsid w:val="00EF43CD"/>
    <w:rsid w:val="00F03729"/>
    <w:rsid w:val="00F10C92"/>
    <w:rsid w:val="00F20DED"/>
    <w:rsid w:val="00F21B6A"/>
    <w:rsid w:val="00F22F47"/>
    <w:rsid w:val="00F244AD"/>
    <w:rsid w:val="00F26542"/>
    <w:rsid w:val="00F319F6"/>
    <w:rsid w:val="00F32FF9"/>
    <w:rsid w:val="00F36426"/>
    <w:rsid w:val="00F36EB6"/>
    <w:rsid w:val="00F374E7"/>
    <w:rsid w:val="00F40168"/>
    <w:rsid w:val="00F4237F"/>
    <w:rsid w:val="00F43A03"/>
    <w:rsid w:val="00F44B65"/>
    <w:rsid w:val="00F52004"/>
    <w:rsid w:val="00F52324"/>
    <w:rsid w:val="00F52673"/>
    <w:rsid w:val="00F5400A"/>
    <w:rsid w:val="00F66014"/>
    <w:rsid w:val="00F66F2C"/>
    <w:rsid w:val="00F671CC"/>
    <w:rsid w:val="00F70A1E"/>
    <w:rsid w:val="00F718D7"/>
    <w:rsid w:val="00F72952"/>
    <w:rsid w:val="00F7367D"/>
    <w:rsid w:val="00F74D27"/>
    <w:rsid w:val="00F826C7"/>
    <w:rsid w:val="00F8273A"/>
    <w:rsid w:val="00F82BEC"/>
    <w:rsid w:val="00F82FDF"/>
    <w:rsid w:val="00F8582F"/>
    <w:rsid w:val="00F859F3"/>
    <w:rsid w:val="00F86AC5"/>
    <w:rsid w:val="00F86EFF"/>
    <w:rsid w:val="00F91C9A"/>
    <w:rsid w:val="00F95F42"/>
    <w:rsid w:val="00F969D7"/>
    <w:rsid w:val="00FA6D1B"/>
    <w:rsid w:val="00FA7502"/>
    <w:rsid w:val="00FB02E1"/>
    <w:rsid w:val="00FB4042"/>
    <w:rsid w:val="00FB7140"/>
    <w:rsid w:val="00FC2D1D"/>
    <w:rsid w:val="00FC39EC"/>
    <w:rsid w:val="00FC42FA"/>
    <w:rsid w:val="00FC5C0C"/>
    <w:rsid w:val="00FD0471"/>
    <w:rsid w:val="00FD2D2E"/>
    <w:rsid w:val="00FE0E42"/>
    <w:rsid w:val="00FE28DB"/>
    <w:rsid w:val="00FE2B2A"/>
    <w:rsid w:val="00FE4BB9"/>
    <w:rsid w:val="00FF0614"/>
    <w:rsid w:val="00FF0C85"/>
    <w:rsid w:val="00FF1776"/>
    <w:rsid w:val="00FF3B76"/>
    <w:rsid w:val="02B6463E"/>
    <w:rsid w:val="046C809F"/>
    <w:rsid w:val="075A3D59"/>
    <w:rsid w:val="0852DF84"/>
    <w:rsid w:val="09DAD224"/>
    <w:rsid w:val="0B9346A5"/>
    <w:rsid w:val="0BCABE48"/>
    <w:rsid w:val="0D8A3367"/>
    <w:rsid w:val="0E744D63"/>
    <w:rsid w:val="0E753345"/>
    <w:rsid w:val="103CC57A"/>
    <w:rsid w:val="16816B23"/>
    <w:rsid w:val="172041BA"/>
    <w:rsid w:val="19318A58"/>
    <w:rsid w:val="216DECE3"/>
    <w:rsid w:val="23C103A6"/>
    <w:rsid w:val="245168AB"/>
    <w:rsid w:val="254DD158"/>
    <w:rsid w:val="28DAA4D9"/>
    <w:rsid w:val="2D0CFEA7"/>
    <w:rsid w:val="34193800"/>
    <w:rsid w:val="34285E88"/>
    <w:rsid w:val="34D178DF"/>
    <w:rsid w:val="379CAE69"/>
    <w:rsid w:val="381C6AD8"/>
    <w:rsid w:val="3852045A"/>
    <w:rsid w:val="3A3A724B"/>
    <w:rsid w:val="3D7B41E1"/>
    <w:rsid w:val="3DCC9368"/>
    <w:rsid w:val="3F3FE832"/>
    <w:rsid w:val="407C8110"/>
    <w:rsid w:val="40DD2A4E"/>
    <w:rsid w:val="431874A6"/>
    <w:rsid w:val="43BE93A3"/>
    <w:rsid w:val="43BFE823"/>
    <w:rsid w:val="45D40915"/>
    <w:rsid w:val="464CB0CA"/>
    <w:rsid w:val="49B5A3B3"/>
    <w:rsid w:val="4A238294"/>
    <w:rsid w:val="55185D06"/>
    <w:rsid w:val="575A0F4E"/>
    <w:rsid w:val="5793E6CA"/>
    <w:rsid w:val="5D8ADE36"/>
    <w:rsid w:val="5E563518"/>
    <w:rsid w:val="65F739EF"/>
    <w:rsid w:val="67F1BF6A"/>
    <w:rsid w:val="68DF7570"/>
    <w:rsid w:val="6AD07F4A"/>
    <w:rsid w:val="6B016577"/>
    <w:rsid w:val="6BCB92F6"/>
    <w:rsid w:val="6C6FD6CA"/>
    <w:rsid w:val="6CCE37B8"/>
    <w:rsid w:val="7291183B"/>
    <w:rsid w:val="758937AF"/>
    <w:rsid w:val="7AB4207D"/>
    <w:rsid w:val="7D4A9FF1"/>
    <w:rsid w:val="7EF6BC4F"/>
    <w:rsid w:val="7F8BB7F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E22B1"/>
  <w15:docId w15:val="{60B6E535-3A97-4D91-8C0E-77CF2A19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EEA"/>
    <w:rPr>
      <w:rFonts w:ascii="Tahoma" w:hAnsi="Tahoma" w:cs="Tahoma"/>
      <w:sz w:val="16"/>
      <w:szCs w:val="16"/>
    </w:rPr>
  </w:style>
  <w:style w:type="paragraph" w:styleId="Header">
    <w:name w:val="header"/>
    <w:basedOn w:val="Normal"/>
    <w:link w:val="HeaderChar"/>
    <w:uiPriority w:val="99"/>
    <w:unhideWhenUsed/>
    <w:rsid w:val="003E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B1"/>
  </w:style>
  <w:style w:type="paragraph" w:styleId="Footer">
    <w:name w:val="footer"/>
    <w:basedOn w:val="Normal"/>
    <w:link w:val="FooterChar"/>
    <w:uiPriority w:val="99"/>
    <w:unhideWhenUsed/>
    <w:rsid w:val="003E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B1"/>
  </w:style>
  <w:style w:type="character" w:styleId="Emphasis">
    <w:name w:val="Emphasis"/>
    <w:basedOn w:val="DefaultParagraphFont"/>
    <w:uiPriority w:val="20"/>
    <w:qFormat/>
    <w:rsid w:val="00CF1F73"/>
    <w:rPr>
      <w:b/>
      <w:bCs/>
      <w:i w:val="0"/>
      <w:iCs w:val="0"/>
    </w:rPr>
  </w:style>
  <w:style w:type="table" w:styleId="TableGrid">
    <w:name w:val="Table Grid"/>
    <w:basedOn w:val="TableNormal"/>
    <w:uiPriority w:val="39"/>
    <w:rsid w:val="001F68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2E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A2100"/>
    <w:rPr>
      <w:color w:val="0000FF" w:themeColor="hyperlink"/>
      <w:u w:val="single"/>
    </w:rPr>
  </w:style>
  <w:style w:type="character" w:styleId="UnresolvedMention">
    <w:name w:val="Unresolved Mention"/>
    <w:basedOn w:val="DefaultParagraphFont"/>
    <w:uiPriority w:val="99"/>
    <w:semiHidden/>
    <w:unhideWhenUsed/>
    <w:rsid w:val="00EA2100"/>
    <w:rPr>
      <w:color w:val="605E5C"/>
      <w:shd w:val="clear" w:color="auto" w:fill="E1DFDD"/>
    </w:rPr>
  </w:style>
  <w:style w:type="paragraph" w:styleId="Revision">
    <w:name w:val="Revision"/>
    <w:hidden/>
    <w:uiPriority w:val="99"/>
    <w:semiHidden/>
    <w:rsid w:val="0089332A"/>
    <w:pPr>
      <w:spacing w:after="0" w:line="240" w:lineRule="auto"/>
    </w:pPr>
  </w:style>
  <w:style w:type="paragraph" w:styleId="ListParagraph">
    <w:name w:val="List Paragraph"/>
    <w:basedOn w:val="Normal"/>
    <w:uiPriority w:val="34"/>
    <w:qFormat/>
    <w:rsid w:val="00886FB1"/>
    <w:pPr>
      <w:ind w:left="720"/>
      <w:contextualSpacing/>
    </w:pPr>
  </w:style>
  <w:style w:type="paragraph" w:styleId="FootnoteText">
    <w:name w:val="footnote text"/>
    <w:basedOn w:val="Normal"/>
    <w:link w:val="FootnoteTextChar"/>
    <w:uiPriority w:val="99"/>
    <w:semiHidden/>
    <w:unhideWhenUsed/>
    <w:rsid w:val="0046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D87"/>
    <w:rPr>
      <w:sz w:val="20"/>
      <w:szCs w:val="20"/>
    </w:rPr>
  </w:style>
  <w:style w:type="character" w:styleId="FootnoteReference">
    <w:name w:val="footnote reference"/>
    <w:basedOn w:val="DefaultParagraphFont"/>
    <w:uiPriority w:val="99"/>
    <w:semiHidden/>
    <w:unhideWhenUsed/>
    <w:rsid w:val="00462D87"/>
    <w:rPr>
      <w:vertAlign w:val="superscript"/>
    </w:rPr>
  </w:style>
  <w:style w:type="character" w:styleId="LineNumber">
    <w:name w:val="line number"/>
    <w:basedOn w:val="DefaultParagraphFont"/>
    <w:uiPriority w:val="99"/>
    <w:semiHidden/>
    <w:unhideWhenUsed/>
    <w:rsid w:val="004926B8"/>
  </w:style>
  <w:style w:type="character" w:styleId="CommentReference">
    <w:name w:val="annotation reference"/>
    <w:basedOn w:val="DefaultParagraphFont"/>
    <w:uiPriority w:val="99"/>
    <w:semiHidden/>
    <w:unhideWhenUsed/>
    <w:rsid w:val="00B4621A"/>
    <w:rPr>
      <w:sz w:val="16"/>
      <w:szCs w:val="16"/>
    </w:rPr>
  </w:style>
  <w:style w:type="paragraph" w:styleId="CommentText">
    <w:name w:val="annotation text"/>
    <w:basedOn w:val="Normal"/>
    <w:link w:val="CommentTextChar"/>
    <w:uiPriority w:val="99"/>
    <w:unhideWhenUsed/>
    <w:rsid w:val="00B4621A"/>
    <w:pPr>
      <w:spacing w:line="240" w:lineRule="auto"/>
    </w:pPr>
    <w:rPr>
      <w:sz w:val="20"/>
      <w:szCs w:val="20"/>
    </w:rPr>
  </w:style>
  <w:style w:type="character" w:customStyle="1" w:styleId="CommentTextChar">
    <w:name w:val="Comment Text Char"/>
    <w:basedOn w:val="DefaultParagraphFont"/>
    <w:link w:val="CommentText"/>
    <w:uiPriority w:val="99"/>
    <w:rsid w:val="00B4621A"/>
    <w:rPr>
      <w:sz w:val="20"/>
      <w:szCs w:val="20"/>
    </w:rPr>
  </w:style>
  <w:style w:type="paragraph" w:styleId="CommentSubject">
    <w:name w:val="annotation subject"/>
    <w:basedOn w:val="CommentText"/>
    <w:next w:val="CommentText"/>
    <w:link w:val="CommentSubjectChar"/>
    <w:uiPriority w:val="99"/>
    <w:semiHidden/>
    <w:unhideWhenUsed/>
    <w:rsid w:val="00B4621A"/>
    <w:rPr>
      <w:b/>
      <w:bCs/>
    </w:rPr>
  </w:style>
  <w:style w:type="character" w:customStyle="1" w:styleId="CommentSubjectChar">
    <w:name w:val="Comment Subject Char"/>
    <w:basedOn w:val="CommentTextChar"/>
    <w:link w:val="CommentSubject"/>
    <w:uiPriority w:val="99"/>
    <w:semiHidden/>
    <w:rsid w:val="00B4621A"/>
    <w:rPr>
      <w:b/>
      <w:bCs/>
      <w:sz w:val="20"/>
      <w:szCs w:val="20"/>
    </w:rPr>
  </w:style>
  <w:style w:type="character" w:customStyle="1" w:styleId="oeb-solr-search-highlighted">
    <w:name w:val="oeb-solr-search-highlighted"/>
    <w:basedOn w:val="DefaultParagraphFont"/>
    <w:rsid w:val="006A3242"/>
  </w:style>
  <w:style w:type="character" w:styleId="Mention">
    <w:name w:val="Mention"/>
    <w:basedOn w:val="DefaultParagraphFont"/>
    <w:uiPriority w:val="99"/>
    <w:unhideWhenUsed/>
    <w:rsid w:val="00FE4B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5682">
      <w:bodyDiv w:val="1"/>
      <w:marLeft w:val="0"/>
      <w:marRight w:val="0"/>
      <w:marTop w:val="0"/>
      <w:marBottom w:val="0"/>
      <w:divBdr>
        <w:top w:val="none" w:sz="0" w:space="0" w:color="auto"/>
        <w:left w:val="none" w:sz="0" w:space="0" w:color="auto"/>
        <w:bottom w:val="none" w:sz="0" w:space="0" w:color="auto"/>
        <w:right w:val="none" w:sz="0" w:space="0" w:color="auto"/>
      </w:divBdr>
    </w:div>
    <w:div w:id="941450339">
      <w:bodyDiv w:val="1"/>
      <w:marLeft w:val="0"/>
      <w:marRight w:val="0"/>
      <w:marTop w:val="0"/>
      <w:marBottom w:val="0"/>
      <w:divBdr>
        <w:top w:val="none" w:sz="0" w:space="0" w:color="auto"/>
        <w:left w:val="none" w:sz="0" w:space="0" w:color="auto"/>
        <w:bottom w:val="none" w:sz="0" w:space="0" w:color="auto"/>
        <w:right w:val="none" w:sz="0" w:space="0" w:color="auto"/>
      </w:divBdr>
    </w:div>
    <w:div w:id="1136725281">
      <w:bodyDiv w:val="1"/>
      <w:marLeft w:val="0"/>
      <w:marRight w:val="0"/>
      <w:marTop w:val="0"/>
      <w:marBottom w:val="0"/>
      <w:divBdr>
        <w:top w:val="none" w:sz="0" w:space="0" w:color="auto"/>
        <w:left w:val="none" w:sz="0" w:space="0" w:color="auto"/>
        <w:bottom w:val="none" w:sz="0" w:space="0" w:color="auto"/>
        <w:right w:val="none" w:sz="0" w:space="0" w:color="auto"/>
      </w:divBdr>
    </w:div>
    <w:div w:id="1187330860">
      <w:bodyDiv w:val="1"/>
      <w:marLeft w:val="0"/>
      <w:marRight w:val="0"/>
      <w:marTop w:val="0"/>
      <w:marBottom w:val="0"/>
      <w:divBdr>
        <w:top w:val="none" w:sz="0" w:space="0" w:color="auto"/>
        <w:left w:val="none" w:sz="0" w:space="0" w:color="auto"/>
        <w:bottom w:val="none" w:sz="0" w:space="0" w:color="auto"/>
        <w:right w:val="none" w:sz="0" w:space="0" w:color="auto"/>
      </w:divBdr>
    </w:div>
    <w:div w:id="1216089248">
      <w:bodyDiv w:val="1"/>
      <w:marLeft w:val="0"/>
      <w:marRight w:val="0"/>
      <w:marTop w:val="0"/>
      <w:marBottom w:val="0"/>
      <w:divBdr>
        <w:top w:val="none" w:sz="0" w:space="0" w:color="auto"/>
        <w:left w:val="none" w:sz="0" w:space="0" w:color="auto"/>
        <w:bottom w:val="none" w:sz="0" w:space="0" w:color="auto"/>
        <w:right w:val="none" w:sz="0" w:space="0" w:color="auto"/>
      </w:divBdr>
    </w:div>
    <w:div w:id="1632130577">
      <w:bodyDiv w:val="1"/>
      <w:marLeft w:val="0"/>
      <w:marRight w:val="0"/>
      <w:marTop w:val="0"/>
      <w:marBottom w:val="0"/>
      <w:divBdr>
        <w:top w:val="none" w:sz="0" w:space="0" w:color="auto"/>
        <w:left w:val="none" w:sz="0" w:space="0" w:color="auto"/>
        <w:bottom w:val="none" w:sz="0" w:space="0" w:color="auto"/>
        <w:right w:val="none" w:sz="0" w:space="0" w:color="auto"/>
      </w:divBdr>
    </w:div>
    <w:div w:id="1678191985">
      <w:bodyDiv w:val="1"/>
      <w:marLeft w:val="0"/>
      <w:marRight w:val="0"/>
      <w:marTop w:val="0"/>
      <w:marBottom w:val="0"/>
      <w:divBdr>
        <w:top w:val="none" w:sz="0" w:space="0" w:color="auto"/>
        <w:left w:val="none" w:sz="0" w:space="0" w:color="auto"/>
        <w:bottom w:val="none" w:sz="0" w:space="0" w:color="auto"/>
        <w:right w:val="none" w:sz="0" w:space="0" w:color="auto"/>
      </w:divBdr>
    </w:div>
    <w:div w:id="1844003277">
      <w:bodyDiv w:val="1"/>
      <w:marLeft w:val="0"/>
      <w:marRight w:val="0"/>
      <w:marTop w:val="0"/>
      <w:marBottom w:val="0"/>
      <w:divBdr>
        <w:top w:val="none" w:sz="0" w:space="0" w:color="auto"/>
        <w:left w:val="none" w:sz="0" w:space="0" w:color="auto"/>
        <w:bottom w:val="none" w:sz="0" w:space="0" w:color="auto"/>
        <w:right w:val="none" w:sz="0" w:space="0" w:color="auto"/>
      </w:divBdr>
    </w:div>
    <w:div w:id="20431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471336-afb1-4cde-a276-2d6acc6bcfc0" xsi:nil="true"/>
    <lcf76f155ced4ddcb4097134ff3c332f xmlns="8367ee9a-2bad-4275-a510-c35595ceaa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12" ma:contentTypeDescription="Create a new document." ma:contentTypeScope="" ma:versionID="29a57008a3dca2c86284ec16531ed154">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b271d8e890cf04ba91f26be7f23b6620" ns2:_="" ns3:_="">
    <xsd:import namespace="8367ee9a-2bad-4275-a510-c35595ceaaf6"/>
    <xsd:import namespace="01471336-afb1-4cde-a276-2d6acc6bc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F846E-CD57-4D23-BA46-B540C698B389}">
  <ds:schemaRefs>
    <ds:schemaRef ds:uri="http://schemas.microsoft.com/sharepoint/v3/contenttype/forms"/>
  </ds:schemaRefs>
</ds:datastoreItem>
</file>

<file path=customXml/itemProps2.xml><?xml version="1.0" encoding="utf-8"?>
<ds:datastoreItem xmlns:ds="http://schemas.openxmlformats.org/officeDocument/2006/customXml" ds:itemID="{6A0DA224-687E-4372-8D0F-DDB932FC8EB5}">
  <ds:schemaRefs>
    <ds:schemaRef ds:uri="http://schemas.microsoft.com/office/2006/metadata/properties"/>
    <ds:schemaRef ds:uri="http://schemas.microsoft.com/office/infopath/2007/PartnerControls"/>
    <ds:schemaRef ds:uri="01471336-afb1-4cde-a276-2d6acc6bcfc0"/>
    <ds:schemaRef ds:uri="8367ee9a-2bad-4275-a510-c35595ceaaf6"/>
  </ds:schemaRefs>
</ds:datastoreItem>
</file>

<file path=customXml/itemProps3.xml><?xml version="1.0" encoding="utf-8"?>
<ds:datastoreItem xmlns:ds="http://schemas.openxmlformats.org/officeDocument/2006/customXml" ds:itemID="{532BD7BE-8538-441E-94D8-C3342F58F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2ACF4-0060-4723-9BB3-2E9D7FE1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1915</Words>
  <Characters>10269</Characters>
  <Application>Microsoft Office Word</Application>
  <DocSecurity>0</DocSecurity>
  <Lines>293</Lines>
  <Paragraphs>124</Paragraphs>
  <ScaleCrop>false</ScaleCrop>
  <HeadingPairs>
    <vt:vector size="2" baseType="variant">
      <vt:variant>
        <vt:lpstr>Title</vt:lpstr>
      </vt:variant>
      <vt:variant>
        <vt:i4>1</vt:i4>
      </vt:variant>
    </vt:vector>
  </HeadingPairs>
  <TitlesOfParts>
    <vt:vector size="1" baseType="lpstr">
      <vt:lpstr>OEB Staff Interrogatories with Cover Letter - Panel</vt:lpstr>
    </vt:vector>
  </TitlesOfParts>
  <Company>OEB</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OEB Staff Interrogatories with Cover Letter - Panel</dc:title>
  <dc:subject/>
  <dc:creator>OEB</dc:creator>
  <cp:keywords/>
  <cp:lastModifiedBy>Urooj Iqbal</cp:lastModifiedBy>
  <cp:revision>3</cp:revision>
  <cp:lastPrinted>2018-01-26T00:21:00Z</cp:lastPrinted>
  <dcterms:created xsi:type="dcterms:W3CDTF">2024-10-01T13:37:00Z</dcterms:created>
  <dcterms:modified xsi:type="dcterms:W3CDTF">2024-10-01T13:43:00Z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ies>
</file>