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8E0D6" w14:textId="3259256B" w:rsidR="00A07077" w:rsidRPr="00D57E8C" w:rsidRDefault="00025703" w:rsidP="00A07077">
      <w:pPr>
        <w:pStyle w:val="Default"/>
        <w:jc w:val="center"/>
        <w:rPr>
          <w:rFonts w:ascii="Arial" w:hAnsi="Arial" w:cs="Arial"/>
          <w:sz w:val="28"/>
          <w:szCs w:val="28"/>
        </w:rPr>
      </w:pPr>
      <w:r>
        <w:rPr>
          <w:rFonts w:ascii="Arial" w:hAnsi="Arial" w:cs="Arial"/>
          <w:b/>
          <w:bCs/>
          <w:sz w:val="28"/>
          <w:szCs w:val="28"/>
        </w:rPr>
        <w:t>Cooperative Hydro Embrun Inc.</w:t>
      </w:r>
    </w:p>
    <w:p w14:paraId="33D6510D" w14:textId="118F31B4" w:rsidR="00A07077" w:rsidRPr="00164832" w:rsidRDefault="00623602" w:rsidP="00AB251C">
      <w:pPr>
        <w:pStyle w:val="Default"/>
        <w:spacing w:after="360"/>
        <w:contextualSpacing/>
        <w:jc w:val="center"/>
        <w:rPr>
          <w:rFonts w:ascii="Arial" w:hAnsi="Arial" w:cs="Arial"/>
          <w:b/>
          <w:bCs/>
          <w:sz w:val="28"/>
          <w:szCs w:val="28"/>
        </w:rPr>
      </w:pPr>
      <w:r w:rsidRPr="00164832">
        <w:rPr>
          <w:rFonts w:ascii="Arial" w:hAnsi="Arial" w:cs="Arial"/>
          <w:b/>
          <w:bCs/>
          <w:sz w:val="28"/>
          <w:szCs w:val="28"/>
        </w:rPr>
        <w:t>EB-20</w:t>
      </w:r>
      <w:r w:rsidR="00025703" w:rsidRPr="00164832">
        <w:rPr>
          <w:rFonts w:ascii="Arial" w:hAnsi="Arial" w:cs="Arial"/>
          <w:b/>
          <w:bCs/>
          <w:sz w:val="28"/>
          <w:szCs w:val="28"/>
        </w:rPr>
        <w:t>24-0014</w:t>
      </w:r>
    </w:p>
    <w:p w14:paraId="5999C199" w14:textId="60D864D3" w:rsidR="00D77124" w:rsidRDefault="00164832" w:rsidP="00AB251C">
      <w:pPr>
        <w:pStyle w:val="Default"/>
        <w:spacing w:after="360"/>
        <w:contextualSpacing/>
        <w:jc w:val="center"/>
        <w:rPr>
          <w:rFonts w:ascii="Arial" w:hAnsi="Arial" w:cs="Arial"/>
          <w:b/>
          <w:bCs/>
          <w:sz w:val="28"/>
          <w:szCs w:val="28"/>
        </w:rPr>
      </w:pPr>
      <w:r w:rsidRPr="00164832">
        <w:rPr>
          <w:rFonts w:ascii="Arial" w:hAnsi="Arial" w:cs="Arial"/>
          <w:b/>
          <w:bCs/>
          <w:sz w:val="28"/>
          <w:szCs w:val="28"/>
        </w:rPr>
        <w:t>October 4, 2024</w:t>
      </w:r>
    </w:p>
    <w:p w14:paraId="2A0CB1B0" w14:textId="717BD9B8" w:rsidR="00E86F26" w:rsidRPr="00E86F26" w:rsidRDefault="00E86F26" w:rsidP="00AB251C">
      <w:pPr>
        <w:autoSpaceDE w:val="0"/>
        <w:autoSpaceDN w:val="0"/>
        <w:adjustRightInd w:val="0"/>
        <w:spacing w:after="24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025703">
        <w:rPr>
          <w:rFonts w:ascii="Arial" w:eastAsia="Calibri" w:hAnsi="Arial" w:cs="Arial"/>
          <w:sz w:val="24"/>
          <w:szCs w:val="24"/>
        </w:rPr>
        <w:t>Cooperative Hydro Embrun Inc.</w:t>
      </w:r>
      <w:r w:rsidR="00D77124">
        <w:rPr>
          <w:rFonts w:ascii="Arial" w:eastAsia="Calibri" w:hAnsi="Arial" w:cs="Arial"/>
          <w:sz w:val="24"/>
          <w:szCs w:val="24"/>
        </w:rPr>
        <w:t xml:space="preserve"> (</w:t>
      </w:r>
      <w:r w:rsidR="00025703">
        <w:rPr>
          <w:rFonts w:ascii="Arial" w:eastAsia="Calibri" w:hAnsi="Arial" w:cs="Arial"/>
          <w:sz w:val="24"/>
          <w:szCs w:val="24"/>
        </w:rPr>
        <w:t>Cooperative Hydro</w:t>
      </w:r>
      <w:r w:rsidR="00D77124">
        <w:rPr>
          <w:rFonts w:ascii="Arial" w:eastAsia="Calibri" w:hAnsi="Arial" w:cs="Arial"/>
          <w:sz w:val="24"/>
          <w:szCs w:val="24"/>
        </w:rPr>
        <w:t>)</w:t>
      </w:r>
      <w:r w:rsidRPr="00E86F26">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7CFAFC4F" w14:textId="77777777" w:rsidR="00D57E8C" w:rsidRDefault="00D57E8C" w:rsidP="00AB251C">
      <w:pPr>
        <w:spacing w:after="240"/>
        <w:rPr>
          <w:rFonts w:ascii="Arial" w:hAnsi="Arial" w:cs="Arial"/>
          <w:b/>
          <w:sz w:val="24"/>
          <w:szCs w:val="24"/>
        </w:rPr>
      </w:pPr>
      <w:r>
        <w:rPr>
          <w:rFonts w:ascii="Arial" w:hAnsi="Arial" w:cs="Arial"/>
          <w:b/>
          <w:sz w:val="24"/>
          <w:szCs w:val="24"/>
        </w:rPr>
        <w:t>Staff Question-1</w:t>
      </w:r>
    </w:p>
    <w:p w14:paraId="17EB0389" w14:textId="374FD707" w:rsidR="00A670C5" w:rsidRDefault="00406D5F" w:rsidP="00A670C5">
      <w:pPr>
        <w:pStyle w:val="Default"/>
        <w:spacing w:line="276" w:lineRule="auto"/>
        <w:rPr>
          <w:rFonts w:ascii="Arial" w:hAnsi="Arial" w:cs="Arial"/>
          <w:b/>
          <w:bCs/>
        </w:rPr>
      </w:pPr>
      <w:r>
        <w:rPr>
          <w:rFonts w:ascii="Arial" w:hAnsi="Arial" w:cs="Arial"/>
          <w:b/>
          <w:bCs/>
        </w:rPr>
        <w:t>Ref: Manager Summary Pg 5 and Pg 7</w:t>
      </w:r>
    </w:p>
    <w:p w14:paraId="444465FA" w14:textId="6AB045DF" w:rsidR="00406D5F" w:rsidRDefault="00406D5F" w:rsidP="00A670C5">
      <w:pPr>
        <w:pStyle w:val="Default"/>
        <w:spacing w:line="276" w:lineRule="auto"/>
        <w:rPr>
          <w:rFonts w:ascii="Arial" w:hAnsi="Arial" w:cs="Arial"/>
          <w:b/>
          <w:bCs/>
        </w:rPr>
      </w:pPr>
      <w:r>
        <w:rPr>
          <w:rFonts w:ascii="Arial" w:hAnsi="Arial" w:cs="Arial"/>
          <w:b/>
          <w:bCs/>
        </w:rPr>
        <w:t>Ref: Rate Generator Model</w:t>
      </w:r>
      <w:r w:rsidR="00451CCE">
        <w:rPr>
          <w:rFonts w:ascii="Arial" w:hAnsi="Arial" w:cs="Arial"/>
          <w:b/>
          <w:bCs/>
        </w:rPr>
        <w:t xml:space="preserve"> Tab 17</w:t>
      </w:r>
    </w:p>
    <w:p w14:paraId="718222D0" w14:textId="77777777" w:rsidR="00406D5F" w:rsidRDefault="00406D5F" w:rsidP="00A670C5">
      <w:pPr>
        <w:pStyle w:val="Default"/>
        <w:spacing w:line="276" w:lineRule="auto"/>
        <w:rPr>
          <w:rFonts w:ascii="Arial" w:hAnsi="Arial" w:cs="Arial"/>
          <w:b/>
          <w:bCs/>
        </w:rPr>
      </w:pPr>
    </w:p>
    <w:p w14:paraId="06F14580" w14:textId="57D39C60" w:rsidR="00451CCE" w:rsidRDefault="00406D5F" w:rsidP="00A670C5">
      <w:pPr>
        <w:pStyle w:val="Default"/>
        <w:spacing w:line="276" w:lineRule="auto"/>
        <w:rPr>
          <w:rFonts w:ascii="Arial" w:hAnsi="Arial" w:cs="Arial"/>
        </w:rPr>
      </w:pPr>
      <w:r>
        <w:rPr>
          <w:rFonts w:ascii="Arial" w:hAnsi="Arial" w:cs="Arial"/>
        </w:rPr>
        <w:t xml:space="preserve">On Page 5 of the Managers Summary Cooperative Hydro states “CHEI notes that it is </w:t>
      </w:r>
      <w:r w:rsidRPr="00406D5F">
        <w:rPr>
          <w:rFonts w:ascii="Arial" w:hAnsi="Arial" w:cs="Arial"/>
          <w:u w:val="single"/>
        </w:rPr>
        <w:t>not</w:t>
      </w:r>
      <w:r>
        <w:rPr>
          <w:rFonts w:ascii="Arial" w:hAnsi="Arial" w:cs="Arial"/>
        </w:rPr>
        <w:t xml:space="preserve"> the Price Cap Incentive Rate-Setting (“Price Cap IR”) option </w:t>
      </w:r>
      <w:r w:rsidR="00451CCE">
        <w:rPr>
          <w:rFonts w:ascii="Arial" w:hAnsi="Arial" w:cs="Arial"/>
        </w:rPr>
        <w:t>to adjust its 2024 rates.” Then on Page 7 of the Managers Summary Cooperative Hydro states “CHEI is seeking a Price Cap adjustment in 2024 rates.”</w:t>
      </w:r>
    </w:p>
    <w:p w14:paraId="403106E7" w14:textId="77777777" w:rsidR="00451CCE" w:rsidRDefault="00451CCE" w:rsidP="00A670C5">
      <w:pPr>
        <w:pStyle w:val="Default"/>
        <w:spacing w:line="276" w:lineRule="auto"/>
        <w:rPr>
          <w:rFonts w:ascii="Arial" w:hAnsi="Arial" w:cs="Arial"/>
        </w:rPr>
      </w:pPr>
    </w:p>
    <w:p w14:paraId="1AE95F09" w14:textId="106CE176" w:rsidR="00451CCE" w:rsidRDefault="00451CCE" w:rsidP="00A670C5">
      <w:pPr>
        <w:pStyle w:val="Default"/>
        <w:spacing w:line="276" w:lineRule="auto"/>
        <w:rPr>
          <w:rFonts w:ascii="Arial" w:hAnsi="Arial" w:cs="Arial"/>
          <w:b/>
          <w:bCs/>
        </w:rPr>
      </w:pPr>
      <w:r w:rsidRPr="00451CCE">
        <w:rPr>
          <w:rFonts w:ascii="Arial" w:hAnsi="Arial" w:cs="Arial"/>
          <w:b/>
          <w:bCs/>
        </w:rPr>
        <w:t>Question:</w:t>
      </w:r>
    </w:p>
    <w:p w14:paraId="1E54C420" w14:textId="77777777" w:rsidR="00451CCE" w:rsidRPr="00451CCE" w:rsidRDefault="00451CCE" w:rsidP="00A670C5">
      <w:pPr>
        <w:pStyle w:val="Default"/>
        <w:spacing w:line="276" w:lineRule="auto"/>
        <w:rPr>
          <w:rFonts w:ascii="Arial" w:hAnsi="Arial" w:cs="Arial"/>
        </w:rPr>
      </w:pPr>
    </w:p>
    <w:p w14:paraId="2DBDD922" w14:textId="28FBB324" w:rsidR="00451CCE" w:rsidRPr="00451CCE" w:rsidRDefault="00451CCE" w:rsidP="00A670C5">
      <w:pPr>
        <w:pStyle w:val="Default"/>
        <w:spacing w:line="276" w:lineRule="auto"/>
        <w:rPr>
          <w:rFonts w:ascii="Arial" w:hAnsi="Arial" w:cs="Arial"/>
        </w:rPr>
      </w:pPr>
      <w:r w:rsidRPr="00451CCE">
        <w:rPr>
          <w:rFonts w:ascii="Arial" w:hAnsi="Arial" w:cs="Arial"/>
        </w:rPr>
        <w:t>Please confirm Cooper</w:t>
      </w:r>
      <w:r>
        <w:rPr>
          <w:rFonts w:ascii="Arial" w:hAnsi="Arial" w:cs="Arial"/>
        </w:rPr>
        <w:t>at</w:t>
      </w:r>
      <w:r w:rsidRPr="00451CCE">
        <w:rPr>
          <w:rFonts w:ascii="Arial" w:hAnsi="Arial" w:cs="Arial"/>
        </w:rPr>
        <w:t xml:space="preserve">ive Hydro is applying for the Price Cap Increase. </w:t>
      </w:r>
    </w:p>
    <w:p w14:paraId="2BAC8125" w14:textId="77777777" w:rsidR="00451CCE" w:rsidRPr="00451CCE" w:rsidRDefault="00451CCE" w:rsidP="00A670C5">
      <w:pPr>
        <w:pStyle w:val="Default"/>
        <w:spacing w:line="276" w:lineRule="auto"/>
        <w:rPr>
          <w:rFonts w:ascii="Arial" w:hAnsi="Arial" w:cs="Arial"/>
        </w:rPr>
      </w:pPr>
    </w:p>
    <w:p w14:paraId="0E255058" w14:textId="77777777" w:rsidR="00451CCE" w:rsidRPr="00451CCE" w:rsidRDefault="00451CCE" w:rsidP="00A670C5">
      <w:pPr>
        <w:pStyle w:val="Default"/>
        <w:spacing w:line="276" w:lineRule="auto"/>
        <w:rPr>
          <w:rFonts w:ascii="Arial" w:hAnsi="Arial" w:cs="Arial"/>
          <w:vanish/>
        </w:rPr>
      </w:pPr>
    </w:p>
    <w:p w14:paraId="243F955B" w14:textId="50C77CEB" w:rsidR="00A670C5" w:rsidRPr="00A670C5" w:rsidRDefault="00A670C5" w:rsidP="00A670C5">
      <w:pPr>
        <w:pStyle w:val="Default"/>
        <w:spacing w:line="276" w:lineRule="auto"/>
        <w:rPr>
          <w:rFonts w:ascii="Arial" w:hAnsi="Arial" w:cs="Arial"/>
          <w:b/>
          <w:bCs/>
        </w:rPr>
      </w:pPr>
      <w:r w:rsidRPr="00A670C5">
        <w:rPr>
          <w:rFonts w:ascii="Arial" w:hAnsi="Arial" w:cs="Arial"/>
          <w:b/>
          <w:bCs/>
        </w:rPr>
        <w:t>Staff Question-2</w:t>
      </w:r>
    </w:p>
    <w:p w14:paraId="365188EB" w14:textId="77777777" w:rsidR="00A670C5" w:rsidRPr="00A670C5" w:rsidRDefault="00A670C5" w:rsidP="00A670C5">
      <w:pPr>
        <w:pStyle w:val="Default"/>
        <w:spacing w:line="276" w:lineRule="auto"/>
        <w:rPr>
          <w:rFonts w:ascii="Arial" w:hAnsi="Arial" w:cs="Arial"/>
        </w:rPr>
      </w:pPr>
    </w:p>
    <w:p w14:paraId="70FE766F" w14:textId="77777777" w:rsidR="00A670C5" w:rsidRPr="00A670C5" w:rsidRDefault="00A670C5" w:rsidP="00A670C5">
      <w:pPr>
        <w:pStyle w:val="Default"/>
        <w:spacing w:line="276" w:lineRule="auto"/>
        <w:rPr>
          <w:rFonts w:ascii="Arial" w:hAnsi="Arial" w:cs="Arial"/>
          <w:b/>
          <w:bCs/>
        </w:rPr>
      </w:pPr>
      <w:r w:rsidRPr="00A670C5">
        <w:rPr>
          <w:rFonts w:ascii="Arial" w:hAnsi="Arial" w:cs="Arial"/>
          <w:b/>
          <w:bCs/>
        </w:rPr>
        <w:t xml:space="preserve">Ref: Rate Generator Model, Tab 3, Continuity Schedule </w:t>
      </w:r>
    </w:p>
    <w:p w14:paraId="6D128312" w14:textId="77777777" w:rsidR="00A670C5" w:rsidRPr="00A670C5" w:rsidRDefault="00A670C5" w:rsidP="00A670C5">
      <w:pPr>
        <w:pStyle w:val="Default"/>
        <w:spacing w:line="276" w:lineRule="auto"/>
        <w:rPr>
          <w:rFonts w:ascii="Arial" w:hAnsi="Arial" w:cs="Arial"/>
        </w:rPr>
      </w:pPr>
    </w:p>
    <w:p w14:paraId="7A3B4864" w14:textId="14FDE65B" w:rsidR="00A670C5" w:rsidRPr="00A670C5" w:rsidRDefault="00A670C5" w:rsidP="00A670C5">
      <w:pPr>
        <w:pStyle w:val="Default"/>
        <w:spacing w:line="276" w:lineRule="auto"/>
        <w:rPr>
          <w:rFonts w:ascii="Arial" w:hAnsi="Arial" w:cs="Arial"/>
        </w:rPr>
      </w:pPr>
      <w:r w:rsidRPr="00A670C5">
        <w:rPr>
          <w:rFonts w:ascii="Arial" w:hAnsi="Arial" w:cs="Arial"/>
        </w:rPr>
        <w:t>On September 1</w:t>
      </w:r>
      <w:r>
        <w:rPr>
          <w:rFonts w:ascii="Arial" w:hAnsi="Arial" w:cs="Arial"/>
        </w:rPr>
        <w:t>3</w:t>
      </w:r>
      <w:r w:rsidRPr="00A670C5">
        <w:rPr>
          <w:rFonts w:ascii="Arial" w:hAnsi="Arial" w:cs="Arial"/>
        </w:rPr>
        <w:t>, 202</w:t>
      </w:r>
      <w:r>
        <w:rPr>
          <w:rFonts w:ascii="Arial" w:hAnsi="Arial" w:cs="Arial"/>
        </w:rPr>
        <w:t>4</w:t>
      </w:r>
      <w:r w:rsidRPr="00A670C5">
        <w:rPr>
          <w:rFonts w:ascii="Arial" w:hAnsi="Arial" w:cs="Arial"/>
        </w:rPr>
        <w:t>, the OEB published the 202</w:t>
      </w:r>
      <w:r>
        <w:rPr>
          <w:rFonts w:ascii="Arial" w:hAnsi="Arial" w:cs="Arial"/>
        </w:rPr>
        <w:t>4</w:t>
      </w:r>
      <w:r w:rsidRPr="00A670C5">
        <w:rPr>
          <w:rFonts w:ascii="Arial" w:hAnsi="Arial" w:cs="Arial"/>
        </w:rPr>
        <w:t xml:space="preserve"> Quarter 4 prescribed accounting interest rates applicable to the carrying charges of deferral, </w:t>
      </w:r>
      <w:proofErr w:type="gramStart"/>
      <w:r w:rsidRPr="00A670C5">
        <w:rPr>
          <w:rFonts w:ascii="Arial" w:hAnsi="Arial" w:cs="Arial"/>
        </w:rPr>
        <w:t>variance</w:t>
      </w:r>
      <w:proofErr w:type="gramEnd"/>
      <w:r w:rsidRPr="00A670C5">
        <w:rPr>
          <w:rFonts w:ascii="Arial" w:hAnsi="Arial" w:cs="Arial"/>
        </w:rPr>
        <w:t xml:space="preserve"> and construction work in progress (CWIP) accounts of natural gas utilities, electricity distributors and other rate-regulated entities.</w:t>
      </w:r>
    </w:p>
    <w:p w14:paraId="4F551219" w14:textId="77777777" w:rsidR="00A670C5" w:rsidRPr="00A670C5" w:rsidRDefault="00A670C5" w:rsidP="00A670C5">
      <w:pPr>
        <w:pStyle w:val="Default"/>
        <w:spacing w:line="276" w:lineRule="auto"/>
        <w:rPr>
          <w:rFonts w:ascii="Arial" w:hAnsi="Arial" w:cs="Arial"/>
          <w:b/>
          <w:bCs/>
        </w:rPr>
      </w:pPr>
    </w:p>
    <w:p w14:paraId="0DA426F8" w14:textId="77777777" w:rsidR="00A670C5" w:rsidRPr="00A670C5" w:rsidRDefault="00A670C5" w:rsidP="00A670C5">
      <w:pPr>
        <w:pStyle w:val="Default"/>
        <w:spacing w:line="276" w:lineRule="auto"/>
        <w:rPr>
          <w:rFonts w:ascii="Arial" w:hAnsi="Arial" w:cs="Arial"/>
          <w:b/>
          <w:bCs/>
        </w:rPr>
      </w:pPr>
      <w:r w:rsidRPr="00A670C5">
        <w:rPr>
          <w:rFonts w:ascii="Arial" w:hAnsi="Arial" w:cs="Arial"/>
          <w:b/>
          <w:bCs/>
        </w:rPr>
        <w:t xml:space="preserve">Question: </w:t>
      </w:r>
    </w:p>
    <w:p w14:paraId="6D77C26C" w14:textId="77777777" w:rsidR="00A670C5" w:rsidRPr="00A670C5" w:rsidRDefault="00A670C5" w:rsidP="00A670C5">
      <w:pPr>
        <w:pStyle w:val="Default"/>
        <w:spacing w:line="276" w:lineRule="auto"/>
        <w:rPr>
          <w:rFonts w:ascii="Arial" w:hAnsi="Arial" w:cs="Arial"/>
        </w:rPr>
      </w:pPr>
    </w:p>
    <w:p w14:paraId="266A8A45" w14:textId="2E391840" w:rsidR="00A670C5" w:rsidRPr="00A670C5" w:rsidRDefault="00A670C5" w:rsidP="00A670C5">
      <w:pPr>
        <w:spacing w:after="0"/>
        <w:rPr>
          <w:rFonts w:ascii="Arial" w:hAnsi="Arial" w:cs="Arial"/>
          <w:sz w:val="24"/>
          <w:szCs w:val="24"/>
        </w:rPr>
      </w:pPr>
      <w:r w:rsidRPr="00A670C5">
        <w:rPr>
          <w:rFonts w:ascii="Arial" w:hAnsi="Arial" w:cs="Arial"/>
          <w:sz w:val="24"/>
          <w:szCs w:val="24"/>
        </w:rPr>
        <w:t>Please update Tab 3 (Continuity Schedule) as necessary to reflect the Q4 202</w:t>
      </w:r>
      <w:r>
        <w:rPr>
          <w:rFonts w:ascii="Arial" w:hAnsi="Arial" w:cs="Arial"/>
          <w:sz w:val="24"/>
          <w:szCs w:val="24"/>
        </w:rPr>
        <w:t>4</w:t>
      </w:r>
      <w:r w:rsidRPr="00A670C5">
        <w:rPr>
          <w:rFonts w:ascii="Arial" w:hAnsi="Arial" w:cs="Arial"/>
          <w:sz w:val="24"/>
          <w:szCs w:val="24"/>
        </w:rPr>
        <w:t xml:space="preserve"> OEB-prescribed interest rate of </w:t>
      </w:r>
      <w:r>
        <w:rPr>
          <w:rFonts w:ascii="Arial" w:hAnsi="Arial" w:cs="Arial"/>
          <w:sz w:val="24"/>
          <w:szCs w:val="24"/>
        </w:rPr>
        <w:t>4.40</w:t>
      </w:r>
      <w:r w:rsidRPr="00A670C5">
        <w:rPr>
          <w:rFonts w:ascii="Arial" w:hAnsi="Arial" w:cs="Arial"/>
          <w:sz w:val="24"/>
          <w:szCs w:val="24"/>
        </w:rPr>
        <w:t>%.</w:t>
      </w:r>
    </w:p>
    <w:p w14:paraId="43AE605B" w14:textId="77777777" w:rsidR="00D57E8C" w:rsidRDefault="00D57E8C" w:rsidP="00AB251C">
      <w:pPr>
        <w:spacing w:after="240"/>
        <w:rPr>
          <w:rFonts w:ascii="Arial" w:hAnsi="Arial" w:cs="Arial"/>
          <w:b/>
          <w:sz w:val="24"/>
          <w:szCs w:val="24"/>
        </w:rPr>
      </w:pPr>
    </w:p>
    <w:p w14:paraId="6AE936A1" w14:textId="77777777" w:rsidR="008741EB" w:rsidRDefault="008741EB" w:rsidP="00EC50AA">
      <w:pPr>
        <w:spacing w:after="240"/>
        <w:rPr>
          <w:rFonts w:ascii="Arial" w:hAnsi="Arial" w:cs="Arial"/>
          <w:b/>
          <w:sz w:val="24"/>
          <w:szCs w:val="24"/>
        </w:rPr>
      </w:pPr>
    </w:p>
    <w:p w14:paraId="6018B82B" w14:textId="77777777" w:rsidR="008741EB" w:rsidRDefault="008741EB" w:rsidP="00EC50AA">
      <w:pPr>
        <w:spacing w:after="240"/>
        <w:rPr>
          <w:rFonts w:ascii="Arial" w:hAnsi="Arial" w:cs="Arial"/>
          <w:b/>
          <w:sz w:val="24"/>
          <w:szCs w:val="24"/>
        </w:rPr>
      </w:pPr>
    </w:p>
    <w:p w14:paraId="0E3EEB8F" w14:textId="0FE1AF8F" w:rsidR="00EC50AA" w:rsidRDefault="00EC50AA" w:rsidP="00EC50AA">
      <w:pPr>
        <w:spacing w:after="240"/>
        <w:rPr>
          <w:rFonts w:ascii="Arial" w:hAnsi="Arial" w:cs="Arial"/>
          <w:b/>
          <w:sz w:val="24"/>
          <w:szCs w:val="24"/>
        </w:rPr>
      </w:pPr>
      <w:r>
        <w:rPr>
          <w:rFonts w:ascii="Arial" w:hAnsi="Arial" w:cs="Arial"/>
          <w:b/>
          <w:sz w:val="24"/>
          <w:szCs w:val="24"/>
        </w:rPr>
        <w:lastRenderedPageBreak/>
        <w:t>Staff Question-3</w:t>
      </w:r>
    </w:p>
    <w:p w14:paraId="1EDF8BD1" w14:textId="50FA2A07" w:rsidR="00EC50AA" w:rsidRPr="001E5C17" w:rsidRDefault="00EC50AA" w:rsidP="00EC50AA">
      <w:pPr>
        <w:rPr>
          <w:rFonts w:ascii="Arial" w:hAnsi="Arial" w:cs="Arial"/>
          <w:b/>
          <w:bCs/>
          <w:sz w:val="24"/>
          <w:szCs w:val="24"/>
        </w:rPr>
      </w:pPr>
      <w:r w:rsidRPr="001E5C17">
        <w:rPr>
          <w:rFonts w:ascii="Arial" w:hAnsi="Arial" w:cs="Arial"/>
          <w:b/>
          <w:bCs/>
          <w:sz w:val="24"/>
          <w:szCs w:val="24"/>
        </w:rPr>
        <w:t>Ref: 202</w:t>
      </w:r>
      <w:r>
        <w:rPr>
          <w:rFonts w:ascii="Arial" w:hAnsi="Arial" w:cs="Arial"/>
          <w:b/>
          <w:bCs/>
          <w:sz w:val="24"/>
          <w:szCs w:val="24"/>
        </w:rPr>
        <w:t>5</w:t>
      </w:r>
      <w:r w:rsidRPr="001E5C17">
        <w:rPr>
          <w:rFonts w:ascii="Arial" w:hAnsi="Arial" w:cs="Arial"/>
          <w:b/>
          <w:bCs/>
          <w:sz w:val="24"/>
          <w:szCs w:val="24"/>
        </w:rPr>
        <w:t xml:space="preserve"> IRM Rate Generator, Tab 11, 15 and 20</w:t>
      </w:r>
    </w:p>
    <w:p w14:paraId="0103939E" w14:textId="2ACA9FC8" w:rsidR="00EC50AA" w:rsidRPr="0025141D" w:rsidRDefault="00EC50AA" w:rsidP="00EC50AA">
      <w:pPr>
        <w:rPr>
          <w:rFonts w:ascii="Arial" w:hAnsi="Arial" w:cs="Arial"/>
          <w:bCs/>
          <w:sz w:val="24"/>
          <w:szCs w:val="24"/>
        </w:rPr>
      </w:pPr>
      <w:r w:rsidRPr="001E5C17">
        <w:rPr>
          <w:rFonts w:ascii="Arial" w:hAnsi="Arial" w:cs="Arial"/>
          <w:sz w:val="24"/>
          <w:szCs w:val="24"/>
        </w:rPr>
        <w:t xml:space="preserve">On </w:t>
      </w:r>
      <w:r>
        <w:rPr>
          <w:rFonts w:ascii="Arial" w:hAnsi="Arial" w:cs="Arial"/>
          <w:sz w:val="24"/>
          <w:szCs w:val="24"/>
        </w:rPr>
        <w:t>June 27</w:t>
      </w:r>
      <w:r w:rsidRPr="001E5C17">
        <w:rPr>
          <w:rFonts w:ascii="Arial" w:hAnsi="Arial" w:cs="Arial"/>
          <w:sz w:val="24"/>
          <w:szCs w:val="24"/>
        </w:rPr>
        <w:t xml:space="preserve">, </w:t>
      </w:r>
      <w:proofErr w:type="gramStart"/>
      <w:r w:rsidRPr="001E5C17">
        <w:rPr>
          <w:rFonts w:ascii="Arial" w:hAnsi="Arial" w:cs="Arial"/>
          <w:sz w:val="24"/>
          <w:szCs w:val="24"/>
        </w:rPr>
        <w:t>202</w:t>
      </w:r>
      <w:r>
        <w:rPr>
          <w:rFonts w:ascii="Arial" w:hAnsi="Arial" w:cs="Arial"/>
          <w:sz w:val="24"/>
          <w:szCs w:val="24"/>
        </w:rPr>
        <w:t>4</w:t>
      </w:r>
      <w:proofErr w:type="gramEnd"/>
      <w:r w:rsidRPr="001E5C17">
        <w:rPr>
          <w:rFonts w:ascii="Arial" w:hAnsi="Arial" w:cs="Arial"/>
          <w:sz w:val="24"/>
          <w:szCs w:val="24"/>
        </w:rPr>
        <w:t xml:space="preserve"> the OEB issued a </w:t>
      </w:r>
      <w:r>
        <w:rPr>
          <w:rFonts w:ascii="Arial" w:hAnsi="Arial" w:cs="Arial"/>
          <w:sz w:val="24"/>
          <w:szCs w:val="24"/>
        </w:rPr>
        <w:t>Decision and Rate Order</w:t>
      </w:r>
      <w:r w:rsidRPr="001E5C17">
        <w:rPr>
          <w:rFonts w:ascii="Arial" w:hAnsi="Arial" w:cs="Arial"/>
          <w:sz w:val="24"/>
          <w:szCs w:val="24"/>
        </w:rPr>
        <w:t xml:space="preserve"> regarding </w:t>
      </w:r>
      <w:r w:rsidRPr="001E5C17">
        <w:rPr>
          <w:rFonts w:ascii="Arial" w:hAnsi="Arial" w:cs="Arial"/>
          <w:bCs/>
          <w:sz w:val="24"/>
          <w:szCs w:val="24"/>
        </w:rPr>
        <w:t>2024 Uniform Transmission Rates (UTRs)</w:t>
      </w:r>
      <w:r>
        <w:rPr>
          <w:rFonts w:ascii="Arial" w:hAnsi="Arial" w:cs="Arial"/>
          <w:bCs/>
          <w:sz w:val="24"/>
          <w:szCs w:val="24"/>
        </w:rPr>
        <w:t>.</w:t>
      </w:r>
      <w:r w:rsidRPr="001E5C17">
        <w:rPr>
          <w:rFonts w:ascii="Arial" w:hAnsi="Arial" w:cs="Arial"/>
          <w:bCs/>
          <w:sz w:val="24"/>
          <w:szCs w:val="24"/>
          <w:vertAlign w:val="superscript"/>
        </w:rPr>
        <w:footnoteReference w:id="1"/>
      </w:r>
      <w:r w:rsidRPr="001E5C17">
        <w:rPr>
          <w:rFonts w:ascii="Arial" w:hAnsi="Arial" w:cs="Arial"/>
          <w:bCs/>
          <w:sz w:val="24"/>
          <w:szCs w:val="24"/>
        </w:rPr>
        <w:t xml:space="preserve"> </w:t>
      </w:r>
      <w:r w:rsidR="007801D0">
        <w:rPr>
          <w:rFonts w:ascii="Arial" w:hAnsi="Arial" w:cs="Arial"/>
          <w:bCs/>
          <w:sz w:val="24"/>
          <w:szCs w:val="24"/>
        </w:rPr>
        <w:t>A</w:t>
      </w:r>
      <w:r w:rsidRPr="0025141D">
        <w:rPr>
          <w:rFonts w:ascii="Arial" w:hAnsi="Arial" w:cs="Arial"/>
          <w:bCs/>
          <w:sz w:val="24"/>
          <w:szCs w:val="24"/>
        </w:rPr>
        <w:t xml:space="preserve">ny further updates will be reflected in the final </w:t>
      </w:r>
      <w:r w:rsidR="007801D0">
        <w:rPr>
          <w:rFonts w:ascii="Arial" w:hAnsi="Arial" w:cs="Arial"/>
          <w:bCs/>
          <w:sz w:val="24"/>
          <w:szCs w:val="24"/>
        </w:rPr>
        <w:t>R</w:t>
      </w:r>
      <w:r w:rsidRPr="0025141D">
        <w:rPr>
          <w:rFonts w:ascii="Arial" w:hAnsi="Arial" w:cs="Arial"/>
          <w:bCs/>
          <w:sz w:val="24"/>
          <w:szCs w:val="24"/>
        </w:rPr>
        <w:t xml:space="preserve">ate </w:t>
      </w:r>
      <w:r w:rsidR="007801D0">
        <w:rPr>
          <w:rFonts w:ascii="Arial" w:hAnsi="Arial" w:cs="Arial"/>
          <w:bCs/>
          <w:sz w:val="24"/>
          <w:szCs w:val="24"/>
        </w:rPr>
        <w:t>G</w:t>
      </w:r>
      <w:r w:rsidRPr="0025141D">
        <w:rPr>
          <w:rFonts w:ascii="Arial" w:hAnsi="Arial" w:cs="Arial"/>
          <w:bCs/>
          <w:sz w:val="24"/>
          <w:szCs w:val="24"/>
        </w:rPr>
        <w:t>enerator</w:t>
      </w:r>
      <w:r w:rsidR="007801D0">
        <w:rPr>
          <w:rFonts w:ascii="Arial" w:hAnsi="Arial" w:cs="Arial"/>
          <w:bCs/>
          <w:sz w:val="24"/>
          <w:szCs w:val="24"/>
        </w:rPr>
        <w:t xml:space="preserve"> Model</w:t>
      </w:r>
      <w:r w:rsidRPr="0025141D">
        <w:rPr>
          <w:rFonts w:ascii="Arial" w:hAnsi="Arial" w:cs="Arial"/>
          <w:bCs/>
          <w:sz w:val="24"/>
          <w:szCs w:val="24"/>
        </w:rPr>
        <w:t xml:space="preserve">. </w:t>
      </w:r>
    </w:p>
    <w:p w14:paraId="0142BAD7" w14:textId="23C32105" w:rsidR="00EC50AA" w:rsidRPr="001E5C17" w:rsidRDefault="00EC50AA" w:rsidP="00EC50AA">
      <w:pPr>
        <w:rPr>
          <w:rFonts w:ascii="Arial" w:hAnsi="Arial" w:cs="Arial"/>
          <w:bCs/>
          <w:sz w:val="24"/>
          <w:szCs w:val="24"/>
        </w:rPr>
      </w:pPr>
      <w:r w:rsidRPr="001E5C17">
        <w:rPr>
          <w:rFonts w:ascii="Arial" w:hAnsi="Arial" w:cs="Arial"/>
          <w:bCs/>
          <w:sz w:val="24"/>
          <w:szCs w:val="24"/>
        </w:rPr>
        <w:t xml:space="preserve">OEB staff has updated </w:t>
      </w:r>
      <w:r>
        <w:rPr>
          <w:rFonts w:ascii="Arial" w:hAnsi="Arial" w:cs="Arial"/>
          <w:bCs/>
          <w:sz w:val="24"/>
          <w:szCs w:val="24"/>
        </w:rPr>
        <w:t>Cooperative Hydro’s</w:t>
      </w:r>
      <w:r w:rsidRPr="001E5C17">
        <w:rPr>
          <w:rFonts w:ascii="Arial" w:hAnsi="Arial" w:cs="Arial"/>
          <w:bCs/>
          <w:sz w:val="24"/>
          <w:szCs w:val="24"/>
        </w:rPr>
        <w:t xml:space="preserve"> </w:t>
      </w:r>
      <w:r>
        <w:rPr>
          <w:rFonts w:ascii="Arial" w:hAnsi="Arial" w:cs="Arial"/>
          <w:bCs/>
          <w:sz w:val="24"/>
          <w:szCs w:val="24"/>
        </w:rPr>
        <w:t>R</w:t>
      </w:r>
      <w:r w:rsidRPr="001E5C17">
        <w:rPr>
          <w:rFonts w:ascii="Arial" w:hAnsi="Arial" w:cs="Arial"/>
          <w:bCs/>
          <w:sz w:val="24"/>
          <w:szCs w:val="24"/>
        </w:rPr>
        <w:t xml:space="preserve">ate </w:t>
      </w:r>
      <w:r>
        <w:rPr>
          <w:rFonts w:ascii="Arial" w:hAnsi="Arial" w:cs="Arial"/>
          <w:bCs/>
          <w:sz w:val="24"/>
          <w:szCs w:val="24"/>
        </w:rPr>
        <w:t>G</w:t>
      </w:r>
      <w:r w:rsidRPr="001E5C17">
        <w:rPr>
          <w:rFonts w:ascii="Arial" w:hAnsi="Arial" w:cs="Arial"/>
          <w:bCs/>
          <w:sz w:val="24"/>
          <w:szCs w:val="24"/>
        </w:rPr>
        <w:t>e</w:t>
      </w:r>
      <w:r w:rsidRPr="0025141D">
        <w:rPr>
          <w:rFonts w:ascii="Arial" w:hAnsi="Arial" w:cs="Arial"/>
          <w:bCs/>
          <w:sz w:val="24"/>
          <w:szCs w:val="24"/>
        </w:rPr>
        <w:t xml:space="preserve">nerator </w:t>
      </w:r>
      <w:r>
        <w:rPr>
          <w:rFonts w:ascii="Arial" w:hAnsi="Arial" w:cs="Arial"/>
          <w:bCs/>
          <w:sz w:val="24"/>
          <w:szCs w:val="24"/>
        </w:rPr>
        <w:t xml:space="preserve">Model </w:t>
      </w:r>
      <w:r w:rsidR="007801D0">
        <w:rPr>
          <w:rFonts w:ascii="Arial" w:hAnsi="Arial" w:cs="Arial"/>
          <w:bCs/>
          <w:sz w:val="24"/>
          <w:szCs w:val="24"/>
        </w:rPr>
        <w:t>with the 2024 UTR</w:t>
      </w:r>
      <w:r w:rsidR="00DE6F5B">
        <w:rPr>
          <w:rFonts w:ascii="Arial" w:hAnsi="Arial" w:cs="Arial"/>
          <w:bCs/>
          <w:sz w:val="24"/>
          <w:szCs w:val="24"/>
        </w:rPr>
        <w:t xml:space="preserve">s </w:t>
      </w:r>
      <w:r w:rsidR="007801D0">
        <w:rPr>
          <w:rFonts w:ascii="Arial" w:hAnsi="Arial" w:cs="Arial"/>
          <w:bCs/>
          <w:sz w:val="24"/>
          <w:szCs w:val="24"/>
        </w:rPr>
        <w:t>for the 2025 year</w:t>
      </w:r>
      <w:r w:rsidRPr="0025141D">
        <w:rPr>
          <w:rFonts w:ascii="Arial" w:hAnsi="Arial" w:cs="Arial"/>
          <w:bCs/>
          <w:sz w:val="24"/>
          <w:szCs w:val="24"/>
        </w:rPr>
        <w:t>:</w:t>
      </w:r>
    </w:p>
    <w:p w14:paraId="7806848C" w14:textId="77777777" w:rsidR="00EC50AA" w:rsidRPr="001E5C17" w:rsidRDefault="00EC50AA" w:rsidP="00EC50AA">
      <w:pPr>
        <w:rPr>
          <w:rFonts w:ascii="Arial" w:hAnsi="Arial" w:cs="Arial"/>
          <w:b/>
          <w:sz w:val="24"/>
          <w:szCs w:val="24"/>
        </w:rPr>
      </w:pPr>
      <w:r w:rsidRPr="001E5C17">
        <w:rPr>
          <w:rFonts w:ascii="Arial" w:hAnsi="Arial" w:cs="Arial"/>
          <w:b/>
          <w:sz w:val="24"/>
          <w:szCs w:val="24"/>
        </w:rPr>
        <w:t>UTRs</w:t>
      </w:r>
    </w:p>
    <w:p w14:paraId="589DCD08" w14:textId="73CB02E9" w:rsidR="00EC50AA" w:rsidRDefault="007801D0" w:rsidP="00AB251C">
      <w:pPr>
        <w:spacing w:after="240"/>
        <w:rPr>
          <w:rFonts w:ascii="Arial" w:hAnsi="Arial" w:cs="Arial"/>
          <w:b/>
          <w:sz w:val="24"/>
          <w:szCs w:val="24"/>
        </w:rPr>
      </w:pPr>
      <w:r w:rsidRPr="007801D0">
        <w:rPr>
          <w:rFonts w:ascii="Arial" w:hAnsi="Arial" w:cs="Arial"/>
          <w:b/>
          <w:noProof/>
          <w:sz w:val="24"/>
          <w:szCs w:val="24"/>
        </w:rPr>
        <w:drawing>
          <wp:inline distT="0" distB="0" distL="0" distR="0" wp14:anchorId="4E3BAC30" wp14:editId="6AD7F538">
            <wp:extent cx="5943600" cy="1039495"/>
            <wp:effectExtent l="0" t="0" r="0" b="8255"/>
            <wp:docPr id="655978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978270" name=""/>
                    <pic:cNvPicPr/>
                  </pic:nvPicPr>
                  <pic:blipFill>
                    <a:blip r:embed="rId11"/>
                    <a:stretch>
                      <a:fillRect/>
                    </a:stretch>
                  </pic:blipFill>
                  <pic:spPr>
                    <a:xfrm>
                      <a:off x="0" y="0"/>
                      <a:ext cx="5943600" cy="1039495"/>
                    </a:xfrm>
                    <a:prstGeom prst="rect">
                      <a:avLst/>
                    </a:prstGeom>
                  </pic:spPr>
                </pic:pic>
              </a:graphicData>
            </a:graphic>
          </wp:inline>
        </w:drawing>
      </w:r>
    </w:p>
    <w:p w14:paraId="665D0BF6" w14:textId="77777777" w:rsidR="00DE6F5B" w:rsidRPr="00D65BA4" w:rsidRDefault="00DE6F5B" w:rsidP="00DE6F5B">
      <w:pPr>
        <w:rPr>
          <w:rFonts w:ascii="Arial" w:hAnsi="Arial" w:cs="Arial"/>
          <w:b/>
          <w:bCs/>
          <w:sz w:val="24"/>
          <w:szCs w:val="24"/>
        </w:rPr>
      </w:pPr>
      <w:r w:rsidRPr="00D65BA4">
        <w:rPr>
          <w:rFonts w:ascii="Arial" w:hAnsi="Arial" w:cs="Arial"/>
          <w:b/>
          <w:bCs/>
          <w:sz w:val="24"/>
          <w:szCs w:val="24"/>
        </w:rPr>
        <w:t>Question:</w:t>
      </w:r>
    </w:p>
    <w:p w14:paraId="1AA0BB4E" w14:textId="617B5B33" w:rsidR="00DE6F5B" w:rsidRPr="00D65BA4" w:rsidRDefault="00DE6F5B" w:rsidP="00DE6F5B">
      <w:pPr>
        <w:rPr>
          <w:rFonts w:ascii="Arial" w:hAnsi="Arial" w:cs="Arial"/>
          <w:bCs/>
          <w:sz w:val="24"/>
          <w:szCs w:val="24"/>
        </w:rPr>
      </w:pPr>
      <w:r w:rsidRPr="00D65BA4">
        <w:rPr>
          <w:rFonts w:ascii="Arial" w:hAnsi="Arial" w:cs="Arial"/>
          <w:bCs/>
          <w:sz w:val="24"/>
          <w:szCs w:val="24"/>
        </w:rPr>
        <w:t xml:space="preserve">Please confirm the accuracy of the Rate Generator </w:t>
      </w:r>
      <w:r>
        <w:rPr>
          <w:rFonts w:ascii="Arial" w:hAnsi="Arial" w:cs="Arial"/>
          <w:bCs/>
          <w:sz w:val="24"/>
          <w:szCs w:val="24"/>
        </w:rPr>
        <w:t xml:space="preserve">Model </w:t>
      </w:r>
      <w:r w:rsidRPr="00D65BA4">
        <w:rPr>
          <w:rFonts w:ascii="Arial" w:hAnsi="Arial" w:cs="Arial"/>
          <w:bCs/>
          <w:sz w:val="24"/>
          <w:szCs w:val="24"/>
        </w:rPr>
        <w:t>update, as well as the accuracy of the resulting Retail Transmission Service Rates following th</w:t>
      </w:r>
      <w:r>
        <w:rPr>
          <w:rFonts w:ascii="Arial" w:hAnsi="Arial" w:cs="Arial"/>
          <w:bCs/>
          <w:sz w:val="24"/>
          <w:szCs w:val="24"/>
        </w:rPr>
        <w:t xml:space="preserve">is </w:t>
      </w:r>
      <w:r w:rsidRPr="00D65BA4">
        <w:rPr>
          <w:rFonts w:ascii="Arial" w:hAnsi="Arial" w:cs="Arial"/>
          <w:bCs/>
          <w:sz w:val="24"/>
          <w:szCs w:val="24"/>
        </w:rPr>
        <w:t xml:space="preserve">update. </w:t>
      </w:r>
    </w:p>
    <w:p w14:paraId="4CDE7782" w14:textId="77777777" w:rsidR="00DE6F5B" w:rsidRDefault="00DE6F5B" w:rsidP="00DE6F5B">
      <w:pPr>
        <w:spacing w:after="240"/>
        <w:rPr>
          <w:rFonts w:ascii="Arial" w:hAnsi="Arial" w:cs="Arial"/>
          <w:b/>
          <w:sz w:val="24"/>
          <w:szCs w:val="24"/>
        </w:rPr>
      </w:pPr>
    </w:p>
    <w:p w14:paraId="5B2CD865" w14:textId="1633660B" w:rsidR="00DE6F5B" w:rsidRDefault="00DE6F5B" w:rsidP="00DE6F5B">
      <w:pPr>
        <w:spacing w:after="240"/>
        <w:rPr>
          <w:rFonts w:ascii="Arial" w:hAnsi="Arial" w:cs="Arial"/>
          <w:b/>
          <w:sz w:val="24"/>
          <w:szCs w:val="24"/>
        </w:rPr>
      </w:pPr>
      <w:r>
        <w:rPr>
          <w:rFonts w:ascii="Arial" w:hAnsi="Arial" w:cs="Arial"/>
          <w:b/>
          <w:sz w:val="24"/>
          <w:szCs w:val="24"/>
        </w:rPr>
        <w:t>Staff Question-4</w:t>
      </w:r>
    </w:p>
    <w:p w14:paraId="6276759D" w14:textId="42AA3155" w:rsidR="00DE6F5B" w:rsidRPr="001E5C17" w:rsidRDefault="00DE6F5B" w:rsidP="00DE6F5B">
      <w:pPr>
        <w:rPr>
          <w:rFonts w:ascii="Arial" w:hAnsi="Arial" w:cs="Arial"/>
          <w:b/>
          <w:bCs/>
          <w:sz w:val="24"/>
          <w:szCs w:val="24"/>
        </w:rPr>
      </w:pPr>
      <w:r w:rsidRPr="001E5C17">
        <w:rPr>
          <w:rFonts w:ascii="Arial" w:hAnsi="Arial" w:cs="Arial"/>
          <w:b/>
          <w:bCs/>
          <w:sz w:val="24"/>
          <w:szCs w:val="24"/>
        </w:rPr>
        <w:t>Ref: 202</w:t>
      </w:r>
      <w:r>
        <w:rPr>
          <w:rFonts w:ascii="Arial" w:hAnsi="Arial" w:cs="Arial"/>
          <w:b/>
          <w:bCs/>
          <w:sz w:val="24"/>
          <w:szCs w:val="24"/>
        </w:rPr>
        <w:t>5</w:t>
      </w:r>
      <w:r w:rsidRPr="001E5C17">
        <w:rPr>
          <w:rFonts w:ascii="Arial" w:hAnsi="Arial" w:cs="Arial"/>
          <w:b/>
          <w:bCs/>
          <w:sz w:val="24"/>
          <w:szCs w:val="24"/>
        </w:rPr>
        <w:t xml:space="preserve"> IRM Rate Generator, Tab </w:t>
      </w:r>
      <w:r>
        <w:rPr>
          <w:rFonts w:ascii="Arial" w:hAnsi="Arial" w:cs="Arial"/>
          <w:b/>
          <w:bCs/>
          <w:sz w:val="24"/>
          <w:szCs w:val="24"/>
        </w:rPr>
        <w:t>16.1</w:t>
      </w:r>
    </w:p>
    <w:p w14:paraId="35F9E13B" w14:textId="55A29AAA" w:rsidR="00DE6F5B" w:rsidRPr="008741EB" w:rsidRDefault="008741EB" w:rsidP="00AB251C">
      <w:pPr>
        <w:spacing w:after="240"/>
        <w:rPr>
          <w:rFonts w:ascii="Arial" w:hAnsi="Arial" w:cs="Arial"/>
          <w:bCs/>
          <w:sz w:val="24"/>
          <w:szCs w:val="24"/>
        </w:rPr>
      </w:pPr>
      <w:r>
        <w:rPr>
          <w:rFonts w:ascii="Arial" w:hAnsi="Arial" w:cs="Arial"/>
          <w:bCs/>
          <w:sz w:val="24"/>
          <w:szCs w:val="24"/>
        </w:rPr>
        <w:t xml:space="preserve">The monthly Meter Charge and Monthly Service Charge for February is inconsistent with every other month. </w:t>
      </w:r>
    </w:p>
    <w:p w14:paraId="641A75C8" w14:textId="4BC7B387" w:rsidR="00DE6F5B" w:rsidRDefault="00DE6F5B" w:rsidP="00AB251C">
      <w:pPr>
        <w:spacing w:after="240"/>
        <w:rPr>
          <w:rFonts w:ascii="Arial" w:hAnsi="Arial" w:cs="Arial"/>
          <w:b/>
          <w:sz w:val="24"/>
          <w:szCs w:val="24"/>
        </w:rPr>
      </w:pPr>
      <w:r w:rsidRPr="00DE6F5B">
        <w:rPr>
          <w:rFonts w:ascii="Arial" w:hAnsi="Arial" w:cs="Arial"/>
          <w:b/>
          <w:noProof/>
          <w:sz w:val="24"/>
          <w:szCs w:val="24"/>
        </w:rPr>
        <w:drawing>
          <wp:inline distT="0" distB="0" distL="0" distR="0" wp14:anchorId="473F1DC1" wp14:editId="7207086E">
            <wp:extent cx="5943600" cy="1661795"/>
            <wp:effectExtent l="0" t="0" r="0" b="0"/>
            <wp:docPr id="873781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781506" name=""/>
                    <pic:cNvPicPr/>
                  </pic:nvPicPr>
                  <pic:blipFill>
                    <a:blip r:embed="rId12"/>
                    <a:stretch>
                      <a:fillRect/>
                    </a:stretch>
                  </pic:blipFill>
                  <pic:spPr>
                    <a:xfrm>
                      <a:off x="0" y="0"/>
                      <a:ext cx="5943600" cy="1661795"/>
                    </a:xfrm>
                    <a:prstGeom prst="rect">
                      <a:avLst/>
                    </a:prstGeom>
                  </pic:spPr>
                </pic:pic>
              </a:graphicData>
            </a:graphic>
          </wp:inline>
        </w:drawing>
      </w:r>
    </w:p>
    <w:p w14:paraId="05C0622E" w14:textId="7A687727" w:rsidR="008741EB" w:rsidRDefault="008741EB" w:rsidP="008741EB">
      <w:pPr>
        <w:rPr>
          <w:rFonts w:ascii="Arial" w:hAnsi="Arial" w:cs="Arial"/>
          <w:b/>
          <w:bCs/>
          <w:sz w:val="24"/>
          <w:szCs w:val="24"/>
        </w:rPr>
      </w:pPr>
      <w:r w:rsidRPr="00D65BA4">
        <w:rPr>
          <w:rFonts w:ascii="Arial" w:hAnsi="Arial" w:cs="Arial"/>
          <w:b/>
          <w:bCs/>
          <w:sz w:val="24"/>
          <w:szCs w:val="24"/>
        </w:rPr>
        <w:lastRenderedPageBreak/>
        <w:t>Question:</w:t>
      </w:r>
    </w:p>
    <w:p w14:paraId="2C9955C0" w14:textId="788AC736" w:rsidR="008741EB" w:rsidRPr="008741EB" w:rsidRDefault="008741EB" w:rsidP="008741EB">
      <w:pPr>
        <w:spacing w:after="240"/>
        <w:rPr>
          <w:rFonts w:ascii="Arial" w:hAnsi="Arial" w:cs="Arial"/>
          <w:sz w:val="24"/>
          <w:szCs w:val="24"/>
        </w:rPr>
      </w:pPr>
      <w:r w:rsidRPr="008741EB">
        <w:rPr>
          <w:rFonts w:ascii="Arial" w:hAnsi="Arial" w:cs="Arial"/>
          <w:sz w:val="24"/>
          <w:szCs w:val="24"/>
        </w:rPr>
        <w:t>Please explain why the monthly Meter Charge and Monthly Service Charge for February is inconsistent with every other month</w:t>
      </w:r>
      <w:r>
        <w:rPr>
          <w:rFonts w:ascii="Arial" w:hAnsi="Arial" w:cs="Arial"/>
          <w:sz w:val="24"/>
          <w:szCs w:val="24"/>
        </w:rPr>
        <w:t xml:space="preserve"> or update Rate Generator model. </w:t>
      </w:r>
    </w:p>
    <w:p w14:paraId="4A8E84B6" w14:textId="77777777" w:rsidR="008254AC" w:rsidRDefault="008254AC" w:rsidP="008254AC">
      <w:pPr>
        <w:spacing w:after="240"/>
        <w:rPr>
          <w:rFonts w:ascii="Arial" w:hAnsi="Arial" w:cs="Arial"/>
          <w:b/>
          <w:sz w:val="24"/>
          <w:szCs w:val="24"/>
        </w:rPr>
      </w:pPr>
    </w:p>
    <w:p w14:paraId="0B213108" w14:textId="2FFAFB7C" w:rsidR="008254AC" w:rsidRDefault="008254AC" w:rsidP="008254AC">
      <w:pPr>
        <w:spacing w:after="240"/>
        <w:rPr>
          <w:rFonts w:ascii="Arial" w:hAnsi="Arial" w:cs="Arial"/>
          <w:b/>
          <w:sz w:val="24"/>
          <w:szCs w:val="24"/>
        </w:rPr>
      </w:pPr>
      <w:r>
        <w:rPr>
          <w:rFonts w:ascii="Arial" w:hAnsi="Arial" w:cs="Arial"/>
          <w:b/>
          <w:sz w:val="24"/>
          <w:szCs w:val="24"/>
        </w:rPr>
        <w:t>Staff Question-5</w:t>
      </w:r>
    </w:p>
    <w:p w14:paraId="29304713" w14:textId="0A210C9C" w:rsidR="008254AC" w:rsidRDefault="008254AC" w:rsidP="008254AC">
      <w:pPr>
        <w:rPr>
          <w:rFonts w:ascii="Arial" w:hAnsi="Arial" w:cs="Arial"/>
          <w:b/>
          <w:bCs/>
          <w:sz w:val="24"/>
          <w:szCs w:val="24"/>
        </w:rPr>
      </w:pPr>
      <w:r w:rsidRPr="001E5C17">
        <w:rPr>
          <w:rFonts w:ascii="Arial" w:hAnsi="Arial" w:cs="Arial"/>
          <w:b/>
          <w:bCs/>
          <w:sz w:val="24"/>
          <w:szCs w:val="24"/>
        </w:rPr>
        <w:t>Ref:</w:t>
      </w:r>
      <w:r>
        <w:rPr>
          <w:rFonts w:ascii="Arial" w:hAnsi="Arial" w:cs="Arial"/>
          <w:b/>
          <w:bCs/>
          <w:sz w:val="24"/>
          <w:szCs w:val="24"/>
        </w:rPr>
        <w:t xml:space="preserve"> Manager Summary Page 17</w:t>
      </w:r>
    </w:p>
    <w:p w14:paraId="1362AD17" w14:textId="6E540AD4" w:rsidR="008254AC" w:rsidRDefault="008254AC" w:rsidP="008254AC">
      <w:pPr>
        <w:rPr>
          <w:rFonts w:ascii="Arial" w:hAnsi="Arial" w:cs="Arial"/>
          <w:b/>
          <w:bCs/>
          <w:sz w:val="24"/>
          <w:szCs w:val="24"/>
        </w:rPr>
      </w:pPr>
      <w:r w:rsidRPr="001E5C17">
        <w:rPr>
          <w:rFonts w:ascii="Arial" w:hAnsi="Arial" w:cs="Arial"/>
          <w:b/>
          <w:bCs/>
          <w:sz w:val="24"/>
          <w:szCs w:val="24"/>
        </w:rPr>
        <w:t>Ref: 202</w:t>
      </w:r>
      <w:r>
        <w:rPr>
          <w:rFonts w:ascii="Arial" w:hAnsi="Arial" w:cs="Arial"/>
          <w:b/>
          <w:bCs/>
          <w:sz w:val="24"/>
          <w:szCs w:val="24"/>
        </w:rPr>
        <w:t>5</w:t>
      </w:r>
      <w:r w:rsidRPr="001E5C17">
        <w:rPr>
          <w:rFonts w:ascii="Arial" w:hAnsi="Arial" w:cs="Arial"/>
          <w:b/>
          <w:bCs/>
          <w:sz w:val="24"/>
          <w:szCs w:val="24"/>
        </w:rPr>
        <w:t xml:space="preserve"> IRM Rate Generator, Tab </w:t>
      </w:r>
      <w:proofErr w:type="gramStart"/>
      <w:r>
        <w:rPr>
          <w:rFonts w:ascii="Arial" w:hAnsi="Arial" w:cs="Arial"/>
          <w:b/>
          <w:bCs/>
          <w:sz w:val="24"/>
          <w:szCs w:val="24"/>
        </w:rPr>
        <w:t>3</w:t>
      </w:r>
      <w:proofErr w:type="gramEnd"/>
      <w:r>
        <w:rPr>
          <w:rFonts w:ascii="Arial" w:hAnsi="Arial" w:cs="Arial"/>
          <w:b/>
          <w:bCs/>
          <w:sz w:val="24"/>
          <w:szCs w:val="24"/>
        </w:rPr>
        <w:t xml:space="preserve"> and Tab 5</w:t>
      </w:r>
    </w:p>
    <w:p w14:paraId="1DA6EDFE" w14:textId="3AF2B21F" w:rsidR="008254AC" w:rsidRPr="008254AC" w:rsidRDefault="008254AC" w:rsidP="008254AC">
      <w:pPr>
        <w:rPr>
          <w:rFonts w:ascii="Arial" w:hAnsi="Arial" w:cs="Arial"/>
          <w:sz w:val="24"/>
          <w:szCs w:val="24"/>
        </w:rPr>
      </w:pPr>
      <w:r w:rsidRPr="008254AC">
        <w:rPr>
          <w:rFonts w:ascii="Arial" w:hAnsi="Arial" w:cs="Arial"/>
          <w:sz w:val="24"/>
          <w:szCs w:val="24"/>
        </w:rPr>
        <w:t xml:space="preserve">In the Manager Summary on page 17 Cooperative Hydro states “CHEI is not proposing to dispose of Account 1580 sub-account CBR class B as its balances have not met the threshold. </w:t>
      </w:r>
    </w:p>
    <w:p w14:paraId="21A4177D" w14:textId="4247E0E2" w:rsidR="00C04549" w:rsidRPr="008A23EE" w:rsidRDefault="008254AC" w:rsidP="00C04549">
      <w:pPr>
        <w:rPr>
          <w:rFonts w:ascii="Arial" w:eastAsia="Times New Roman" w:hAnsi="Arial" w:cs="Arial"/>
          <w:sz w:val="24"/>
          <w:szCs w:val="24"/>
          <w:lang w:val="en-US"/>
        </w:rPr>
      </w:pPr>
      <w:r w:rsidRPr="00BA1194">
        <w:rPr>
          <w:rFonts w:ascii="Arial" w:hAnsi="Arial" w:cs="Arial"/>
          <w:sz w:val="24"/>
          <w:szCs w:val="24"/>
        </w:rPr>
        <w:t>OEB staff agrees that the balance of (</w:t>
      </w:r>
      <w:r w:rsidR="00C04549" w:rsidRPr="00BA1194">
        <w:rPr>
          <w:rFonts w:ascii="Arial" w:hAnsi="Arial" w:cs="Arial"/>
          <w:sz w:val="24"/>
          <w:szCs w:val="24"/>
        </w:rPr>
        <w:t>$383) does</w:t>
      </w:r>
      <w:r w:rsidRPr="00BA1194">
        <w:rPr>
          <w:rFonts w:ascii="Arial" w:hAnsi="Arial" w:cs="Arial"/>
          <w:sz w:val="24"/>
          <w:szCs w:val="24"/>
        </w:rPr>
        <w:t xml:space="preserve"> not me</w:t>
      </w:r>
      <w:r w:rsidR="00C04549" w:rsidRPr="00BA1194">
        <w:rPr>
          <w:rFonts w:ascii="Arial" w:hAnsi="Arial" w:cs="Arial"/>
          <w:sz w:val="24"/>
          <w:szCs w:val="24"/>
        </w:rPr>
        <w:t>e</w:t>
      </w:r>
      <w:r w:rsidRPr="00BA1194">
        <w:rPr>
          <w:rFonts w:ascii="Arial" w:hAnsi="Arial" w:cs="Arial"/>
          <w:sz w:val="24"/>
          <w:szCs w:val="24"/>
        </w:rPr>
        <w:t xml:space="preserve">t the threshold to create separate </w:t>
      </w:r>
      <w:r w:rsidR="00C04549" w:rsidRPr="00BA1194">
        <w:rPr>
          <w:rFonts w:ascii="Arial" w:hAnsi="Arial" w:cs="Arial"/>
          <w:sz w:val="24"/>
          <w:szCs w:val="24"/>
        </w:rPr>
        <w:t>rate riders for each class</w:t>
      </w:r>
      <w:r w:rsidR="00BA1194" w:rsidRPr="00BA1194">
        <w:rPr>
          <w:rFonts w:ascii="Arial" w:hAnsi="Arial" w:cs="Arial"/>
          <w:sz w:val="24"/>
          <w:szCs w:val="24"/>
        </w:rPr>
        <w:t>,</w:t>
      </w:r>
      <w:r w:rsidR="00C04549" w:rsidRPr="00BA1194">
        <w:rPr>
          <w:rFonts w:ascii="Arial" w:hAnsi="Arial" w:cs="Arial"/>
          <w:sz w:val="24"/>
          <w:szCs w:val="24"/>
        </w:rPr>
        <w:t xml:space="preserve"> but </w:t>
      </w:r>
      <w:r w:rsidR="00BA1194" w:rsidRPr="00BA1194">
        <w:rPr>
          <w:rFonts w:ascii="Arial" w:hAnsi="Arial" w:cs="Arial"/>
          <w:sz w:val="24"/>
          <w:szCs w:val="24"/>
        </w:rPr>
        <w:t xml:space="preserve">notes </w:t>
      </w:r>
      <w:r w:rsidR="00C04549" w:rsidRPr="00BA1194">
        <w:rPr>
          <w:rFonts w:ascii="Arial" w:hAnsi="Arial" w:cs="Arial"/>
          <w:sz w:val="24"/>
          <w:szCs w:val="24"/>
        </w:rPr>
        <w:t xml:space="preserve">that the balance has been rolled up into Account </w:t>
      </w:r>
      <w:r w:rsidR="00C04549" w:rsidRPr="008A23EE">
        <w:rPr>
          <w:rFonts w:ascii="Arial" w:eastAsia="Times New Roman" w:hAnsi="Arial" w:cs="Arial"/>
          <w:sz w:val="24"/>
          <w:szCs w:val="24"/>
          <w:lang w:val="en-US"/>
        </w:rPr>
        <w:t>RSVA - Wholesale Market Service Charge for a total balance to be disposed of ($23,674) on Tab 5.</w:t>
      </w:r>
    </w:p>
    <w:p w14:paraId="349AB7B1" w14:textId="77777777" w:rsidR="00C04549" w:rsidRDefault="00C04549" w:rsidP="00C04549">
      <w:pPr>
        <w:rPr>
          <w:rFonts w:ascii="Arial" w:hAnsi="Arial" w:cs="Arial"/>
          <w:b/>
          <w:bCs/>
          <w:sz w:val="24"/>
          <w:szCs w:val="24"/>
        </w:rPr>
      </w:pPr>
      <w:r w:rsidRPr="00D65BA4">
        <w:rPr>
          <w:rFonts w:ascii="Arial" w:hAnsi="Arial" w:cs="Arial"/>
          <w:b/>
          <w:bCs/>
          <w:sz w:val="24"/>
          <w:szCs w:val="24"/>
        </w:rPr>
        <w:t>Question:</w:t>
      </w:r>
    </w:p>
    <w:p w14:paraId="2CF054DE" w14:textId="405C9ACF" w:rsidR="00C04549" w:rsidRPr="008A23EE" w:rsidRDefault="00C04549" w:rsidP="00C04549">
      <w:pPr>
        <w:rPr>
          <w:rFonts w:ascii="Arial" w:eastAsia="Times New Roman" w:hAnsi="Arial" w:cs="Arial"/>
          <w:sz w:val="24"/>
          <w:szCs w:val="24"/>
          <w:lang w:val="en-US"/>
        </w:rPr>
      </w:pPr>
      <w:r w:rsidRPr="008A23EE">
        <w:rPr>
          <w:rFonts w:ascii="Arial" w:eastAsia="Times New Roman" w:hAnsi="Arial" w:cs="Arial"/>
          <w:sz w:val="24"/>
          <w:szCs w:val="24"/>
          <w:lang w:val="en-US"/>
        </w:rPr>
        <w:t>Please confirm OEB staff</w:t>
      </w:r>
      <w:r w:rsidR="00BA1194" w:rsidRPr="008A23EE">
        <w:rPr>
          <w:rFonts w:ascii="Arial" w:eastAsia="Times New Roman" w:hAnsi="Arial" w:cs="Arial"/>
          <w:sz w:val="24"/>
          <w:szCs w:val="24"/>
          <w:lang w:val="en-US"/>
        </w:rPr>
        <w:t>’</w:t>
      </w:r>
      <w:r w:rsidRPr="008A23EE">
        <w:rPr>
          <w:rFonts w:ascii="Arial" w:eastAsia="Times New Roman" w:hAnsi="Arial" w:cs="Arial"/>
          <w:sz w:val="24"/>
          <w:szCs w:val="24"/>
          <w:lang w:val="en-US"/>
        </w:rPr>
        <w:t xml:space="preserve">s explanation is correct. </w:t>
      </w:r>
    </w:p>
    <w:p w14:paraId="4CB3A253" w14:textId="6FB54932" w:rsidR="008254AC" w:rsidRPr="008254AC" w:rsidRDefault="008254AC" w:rsidP="008254AC">
      <w:pPr>
        <w:rPr>
          <w:rFonts w:ascii="Arial" w:hAnsi="Arial" w:cs="Arial"/>
          <w:sz w:val="24"/>
          <w:szCs w:val="24"/>
        </w:rPr>
      </w:pPr>
    </w:p>
    <w:p w14:paraId="5DA3E2C6" w14:textId="77777777" w:rsidR="008254AC" w:rsidRPr="001E5C17" w:rsidRDefault="008254AC" w:rsidP="008254AC">
      <w:pPr>
        <w:rPr>
          <w:rFonts w:ascii="Arial" w:hAnsi="Arial" w:cs="Arial"/>
          <w:b/>
          <w:bCs/>
          <w:sz w:val="24"/>
          <w:szCs w:val="24"/>
        </w:rPr>
      </w:pPr>
    </w:p>
    <w:p w14:paraId="05655EE3" w14:textId="117B670B" w:rsidR="008741EB" w:rsidRPr="00D65BA4" w:rsidRDefault="008741EB" w:rsidP="008741EB">
      <w:pPr>
        <w:rPr>
          <w:rFonts w:ascii="Arial" w:hAnsi="Arial" w:cs="Arial"/>
          <w:b/>
          <w:bCs/>
          <w:sz w:val="24"/>
          <w:szCs w:val="24"/>
        </w:rPr>
      </w:pPr>
    </w:p>
    <w:p w14:paraId="64FAD4BE" w14:textId="77777777" w:rsidR="008741EB" w:rsidRPr="00A670C5" w:rsidRDefault="008741EB" w:rsidP="00AB251C">
      <w:pPr>
        <w:spacing w:after="240"/>
        <w:rPr>
          <w:rFonts w:ascii="Arial" w:hAnsi="Arial" w:cs="Arial"/>
          <w:b/>
          <w:sz w:val="24"/>
          <w:szCs w:val="24"/>
        </w:rPr>
      </w:pPr>
    </w:p>
    <w:sectPr w:rsidR="008741EB" w:rsidRPr="00A670C5" w:rsidSect="00EA0919">
      <w:headerReference w:type="default" r:id="rId13"/>
      <w:footerReference w:type="default" r:id="rId14"/>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68F9E" w14:textId="77777777" w:rsidR="00D77124" w:rsidRDefault="00D77124" w:rsidP="00D77124">
      <w:pPr>
        <w:spacing w:after="0" w:line="240" w:lineRule="auto"/>
      </w:pPr>
      <w:r>
        <w:separator/>
      </w:r>
    </w:p>
  </w:endnote>
  <w:endnote w:type="continuationSeparator" w:id="0">
    <w:p w14:paraId="50D9B00B" w14:textId="77777777" w:rsidR="00D77124" w:rsidRDefault="00D77124" w:rsidP="00D77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49787"/>
      <w:docPartObj>
        <w:docPartGallery w:val="Page Numbers (Bottom of Page)"/>
        <w:docPartUnique/>
      </w:docPartObj>
    </w:sdtPr>
    <w:sdtEndPr>
      <w:rPr>
        <w:noProof/>
      </w:rPr>
    </w:sdtEndPr>
    <w:sdtContent>
      <w:p w14:paraId="5232008B" w14:textId="2FEE7BF1" w:rsidR="00D77124" w:rsidRDefault="00D771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5C5B66" w14:textId="77777777" w:rsidR="00D77124" w:rsidRDefault="00D77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F4BF2" w14:textId="77777777" w:rsidR="00D77124" w:rsidRDefault="00D77124" w:rsidP="00D77124">
      <w:pPr>
        <w:spacing w:after="0" w:line="240" w:lineRule="auto"/>
      </w:pPr>
      <w:r>
        <w:separator/>
      </w:r>
    </w:p>
  </w:footnote>
  <w:footnote w:type="continuationSeparator" w:id="0">
    <w:p w14:paraId="225EBB01" w14:textId="77777777" w:rsidR="00D77124" w:rsidRDefault="00D77124" w:rsidP="00D77124">
      <w:pPr>
        <w:spacing w:after="0" w:line="240" w:lineRule="auto"/>
      </w:pPr>
      <w:r>
        <w:continuationSeparator/>
      </w:r>
    </w:p>
  </w:footnote>
  <w:footnote w:id="1">
    <w:p w14:paraId="2D17EE46" w14:textId="56131DDD" w:rsidR="00EC50AA" w:rsidRPr="0025141D" w:rsidRDefault="00EC50AA" w:rsidP="00EC50AA">
      <w:pPr>
        <w:pStyle w:val="FootnoteText"/>
        <w:rPr>
          <w:rFonts w:ascii="Arial" w:hAnsi="Arial" w:cs="Arial"/>
        </w:rPr>
      </w:pPr>
      <w:r w:rsidRPr="00D65BA4">
        <w:rPr>
          <w:rStyle w:val="FootnoteReference"/>
          <w:rFonts w:ascii="Arial" w:hAnsi="Arial" w:cs="Arial"/>
        </w:rPr>
        <w:footnoteRef/>
      </w:r>
      <w:r w:rsidRPr="00D65BA4">
        <w:rPr>
          <w:rFonts w:ascii="Arial" w:hAnsi="Arial" w:cs="Arial"/>
        </w:rPr>
        <w:t xml:space="preserve"> </w:t>
      </w:r>
      <w:r w:rsidR="00DE6F5B">
        <w:rPr>
          <w:rFonts w:ascii="Arial" w:hAnsi="Arial" w:cs="Arial"/>
        </w:rPr>
        <w:t>EB-2024-0183, Decision and Rate Order, June 27,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79E7D" w14:textId="771F631F" w:rsidR="00DC489D" w:rsidRDefault="00025703" w:rsidP="00025703">
    <w:pPr>
      <w:pStyle w:val="Header"/>
      <w:jc w:val="right"/>
    </w:pPr>
    <w:r>
      <w:t xml:space="preserve">Cooperative Hydro Embrun Inc. </w:t>
    </w:r>
  </w:p>
  <w:p w14:paraId="4C4BD2A4" w14:textId="27F660F2" w:rsidR="00DC489D" w:rsidRDefault="00DC489D">
    <w:pPr>
      <w:pStyle w:val="Header"/>
    </w:pPr>
    <w:r>
      <w:tab/>
    </w:r>
    <w:r>
      <w:tab/>
      <w:t>OEB Staff Questions</w:t>
    </w:r>
  </w:p>
  <w:p w14:paraId="31F1E28E" w14:textId="171D4616" w:rsidR="00DC489D" w:rsidRDefault="00DC489D">
    <w:pPr>
      <w:pStyle w:val="Header"/>
    </w:pPr>
    <w:r>
      <w:tab/>
    </w:r>
    <w:r>
      <w:tab/>
      <w:t>EB-20</w:t>
    </w:r>
    <w:r w:rsidR="00025703">
      <w:t>24-0014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77389052">
    <w:abstractNumId w:val="0"/>
  </w:num>
  <w:num w:numId="2" w16cid:durableId="1817183121">
    <w:abstractNumId w:val="5"/>
  </w:num>
  <w:num w:numId="3" w16cid:durableId="1825269186">
    <w:abstractNumId w:val="19"/>
  </w:num>
  <w:num w:numId="4" w16cid:durableId="1119179632">
    <w:abstractNumId w:val="26"/>
  </w:num>
  <w:num w:numId="5" w16cid:durableId="2091417003">
    <w:abstractNumId w:val="10"/>
  </w:num>
  <w:num w:numId="6" w16cid:durableId="252014472">
    <w:abstractNumId w:val="7"/>
  </w:num>
  <w:num w:numId="7" w16cid:durableId="1793011066">
    <w:abstractNumId w:val="15"/>
  </w:num>
  <w:num w:numId="8" w16cid:durableId="1794320803">
    <w:abstractNumId w:val="11"/>
  </w:num>
  <w:num w:numId="9" w16cid:durableId="1829709702">
    <w:abstractNumId w:val="12"/>
  </w:num>
  <w:num w:numId="10" w16cid:durableId="1115251463">
    <w:abstractNumId w:val="4"/>
  </w:num>
  <w:num w:numId="11" w16cid:durableId="1887520468">
    <w:abstractNumId w:val="14"/>
  </w:num>
  <w:num w:numId="12" w16cid:durableId="1441336080">
    <w:abstractNumId w:val="21"/>
  </w:num>
  <w:num w:numId="13" w16cid:durableId="1780180625">
    <w:abstractNumId w:val="3"/>
  </w:num>
  <w:num w:numId="14" w16cid:durableId="1590384501">
    <w:abstractNumId w:val="1"/>
  </w:num>
  <w:num w:numId="15" w16cid:durableId="427196099">
    <w:abstractNumId w:val="25"/>
  </w:num>
  <w:num w:numId="16" w16cid:durableId="1661301170">
    <w:abstractNumId w:val="6"/>
  </w:num>
  <w:num w:numId="17" w16cid:durableId="580800399">
    <w:abstractNumId w:val="17"/>
  </w:num>
  <w:num w:numId="18" w16cid:durableId="1835102567">
    <w:abstractNumId w:val="23"/>
  </w:num>
  <w:num w:numId="19" w16cid:durableId="1966807704">
    <w:abstractNumId w:val="24"/>
  </w:num>
  <w:num w:numId="20" w16cid:durableId="1330401671">
    <w:abstractNumId w:val="9"/>
  </w:num>
  <w:num w:numId="21" w16cid:durableId="1192495916">
    <w:abstractNumId w:val="22"/>
  </w:num>
  <w:num w:numId="22" w16cid:durableId="82845605">
    <w:abstractNumId w:val="8"/>
  </w:num>
  <w:num w:numId="23" w16cid:durableId="1261449128">
    <w:abstractNumId w:val="20"/>
  </w:num>
  <w:num w:numId="24" w16cid:durableId="1669995">
    <w:abstractNumId w:val="18"/>
  </w:num>
  <w:num w:numId="25" w16cid:durableId="965695596">
    <w:abstractNumId w:val="2"/>
  </w:num>
  <w:num w:numId="26" w16cid:durableId="331496830">
    <w:abstractNumId w:val="13"/>
  </w:num>
  <w:num w:numId="27" w16cid:durableId="18731081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25703"/>
    <w:rsid w:val="0003073C"/>
    <w:rsid w:val="00035337"/>
    <w:rsid w:val="00054071"/>
    <w:rsid w:val="0006126D"/>
    <w:rsid w:val="00067F57"/>
    <w:rsid w:val="00071BEC"/>
    <w:rsid w:val="00074514"/>
    <w:rsid w:val="000832D4"/>
    <w:rsid w:val="00090160"/>
    <w:rsid w:val="000B3E7E"/>
    <w:rsid w:val="000D223C"/>
    <w:rsid w:val="000E4006"/>
    <w:rsid w:val="000F1E3A"/>
    <w:rsid w:val="00133BE1"/>
    <w:rsid w:val="00164832"/>
    <w:rsid w:val="00164E99"/>
    <w:rsid w:val="00183CC8"/>
    <w:rsid w:val="00187E9B"/>
    <w:rsid w:val="001927C2"/>
    <w:rsid w:val="001A4DCD"/>
    <w:rsid w:val="001D526D"/>
    <w:rsid w:val="00203092"/>
    <w:rsid w:val="002208C0"/>
    <w:rsid w:val="00224C06"/>
    <w:rsid w:val="0025687C"/>
    <w:rsid w:val="00274A48"/>
    <w:rsid w:val="00291CCC"/>
    <w:rsid w:val="002A6415"/>
    <w:rsid w:val="002B7B7C"/>
    <w:rsid w:val="002C2BF2"/>
    <w:rsid w:val="002C7EF6"/>
    <w:rsid w:val="002D4924"/>
    <w:rsid w:val="002F4756"/>
    <w:rsid w:val="00302509"/>
    <w:rsid w:val="003049C5"/>
    <w:rsid w:val="003303BF"/>
    <w:rsid w:val="00340C00"/>
    <w:rsid w:val="003702D1"/>
    <w:rsid w:val="00373FAD"/>
    <w:rsid w:val="003777B5"/>
    <w:rsid w:val="003832E7"/>
    <w:rsid w:val="003A20A0"/>
    <w:rsid w:val="003A58B0"/>
    <w:rsid w:val="00400DFC"/>
    <w:rsid w:val="00406D5F"/>
    <w:rsid w:val="00412DC6"/>
    <w:rsid w:val="00425009"/>
    <w:rsid w:val="004377B0"/>
    <w:rsid w:val="00451CCE"/>
    <w:rsid w:val="00472C81"/>
    <w:rsid w:val="00475032"/>
    <w:rsid w:val="004859EF"/>
    <w:rsid w:val="00511EC2"/>
    <w:rsid w:val="005164F5"/>
    <w:rsid w:val="0052560F"/>
    <w:rsid w:val="005666F2"/>
    <w:rsid w:val="00572064"/>
    <w:rsid w:val="00584369"/>
    <w:rsid w:val="00587A35"/>
    <w:rsid w:val="005E27C0"/>
    <w:rsid w:val="005E6001"/>
    <w:rsid w:val="005F4693"/>
    <w:rsid w:val="00623602"/>
    <w:rsid w:val="0064279A"/>
    <w:rsid w:val="00651C98"/>
    <w:rsid w:val="00695784"/>
    <w:rsid w:val="006A1257"/>
    <w:rsid w:val="006A5D23"/>
    <w:rsid w:val="006E3D58"/>
    <w:rsid w:val="00704EE5"/>
    <w:rsid w:val="007066E2"/>
    <w:rsid w:val="0072241F"/>
    <w:rsid w:val="00722640"/>
    <w:rsid w:val="0073197E"/>
    <w:rsid w:val="00746080"/>
    <w:rsid w:val="007508EC"/>
    <w:rsid w:val="00772B57"/>
    <w:rsid w:val="007801D0"/>
    <w:rsid w:val="00781D04"/>
    <w:rsid w:val="007C2D45"/>
    <w:rsid w:val="007F49EB"/>
    <w:rsid w:val="00805FDA"/>
    <w:rsid w:val="00812C1B"/>
    <w:rsid w:val="008173B1"/>
    <w:rsid w:val="008254AC"/>
    <w:rsid w:val="00835AD0"/>
    <w:rsid w:val="00841787"/>
    <w:rsid w:val="008741EB"/>
    <w:rsid w:val="008747B3"/>
    <w:rsid w:val="008813C3"/>
    <w:rsid w:val="008926F0"/>
    <w:rsid w:val="008964E8"/>
    <w:rsid w:val="008A23EE"/>
    <w:rsid w:val="008A48F6"/>
    <w:rsid w:val="008E6045"/>
    <w:rsid w:val="0090113B"/>
    <w:rsid w:val="0093258A"/>
    <w:rsid w:val="0094373C"/>
    <w:rsid w:val="00946DEE"/>
    <w:rsid w:val="00951E2B"/>
    <w:rsid w:val="00952939"/>
    <w:rsid w:val="00961EA0"/>
    <w:rsid w:val="009A5C44"/>
    <w:rsid w:val="009B03AF"/>
    <w:rsid w:val="009C4216"/>
    <w:rsid w:val="009D5F4B"/>
    <w:rsid w:val="009E626E"/>
    <w:rsid w:val="009E7CBF"/>
    <w:rsid w:val="00A07077"/>
    <w:rsid w:val="00A50DD0"/>
    <w:rsid w:val="00A516B0"/>
    <w:rsid w:val="00A5620A"/>
    <w:rsid w:val="00A670C5"/>
    <w:rsid w:val="00AA06D9"/>
    <w:rsid w:val="00AB251C"/>
    <w:rsid w:val="00AC2406"/>
    <w:rsid w:val="00AD3FCF"/>
    <w:rsid w:val="00AD53AC"/>
    <w:rsid w:val="00B03802"/>
    <w:rsid w:val="00B069AA"/>
    <w:rsid w:val="00B23A36"/>
    <w:rsid w:val="00B25576"/>
    <w:rsid w:val="00B25EF5"/>
    <w:rsid w:val="00B50EB2"/>
    <w:rsid w:val="00B6722A"/>
    <w:rsid w:val="00B82D78"/>
    <w:rsid w:val="00BA1194"/>
    <w:rsid w:val="00BA434C"/>
    <w:rsid w:val="00BD4F65"/>
    <w:rsid w:val="00BD7607"/>
    <w:rsid w:val="00C04549"/>
    <w:rsid w:val="00C06F9E"/>
    <w:rsid w:val="00C13E6B"/>
    <w:rsid w:val="00C2370B"/>
    <w:rsid w:val="00C27193"/>
    <w:rsid w:val="00C60498"/>
    <w:rsid w:val="00C624D5"/>
    <w:rsid w:val="00C848A0"/>
    <w:rsid w:val="00C859E5"/>
    <w:rsid w:val="00C878C5"/>
    <w:rsid w:val="00C96AEA"/>
    <w:rsid w:val="00CC0B6D"/>
    <w:rsid w:val="00CD01B4"/>
    <w:rsid w:val="00CE1CD3"/>
    <w:rsid w:val="00CE4F01"/>
    <w:rsid w:val="00D30F16"/>
    <w:rsid w:val="00D55546"/>
    <w:rsid w:val="00D57E8C"/>
    <w:rsid w:val="00D6213C"/>
    <w:rsid w:val="00D647C0"/>
    <w:rsid w:val="00D77124"/>
    <w:rsid w:val="00D77694"/>
    <w:rsid w:val="00D77B0F"/>
    <w:rsid w:val="00DB6B52"/>
    <w:rsid w:val="00DC489D"/>
    <w:rsid w:val="00DC54F7"/>
    <w:rsid w:val="00DE5488"/>
    <w:rsid w:val="00DE6F5B"/>
    <w:rsid w:val="00DE75AC"/>
    <w:rsid w:val="00DF5A52"/>
    <w:rsid w:val="00E17C58"/>
    <w:rsid w:val="00E231C2"/>
    <w:rsid w:val="00E429DA"/>
    <w:rsid w:val="00E616AB"/>
    <w:rsid w:val="00E62C2A"/>
    <w:rsid w:val="00E8586E"/>
    <w:rsid w:val="00E86F26"/>
    <w:rsid w:val="00E96A06"/>
    <w:rsid w:val="00EA0919"/>
    <w:rsid w:val="00EB5240"/>
    <w:rsid w:val="00EC0B55"/>
    <w:rsid w:val="00EC50AA"/>
    <w:rsid w:val="00EE3753"/>
    <w:rsid w:val="00F034BF"/>
    <w:rsid w:val="00F233A3"/>
    <w:rsid w:val="00F23D7A"/>
    <w:rsid w:val="00F26D30"/>
    <w:rsid w:val="00F57152"/>
    <w:rsid w:val="00F7100D"/>
    <w:rsid w:val="00F7362C"/>
    <w:rsid w:val="00F92F61"/>
    <w:rsid w:val="00FB6F10"/>
    <w:rsid w:val="00FC4CF8"/>
    <w:rsid w:val="00FC5D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7124"/>
    <w:pPr>
      <w:spacing w:after="0" w:line="240" w:lineRule="auto"/>
    </w:pPr>
  </w:style>
  <w:style w:type="paragraph" w:styleId="Header">
    <w:name w:val="header"/>
    <w:basedOn w:val="Normal"/>
    <w:link w:val="HeaderChar"/>
    <w:uiPriority w:val="99"/>
    <w:unhideWhenUsed/>
    <w:rsid w:val="00D77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124"/>
  </w:style>
  <w:style w:type="paragraph" w:styleId="FootnoteText">
    <w:name w:val="footnote text"/>
    <w:basedOn w:val="Normal"/>
    <w:link w:val="FootnoteTextChar"/>
    <w:uiPriority w:val="99"/>
    <w:semiHidden/>
    <w:unhideWhenUsed/>
    <w:rsid w:val="00EC50AA"/>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EC50AA"/>
    <w:rPr>
      <w:sz w:val="20"/>
      <w:szCs w:val="20"/>
      <w:lang w:val="en-US"/>
    </w:rPr>
  </w:style>
  <w:style w:type="character" w:styleId="FootnoteReference">
    <w:name w:val="footnote reference"/>
    <w:basedOn w:val="DefaultParagraphFont"/>
    <w:uiPriority w:val="99"/>
    <w:semiHidden/>
    <w:unhideWhenUsed/>
    <w:rsid w:val="00EC50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554199993">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41252D04EB244E8A13BE976871780F" ma:contentTypeVersion="8" ma:contentTypeDescription="Create a new document." ma:contentTypeScope="" ma:versionID="88d059754213eb660d625c53ecd9cd5d">
  <xsd:schema xmlns:xsd="http://www.w3.org/2001/XMLSchema" xmlns:xs="http://www.w3.org/2001/XMLSchema" xmlns:p="http://schemas.microsoft.com/office/2006/metadata/properties" xmlns:ns2="135af73b-165d-49a8-a0c6-a1ff58b9cb2d" targetNamespace="http://schemas.microsoft.com/office/2006/metadata/properties" ma:root="true" ma:fieldsID="a3946edffef2b869ddaba7d008d35ee6" ns2:_="">
    <xsd:import namespace="135af73b-165d-49a8-a0c6-a1ff58b9cb2d"/>
    <xsd:element name="properties">
      <xsd:complexType>
        <xsd:sequence>
          <xsd:element name="documentManagement">
            <xsd:complexType>
              <xsd:all>
                <xsd:element ref="ns2:Owner" minOccurs="0"/>
                <xsd:element ref="ns2:Descrip_x002e_" minOccurs="0"/>
                <xsd:element ref="ns2:MediaServiceMetadata" minOccurs="0"/>
                <xsd:element ref="ns2:MediaServiceFastMetadata" minOccurs="0"/>
                <xsd:element ref="ns2:MediaServiceSearchProperties" minOccurs="0"/>
                <xsd:element ref="ns2:MediaServiceObjectDetectorVersion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af73b-165d-49a8-a0c6-a1ff58b9cb2d" elementFormDefault="qualified">
    <xsd:import namespace="http://schemas.microsoft.com/office/2006/documentManagement/types"/>
    <xsd:import namespace="http://schemas.microsoft.com/office/infopath/2007/PartnerControls"/>
    <xsd:element name="Owner" ma:index="8" nillable="true" ma:displayName="Owner" ma:format="Dropdown" ma:internalName="Owner">
      <xsd:simpleType>
        <xsd:restriction base="dms:Choice">
          <xsd:enumeration value="Applications"/>
          <xsd:enumeration value="Registrar's Office"/>
          <xsd:enumeration value="Consumer Protection &amp; Industry Performance"/>
          <xsd:enumeration value="Public Affairs"/>
          <xsd:enumeration value="Executive Office"/>
        </xsd:restriction>
      </xsd:simpleType>
    </xsd:element>
    <xsd:element name="Descrip_x002e_" ma:index="9" nillable="true" ma:displayName="Descrip." ma:format="Dropdown" ma:internalName="Descrip_x002e_">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Order0" ma:index="14" nillable="true" ma:displayName="Order" ma:format="Dropdown" ma:internalName="Order0"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escrip_x002e_ xmlns="135af73b-165d-49a8-a0c6-a1ff58b9cb2d" xsi:nil="true"/>
    <Owner xmlns="135af73b-165d-49a8-a0c6-a1ff58b9cb2d" xsi:nil="true"/>
    <Order0 xmlns="135af73b-165d-49a8-a0c6-a1ff58b9cb2d" xsi:nil="true"/>
  </documentManagement>
</p:properties>
</file>

<file path=customXml/itemProps1.xml><?xml version="1.0" encoding="utf-8"?>
<ds:datastoreItem xmlns:ds="http://schemas.openxmlformats.org/officeDocument/2006/customXml" ds:itemID="{2AEFD318-E47C-4F5B-9EEC-F73DF3D93425}">
  <ds:schemaRefs>
    <ds:schemaRef ds:uri="http://schemas.microsoft.com/sharepoint/v3/contenttype/forms"/>
  </ds:schemaRefs>
</ds:datastoreItem>
</file>

<file path=customXml/itemProps2.xml><?xml version="1.0" encoding="utf-8"?>
<ds:datastoreItem xmlns:ds="http://schemas.openxmlformats.org/officeDocument/2006/customXml" ds:itemID="{0F795003-A123-47B0-8634-A210404EC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5af73b-165d-49a8-a0c6-a1ff58b9c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customXml/itemProps4.xml><?xml version="1.0" encoding="utf-8"?>
<ds:datastoreItem xmlns:ds="http://schemas.openxmlformats.org/officeDocument/2006/customXml" ds:itemID="{EB9AE022-1F3D-4E97-BCFE-C9C1D4A2716A}">
  <ds:schemaRefs>
    <ds:schemaRef ds:uri="135af73b-165d-49a8-a0c6-a1ff58b9cb2d"/>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IRM - OEB Staff Questions NO cover letter - Delegated Authority</vt:lpstr>
    </vt:vector>
  </TitlesOfParts>
  <Company>OEB</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 OEB Staff Questions NO cover letter - Delegated Authority</dc:title>
  <dc:creator>OEB</dc:creator>
  <cp:lastModifiedBy>Kelli Benincasa</cp:lastModifiedBy>
  <cp:revision>2</cp:revision>
  <cp:lastPrinted>2014-09-29T14:43:00Z</cp:lastPrinted>
  <dcterms:created xsi:type="dcterms:W3CDTF">2024-10-01T16:56:00Z</dcterms:created>
  <dcterms:modified xsi:type="dcterms:W3CDTF">2024-10-01T16:56:00Z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0x0101007A41252D04EB244E8A13BE976871780F</vt:lpwstr>
  </property>
  <property fmtid="{D5CDD505-2E9C-101B-9397-08002B2CF9AE}" pid="3" name="Order">
    <vt:r8>8500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