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4C50" w14:textId="77777777" w:rsidR="0012270C" w:rsidRPr="00FE528E" w:rsidRDefault="0012270C" w:rsidP="00AB251C">
      <w:pPr>
        <w:pStyle w:val="Default"/>
        <w:spacing w:after="360"/>
        <w:contextualSpacing/>
        <w:jc w:val="center"/>
        <w:rPr>
          <w:rFonts w:ascii="Arial" w:hAnsi="Arial" w:cs="Arial"/>
          <w:b/>
          <w:bCs/>
        </w:rPr>
      </w:pPr>
      <w:proofErr w:type="spellStart"/>
      <w:r w:rsidRPr="00FE528E">
        <w:rPr>
          <w:rFonts w:ascii="Arial" w:hAnsi="Arial" w:cs="Arial"/>
          <w:b/>
          <w:bCs/>
        </w:rPr>
        <w:t>Westario</w:t>
      </w:r>
      <w:proofErr w:type="spellEnd"/>
      <w:r w:rsidRPr="00FE528E">
        <w:rPr>
          <w:rFonts w:ascii="Arial" w:hAnsi="Arial" w:cs="Arial"/>
          <w:b/>
          <w:bCs/>
        </w:rPr>
        <w:t xml:space="preserve"> Power Inc.</w:t>
      </w:r>
    </w:p>
    <w:p w14:paraId="33D6510D" w14:textId="787F161D" w:rsidR="00A07077" w:rsidRPr="00FE528E" w:rsidRDefault="00623602" w:rsidP="00AB251C">
      <w:pPr>
        <w:pStyle w:val="Default"/>
        <w:spacing w:after="360"/>
        <w:contextualSpacing/>
        <w:jc w:val="center"/>
        <w:rPr>
          <w:rFonts w:ascii="Arial" w:hAnsi="Arial" w:cs="Arial"/>
          <w:b/>
          <w:bCs/>
        </w:rPr>
      </w:pPr>
      <w:r w:rsidRPr="00FE528E">
        <w:rPr>
          <w:rFonts w:ascii="Arial" w:hAnsi="Arial" w:cs="Arial"/>
          <w:b/>
          <w:bCs/>
        </w:rPr>
        <w:t>EB-20</w:t>
      </w:r>
      <w:r w:rsidR="0012270C" w:rsidRPr="00FE528E">
        <w:rPr>
          <w:rFonts w:ascii="Arial" w:hAnsi="Arial" w:cs="Arial"/>
          <w:b/>
          <w:bCs/>
        </w:rPr>
        <w:t>24</w:t>
      </w:r>
      <w:r w:rsidR="00B069AA" w:rsidRPr="00FE528E">
        <w:rPr>
          <w:rFonts w:ascii="Arial" w:hAnsi="Arial" w:cs="Arial"/>
          <w:b/>
          <w:bCs/>
        </w:rPr>
        <w:t>-</w:t>
      </w:r>
      <w:r w:rsidR="0012270C" w:rsidRPr="00FE528E">
        <w:rPr>
          <w:rFonts w:ascii="Arial" w:hAnsi="Arial" w:cs="Arial"/>
          <w:b/>
          <w:bCs/>
        </w:rPr>
        <w:t>0060</w:t>
      </w:r>
    </w:p>
    <w:p w14:paraId="5999C199" w14:textId="7206E35D" w:rsidR="00D77124" w:rsidRPr="00FE528E" w:rsidRDefault="0012270C" w:rsidP="00AB251C">
      <w:pPr>
        <w:pStyle w:val="Default"/>
        <w:spacing w:after="360"/>
        <w:contextualSpacing/>
        <w:jc w:val="center"/>
        <w:rPr>
          <w:rFonts w:ascii="Arial" w:hAnsi="Arial" w:cs="Arial"/>
          <w:b/>
          <w:bCs/>
        </w:rPr>
      </w:pPr>
      <w:r w:rsidRPr="00FE528E">
        <w:rPr>
          <w:rFonts w:ascii="Arial" w:hAnsi="Arial" w:cs="Arial"/>
          <w:b/>
          <w:bCs/>
        </w:rPr>
        <w:t xml:space="preserve">October </w:t>
      </w:r>
      <w:r w:rsidR="00EA3444" w:rsidRPr="00FE528E">
        <w:rPr>
          <w:rFonts w:ascii="Arial" w:hAnsi="Arial" w:cs="Arial"/>
          <w:b/>
          <w:bCs/>
        </w:rPr>
        <w:t>2</w:t>
      </w:r>
      <w:r w:rsidRPr="00FE528E">
        <w:rPr>
          <w:rFonts w:ascii="Arial" w:hAnsi="Arial" w:cs="Arial"/>
          <w:b/>
          <w:bCs/>
        </w:rPr>
        <w:t>, 2024</w:t>
      </w:r>
    </w:p>
    <w:p w14:paraId="2A0CB1B0" w14:textId="73532BF2" w:rsidR="00E86F26" w:rsidRPr="00FE528E"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FE528E">
        <w:rPr>
          <w:rFonts w:ascii="Arial" w:eastAsia="Calibri" w:hAnsi="Arial" w:cs="Arial"/>
          <w:sz w:val="24"/>
          <w:szCs w:val="24"/>
        </w:rPr>
        <w:t xml:space="preserve">Please note, </w:t>
      </w:r>
      <w:proofErr w:type="spellStart"/>
      <w:r w:rsidR="0012270C" w:rsidRPr="00FE528E">
        <w:rPr>
          <w:rFonts w:ascii="Arial" w:eastAsia="Calibri" w:hAnsi="Arial" w:cs="Arial"/>
          <w:sz w:val="24"/>
          <w:szCs w:val="24"/>
        </w:rPr>
        <w:t>Westario</w:t>
      </w:r>
      <w:proofErr w:type="spellEnd"/>
      <w:r w:rsidR="0012270C" w:rsidRPr="00FE528E">
        <w:rPr>
          <w:rFonts w:ascii="Arial" w:eastAsia="Calibri" w:hAnsi="Arial" w:cs="Arial"/>
          <w:sz w:val="24"/>
          <w:szCs w:val="24"/>
        </w:rPr>
        <w:t xml:space="preserve"> Power Inc</w:t>
      </w:r>
      <w:r w:rsidR="00AA4C98" w:rsidRPr="00FE528E">
        <w:rPr>
          <w:rFonts w:ascii="Arial" w:eastAsia="Calibri" w:hAnsi="Arial" w:cs="Arial"/>
          <w:sz w:val="24"/>
          <w:szCs w:val="24"/>
        </w:rPr>
        <w:t>.</w:t>
      </w:r>
      <w:r w:rsidR="00D77124" w:rsidRPr="00FE528E">
        <w:rPr>
          <w:rFonts w:ascii="Arial" w:eastAsia="Calibri" w:hAnsi="Arial" w:cs="Arial"/>
          <w:sz w:val="24"/>
          <w:szCs w:val="24"/>
        </w:rPr>
        <w:t xml:space="preserve"> (</w:t>
      </w:r>
      <w:proofErr w:type="spellStart"/>
      <w:r w:rsidR="00AA4C98" w:rsidRPr="00FE528E">
        <w:rPr>
          <w:rFonts w:ascii="Arial" w:eastAsia="Calibri" w:hAnsi="Arial" w:cs="Arial"/>
          <w:sz w:val="24"/>
          <w:szCs w:val="24"/>
        </w:rPr>
        <w:t>Westario</w:t>
      </w:r>
      <w:proofErr w:type="spellEnd"/>
      <w:r w:rsidR="00AA4C98" w:rsidRPr="00FE528E">
        <w:rPr>
          <w:rFonts w:ascii="Arial" w:eastAsia="Calibri" w:hAnsi="Arial" w:cs="Arial"/>
          <w:sz w:val="24"/>
          <w:szCs w:val="24"/>
        </w:rPr>
        <w:t xml:space="preserve"> Power</w:t>
      </w:r>
      <w:r w:rsidR="00D77124" w:rsidRPr="00FE528E">
        <w:rPr>
          <w:rFonts w:ascii="Arial" w:eastAsia="Calibri" w:hAnsi="Arial" w:cs="Arial"/>
          <w:sz w:val="24"/>
          <w:szCs w:val="24"/>
        </w:rPr>
        <w:t>)</w:t>
      </w:r>
      <w:r w:rsidRPr="00FE528E">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FE528E">
        <w:rPr>
          <w:rFonts w:ascii="Arial" w:eastAsia="Calibri" w:hAnsi="Arial" w:cs="Arial"/>
          <w:i/>
          <w:iCs/>
          <w:sz w:val="24"/>
          <w:szCs w:val="24"/>
        </w:rPr>
        <w:t>Freedom of Information and Protection of Privacy Act</w:t>
      </w:r>
      <w:r w:rsidRPr="00FE528E">
        <w:rPr>
          <w:rFonts w:ascii="Arial" w:eastAsia="Calibri" w:hAnsi="Arial" w:cs="Arial"/>
          <w:sz w:val="24"/>
          <w:szCs w:val="24"/>
        </w:rPr>
        <w:t xml:space="preserve">, unless filed in accordance with rule 9A of the OEB’s </w:t>
      </w:r>
      <w:r w:rsidRPr="00FE528E">
        <w:rPr>
          <w:rFonts w:ascii="Arial" w:eastAsia="Calibri" w:hAnsi="Arial" w:cs="Arial"/>
          <w:i/>
          <w:iCs/>
          <w:sz w:val="24"/>
          <w:szCs w:val="24"/>
        </w:rPr>
        <w:t>Rules of Practice and Procedure</w:t>
      </w:r>
      <w:r w:rsidRPr="00FE528E">
        <w:rPr>
          <w:rFonts w:ascii="Arial" w:eastAsia="Calibri" w:hAnsi="Arial" w:cs="Arial"/>
          <w:sz w:val="24"/>
          <w:szCs w:val="24"/>
        </w:rPr>
        <w:t>.</w:t>
      </w:r>
    </w:p>
    <w:bookmarkEnd w:id="0"/>
    <w:p w14:paraId="7CFAFC4F" w14:textId="77777777" w:rsidR="00D57E8C" w:rsidRPr="00FE528E" w:rsidRDefault="00D57E8C" w:rsidP="00AB251C">
      <w:pPr>
        <w:spacing w:after="240"/>
        <w:contextualSpacing/>
        <w:rPr>
          <w:rFonts w:ascii="Arial" w:hAnsi="Arial" w:cs="Arial"/>
          <w:b/>
          <w:sz w:val="24"/>
          <w:szCs w:val="24"/>
        </w:rPr>
      </w:pPr>
      <w:r w:rsidRPr="00FE528E">
        <w:rPr>
          <w:rFonts w:ascii="Arial" w:hAnsi="Arial" w:cs="Arial"/>
          <w:b/>
          <w:sz w:val="24"/>
          <w:szCs w:val="24"/>
        </w:rPr>
        <w:t>Staff Question-1</w:t>
      </w:r>
    </w:p>
    <w:p w14:paraId="53712F33" w14:textId="2A1D82F8" w:rsidR="00AA4C98" w:rsidRPr="00FE528E" w:rsidRDefault="00AA4C98" w:rsidP="00AB251C">
      <w:pPr>
        <w:spacing w:after="240"/>
        <w:contextualSpacing/>
        <w:rPr>
          <w:rFonts w:ascii="Arial" w:hAnsi="Arial" w:cs="Arial"/>
          <w:b/>
          <w:sz w:val="24"/>
          <w:szCs w:val="24"/>
        </w:rPr>
      </w:pPr>
      <w:r w:rsidRPr="00FE528E">
        <w:rPr>
          <w:rFonts w:ascii="Arial" w:hAnsi="Arial" w:cs="Arial"/>
          <w:b/>
          <w:sz w:val="24"/>
          <w:szCs w:val="24"/>
        </w:rPr>
        <w:t>Reference:</w:t>
      </w:r>
    </w:p>
    <w:p w14:paraId="20B6A6D8" w14:textId="5C6B50AD" w:rsidR="00C41148" w:rsidRPr="00FE528E" w:rsidRDefault="00B55046" w:rsidP="004C5E4C">
      <w:pPr>
        <w:pStyle w:val="ListParagraph"/>
        <w:numPr>
          <w:ilvl w:val="0"/>
          <w:numId w:val="1"/>
        </w:numPr>
        <w:spacing w:after="0" w:line="240" w:lineRule="auto"/>
        <w:ind w:left="720" w:hanging="360"/>
        <w:rPr>
          <w:rFonts w:ascii="Arial" w:eastAsia="Calibri" w:hAnsi="Arial" w:cs="Arial"/>
          <w:sz w:val="24"/>
          <w:szCs w:val="24"/>
        </w:rPr>
      </w:pPr>
      <w:r w:rsidRPr="00FE528E">
        <w:rPr>
          <w:rFonts w:ascii="Arial" w:eastAsia="Calibri" w:hAnsi="Arial" w:cs="Arial"/>
          <w:sz w:val="24"/>
          <w:szCs w:val="24"/>
        </w:rPr>
        <w:t xml:space="preserve">EB-2024-0060, 2025 Rates Application, </w:t>
      </w:r>
      <w:r w:rsidR="0095566D" w:rsidRPr="00FE528E">
        <w:rPr>
          <w:rFonts w:ascii="Arial" w:eastAsia="Calibri" w:hAnsi="Arial" w:cs="Arial"/>
          <w:sz w:val="24"/>
          <w:szCs w:val="24"/>
        </w:rPr>
        <w:t xml:space="preserve">Rate Generator Model, Tab 11, Cell </w:t>
      </w:r>
      <w:r w:rsidR="008F2BEA" w:rsidRPr="00FE528E">
        <w:rPr>
          <w:rFonts w:ascii="Arial" w:eastAsia="Calibri" w:hAnsi="Arial" w:cs="Arial"/>
          <w:sz w:val="24"/>
          <w:szCs w:val="24"/>
        </w:rPr>
        <w:t>J22</w:t>
      </w:r>
      <w:r w:rsidR="00416970" w:rsidRPr="00FE528E">
        <w:rPr>
          <w:rFonts w:ascii="Arial" w:eastAsia="Calibri" w:hAnsi="Arial" w:cs="Arial"/>
          <w:sz w:val="24"/>
          <w:szCs w:val="24"/>
        </w:rPr>
        <w:t xml:space="preserve"> and L22</w:t>
      </w:r>
    </w:p>
    <w:p w14:paraId="5B487EA8" w14:textId="642E1567" w:rsidR="000147FA" w:rsidRPr="00FE528E" w:rsidRDefault="000B6522" w:rsidP="004C5E4C">
      <w:pPr>
        <w:pStyle w:val="ListParagraph"/>
        <w:numPr>
          <w:ilvl w:val="0"/>
          <w:numId w:val="1"/>
        </w:numPr>
        <w:spacing w:after="0" w:line="240" w:lineRule="auto"/>
        <w:ind w:left="720" w:hanging="360"/>
        <w:rPr>
          <w:rFonts w:ascii="Arial" w:eastAsia="Calibri" w:hAnsi="Arial" w:cs="Arial"/>
          <w:sz w:val="24"/>
          <w:szCs w:val="24"/>
        </w:rPr>
      </w:pPr>
      <w:r w:rsidRPr="00FE528E">
        <w:rPr>
          <w:rFonts w:ascii="Arial" w:eastAsia="Calibri" w:hAnsi="Arial" w:cs="Arial"/>
          <w:sz w:val="24"/>
          <w:szCs w:val="24"/>
        </w:rPr>
        <w:t>EB-2024-</w:t>
      </w:r>
      <w:r w:rsidR="00A71AD6" w:rsidRPr="00FE528E">
        <w:rPr>
          <w:rFonts w:ascii="Arial" w:eastAsia="Calibri" w:hAnsi="Arial" w:cs="Arial"/>
          <w:sz w:val="24"/>
          <w:szCs w:val="24"/>
        </w:rPr>
        <w:t xml:space="preserve">0183, </w:t>
      </w:r>
      <w:r w:rsidR="00120B7C" w:rsidRPr="00FE528E">
        <w:rPr>
          <w:rFonts w:ascii="Arial" w:eastAsia="Calibri" w:hAnsi="Arial" w:cs="Arial"/>
          <w:sz w:val="24"/>
          <w:szCs w:val="24"/>
        </w:rPr>
        <w:t xml:space="preserve">Decision &amp; </w:t>
      </w:r>
      <w:r w:rsidR="00B71033" w:rsidRPr="00FE528E">
        <w:rPr>
          <w:rFonts w:ascii="Arial" w:eastAsia="Calibri" w:hAnsi="Arial" w:cs="Arial"/>
          <w:sz w:val="24"/>
          <w:szCs w:val="24"/>
        </w:rPr>
        <w:t>R</w:t>
      </w:r>
      <w:r w:rsidR="00120B7C" w:rsidRPr="00FE528E">
        <w:rPr>
          <w:rFonts w:ascii="Arial" w:eastAsia="Calibri" w:hAnsi="Arial" w:cs="Arial"/>
          <w:sz w:val="24"/>
          <w:szCs w:val="24"/>
        </w:rPr>
        <w:t xml:space="preserve">ate Order, </w:t>
      </w:r>
      <w:r w:rsidR="00A71AD6" w:rsidRPr="00FE528E">
        <w:rPr>
          <w:rFonts w:ascii="Arial" w:eastAsia="Calibri" w:hAnsi="Arial" w:cs="Arial"/>
          <w:sz w:val="24"/>
          <w:szCs w:val="24"/>
        </w:rPr>
        <w:t xml:space="preserve">2024 Uniform Transmission </w:t>
      </w:r>
      <w:r w:rsidR="007F65ED" w:rsidRPr="00FE528E">
        <w:rPr>
          <w:rFonts w:ascii="Arial" w:eastAsia="Calibri" w:hAnsi="Arial" w:cs="Arial"/>
          <w:sz w:val="24"/>
          <w:szCs w:val="24"/>
        </w:rPr>
        <w:t xml:space="preserve">Rates </w:t>
      </w:r>
      <w:r w:rsidR="009768B0" w:rsidRPr="00FE528E">
        <w:rPr>
          <w:rFonts w:ascii="Arial" w:eastAsia="Calibri" w:hAnsi="Arial" w:cs="Arial"/>
          <w:sz w:val="24"/>
          <w:szCs w:val="24"/>
        </w:rPr>
        <w:t>(UTRs)</w:t>
      </w:r>
      <w:r w:rsidR="00222A98" w:rsidRPr="00FE528E">
        <w:rPr>
          <w:rFonts w:ascii="Arial" w:eastAsia="Calibri" w:hAnsi="Arial" w:cs="Arial"/>
          <w:sz w:val="24"/>
          <w:szCs w:val="24"/>
        </w:rPr>
        <w:t xml:space="preserve"> </w:t>
      </w:r>
      <w:r w:rsidR="007F65ED" w:rsidRPr="00FE528E">
        <w:rPr>
          <w:rFonts w:ascii="Arial" w:eastAsia="Calibri" w:hAnsi="Arial" w:cs="Arial"/>
          <w:sz w:val="24"/>
          <w:szCs w:val="24"/>
        </w:rPr>
        <w:t>Update</w:t>
      </w:r>
      <w:r w:rsidR="00992E9D" w:rsidRPr="00FE528E">
        <w:rPr>
          <w:rFonts w:ascii="Arial" w:eastAsia="Calibri" w:hAnsi="Arial" w:cs="Arial"/>
          <w:sz w:val="24"/>
          <w:szCs w:val="24"/>
        </w:rPr>
        <w:t xml:space="preserve">, Schedule </w:t>
      </w:r>
      <w:r w:rsidR="00CF6132" w:rsidRPr="00FE528E">
        <w:rPr>
          <w:rFonts w:ascii="Arial" w:eastAsia="Calibri" w:hAnsi="Arial" w:cs="Arial"/>
          <w:sz w:val="24"/>
          <w:szCs w:val="24"/>
        </w:rPr>
        <w:t>A, Issued June 27, 2024</w:t>
      </w:r>
    </w:p>
    <w:p w14:paraId="742BD103" w14:textId="77777777" w:rsidR="007B222D" w:rsidRPr="00FE528E" w:rsidRDefault="007B222D" w:rsidP="001676F7">
      <w:pPr>
        <w:spacing w:after="0" w:line="240" w:lineRule="auto"/>
        <w:rPr>
          <w:rFonts w:ascii="Arial" w:eastAsia="Calibri" w:hAnsi="Arial" w:cs="Arial"/>
          <w:sz w:val="24"/>
          <w:szCs w:val="24"/>
        </w:rPr>
      </w:pPr>
    </w:p>
    <w:p w14:paraId="428EF8C6" w14:textId="294EB864" w:rsidR="001676F7" w:rsidRPr="00FE528E" w:rsidRDefault="001676F7" w:rsidP="001676F7">
      <w:pPr>
        <w:spacing w:after="0" w:line="240" w:lineRule="auto"/>
        <w:rPr>
          <w:rFonts w:ascii="Arial" w:eastAsia="Calibri" w:hAnsi="Arial" w:cs="Arial"/>
          <w:sz w:val="24"/>
          <w:szCs w:val="24"/>
        </w:rPr>
      </w:pPr>
      <w:r w:rsidRPr="00FE528E">
        <w:rPr>
          <w:rFonts w:ascii="Arial" w:eastAsia="Calibri" w:hAnsi="Arial" w:cs="Arial"/>
          <w:sz w:val="24"/>
          <w:szCs w:val="24"/>
        </w:rPr>
        <w:t>Preamble:</w:t>
      </w:r>
    </w:p>
    <w:p w14:paraId="0E731025" w14:textId="26539193" w:rsidR="000B105B" w:rsidRPr="00FE528E" w:rsidRDefault="000B105B" w:rsidP="000B105B">
      <w:pPr>
        <w:spacing w:after="0" w:line="240" w:lineRule="auto"/>
        <w:rPr>
          <w:rFonts w:ascii="Arial" w:eastAsia="Calibri" w:hAnsi="Arial" w:cs="Arial"/>
          <w:sz w:val="24"/>
          <w:szCs w:val="24"/>
        </w:rPr>
      </w:pPr>
      <w:r w:rsidRPr="00FE528E">
        <w:rPr>
          <w:rFonts w:ascii="Arial" w:eastAsia="Calibri" w:hAnsi="Arial" w:cs="Arial"/>
          <w:sz w:val="24"/>
          <w:szCs w:val="24"/>
        </w:rPr>
        <w:t xml:space="preserve">Distributors are required to input the applicable rates in Tab 11 under the </w:t>
      </w:r>
      <w:r w:rsidR="00222A98" w:rsidRPr="00FE528E">
        <w:rPr>
          <w:rFonts w:ascii="Arial" w:eastAsia="Calibri" w:hAnsi="Arial" w:cs="Arial"/>
          <w:sz w:val="24"/>
          <w:szCs w:val="24"/>
        </w:rPr>
        <w:t>UTRs</w:t>
      </w:r>
      <w:r w:rsidRPr="00FE528E">
        <w:rPr>
          <w:rFonts w:ascii="Arial" w:eastAsia="Calibri" w:hAnsi="Arial" w:cs="Arial"/>
          <w:sz w:val="24"/>
          <w:szCs w:val="24"/>
        </w:rPr>
        <w:t xml:space="preserve"> section of the Rate Generator model. These rates must align with the most recent OEB Decision and Rate Order on </w:t>
      </w:r>
      <w:r w:rsidR="00222A98" w:rsidRPr="00FE528E">
        <w:rPr>
          <w:rFonts w:ascii="Arial" w:eastAsia="Calibri" w:hAnsi="Arial" w:cs="Arial"/>
          <w:sz w:val="24"/>
          <w:szCs w:val="24"/>
        </w:rPr>
        <w:t>UTRs</w:t>
      </w:r>
      <w:r w:rsidRPr="00FE528E">
        <w:rPr>
          <w:rFonts w:ascii="Arial" w:eastAsia="Calibri" w:hAnsi="Arial" w:cs="Arial"/>
          <w:sz w:val="24"/>
          <w:szCs w:val="24"/>
        </w:rPr>
        <w:t>. OEB staff observe</w:t>
      </w:r>
      <w:r w:rsidR="00F71B9A" w:rsidRPr="00FE528E">
        <w:rPr>
          <w:rFonts w:ascii="Arial" w:eastAsia="Calibri" w:hAnsi="Arial" w:cs="Arial"/>
          <w:sz w:val="24"/>
          <w:szCs w:val="24"/>
        </w:rPr>
        <w:t>s</w:t>
      </w:r>
      <w:r w:rsidRPr="00FE528E">
        <w:rPr>
          <w:rFonts w:ascii="Arial" w:eastAsia="Calibri" w:hAnsi="Arial" w:cs="Arial"/>
          <w:sz w:val="24"/>
          <w:szCs w:val="24"/>
        </w:rPr>
        <w:t xml:space="preserve"> that the rate entered in Ref. (I) do not correspond with the OEB’s latest Decision and Rate Order on Uniform Transmission Rates as outlined in Ref. (II).</w:t>
      </w:r>
    </w:p>
    <w:p w14:paraId="58ADDB73" w14:textId="77777777" w:rsidR="001676F7" w:rsidRPr="00FE528E" w:rsidRDefault="001676F7" w:rsidP="001676F7">
      <w:pPr>
        <w:spacing w:after="0" w:line="240" w:lineRule="auto"/>
        <w:rPr>
          <w:rFonts w:ascii="Arial" w:eastAsia="Calibri" w:hAnsi="Arial" w:cs="Arial"/>
          <w:sz w:val="24"/>
          <w:szCs w:val="24"/>
        </w:rPr>
      </w:pPr>
    </w:p>
    <w:p w14:paraId="43AE605B" w14:textId="3ACE7A13" w:rsidR="00D57E8C" w:rsidRPr="00FE528E" w:rsidRDefault="00AA4C98" w:rsidP="00AB251C">
      <w:pPr>
        <w:spacing w:after="240"/>
        <w:contextualSpacing/>
        <w:rPr>
          <w:rFonts w:ascii="Arial" w:hAnsi="Arial" w:cs="Arial"/>
          <w:b/>
          <w:sz w:val="24"/>
          <w:szCs w:val="24"/>
        </w:rPr>
      </w:pPr>
      <w:r w:rsidRPr="00FE528E">
        <w:rPr>
          <w:rFonts w:ascii="Arial" w:hAnsi="Arial" w:cs="Arial"/>
          <w:b/>
          <w:sz w:val="24"/>
          <w:szCs w:val="24"/>
        </w:rPr>
        <w:t>Question(s):</w:t>
      </w:r>
    </w:p>
    <w:p w14:paraId="1D81FACA" w14:textId="22D7D691" w:rsidR="008B6DA3" w:rsidRPr="00FE528E" w:rsidRDefault="00AC51DC" w:rsidP="004C5E4C">
      <w:pPr>
        <w:pStyle w:val="ListParagraph"/>
        <w:numPr>
          <w:ilvl w:val="0"/>
          <w:numId w:val="2"/>
        </w:numPr>
        <w:spacing w:after="240"/>
        <w:rPr>
          <w:rFonts w:ascii="Arial" w:eastAsia="Calibri" w:hAnsi="Arial" w:cs="Arial"/>
          <w:sz w:val="24"/>
          <w:szCs w:val="24"/>
        </w:rPr>
      </w:pPr>
      <w:r w:rsidRPr="00FE528E">
        <w:rPr>
          <w:rFonts w:ascii="Arial" w:eastAsia="Calibri" w:hAnsi="Arial" w:cs="Arial"/>
          <w:sz w:val="24"/>
          <w:szCs w:val="24"/>
        </w:rPr>
        <w:t xml:space="preserve">OEB staff has corrected the rate in Ref. (I). Please verify the </w:t>
      </w:r>
      <w:r w:rsidR="001A33F6" w:rsidRPr="00FE528E">
        <w:rPr>
          <w:rFonts w:ascii="Arial" w:eastAsia="Calibri" w:hAnsi="Arial" w:cs="Arial"/>
          <w:sz w:val="24"/>
          <w:szCs w:val="24"/>
        </w:rPr>
        <w:t>correction</w:t>
      </w:r>
      <w:r w:rsidRPr="00FE528E">
        <w:rPr>
          <w:rFonts w:ascii="Arial" w:eastAsia="Calibri" w:hAnsi="Arial" w:cs="Arial"/>
          <w:sz w:val="24"/>
          <w:szCs w:val="24"/>
        </w:rPr>
        <w:t xml:space="preserve"> and ensure that all subsequent tabs are updated accordingly.</w:t>
      </w:r>
    </w:p>
    <w:p w14:paraId="74E5E194" w14:textId="08574E54" w:rsidR="00C65FEF" w:rsidRPr="00FE528E" w:rsidRDefault="00D87529" w:rsidP="004C5E4C">
      <w:pPr>
        <w:pStyle w:val="ListParagraph"/>
        <w:numPr>
          <w:ilvl w:val="0"/>
          <w:numId w:val="2"/>
        </w:numPr>
        <w:spacing w:after="240"/>
        <w:rPr>
          <w:rFonts w:ascii="Arial" w:eastAsia="Calibri" w:hAnsi="Arial" w:cs="Arial"/>
          <w:sz w:val="24"/>
          <w:szCs w:val="24"/>
        </w:rPr>
      </w:pPr>
      <w:r w:rsidRPr="00FE528E">
        <w:rPr>
          <w:rFonts w:ascii="Arial" w:eastAsia="Calibri" w:hAnsi="Arial" w:cs="Arial"/>
          <w:sz w:val="24"/>
          <w:szCs w:val="24"/>
        </w:rPr>
        <w:t xml:space="preserve">Please provide </w:t>
      </w:r>
      <w:r w:rsidR="00222A98" w:rsidRPr="00FE528E">
        <w:rPr>
          <w:rFonts w:ascii="Arial" w:eastAsia="Calibri" w:hAnsi="Arial" w:cs="Arial"/>
          <w:sz w:val="24"/>
          <w:szCs w:val="24"/>
        </w:rPr>
        <w:t xml:space="preserve">an </w:t>
      </w:r>
      <w:r w:rsidR="009768B0" w:rsidRPr="00FE528E">
        <w:rPr>
          <w:rFonts w:ascii="Arial" w:eastAsia="Calibri" w:hAnsi="Arial" w:cs="Arial"/>
          <w:sz w:val="24"/>
          <w:szCs w:val="24"/>
        </w:rPr>
        <w:t xml:space="preserve">explanation for not using the most </w:t>
      </w:r>
      <w:r w:rsidR="00222A98" w:rsidRPr="00FE528E">
        <w:rPr>
          <w:rFonts w:ascii="Arial" w:eastAsia="Calibri" w:hAnsi="Arial" w:cs="Arial"/>
          <w:sz w:val="24"/>
          <w:szCs w:val="24"/>
        </w:rPr>
        <w:t xml:space="preserve">up-to-date </w:t>
      </w:r>
      <w:r w:rsidR="0064641C" w:rsidRPr="00FE528E">
        <w:rPr>
          <w:rFonts w:ascii="Arial" w:eastAsia="Calibri" w:hAnsi="Arial" w:cs="Arial"/>
          <w:sz w:val="24"/>
          <w:szCs w:val="24"/>
        </w:rPr>
        <w:t>rates in Ref. (I).</w:t>
      </w:r>
    </w:p>
    <w:p w14:paraId="0D9FCE72" w14:textId="79AA3021" w:rsidR="00AA4C98" w:rsidRPr="00FE528E" w:rsidRDefault="00AA4C98" w:rsidP="00AA4C98">
      <w:pPr>
        <w:spacing w:after="240"/>
        <w:contextualSpacing/>
        <w:rPr>
          <w:rFonts w:ascii="Arial" w:hAnsi="Arial" w:cs="Arial"/>
          <w:b/>
          <w:sz w:val="24"/>
          <w:szCs w:val="24"/>
        </w:rPr>
      </w:pPr>
      <w:r w:rsidRPr="00FE528E">
        <w:rPr>
          <w:rFonts w:ascii="Arial" w:hAnsi="Arial" w:cs="Arial"/>
          <w:b/>
          <w:sz w:val="24"/>
          <w:szCs w:val="24"/>
        </w:rPr>
        <w:t>Staff Question-</w:t>
      </w:r>
      <w:r w:rsidR="00E45234" w:rsidRPr="00FE528E">
        <w:rPr>
          <w:rFonts w:ascii="Arial" w:hAnsi="Arial" w:cs="Arial"/>
          <w:b/>
          <w:sz w:val="24"/>
          <w:szCs w:val="24"/>
        </w:rPr>
        <w:t>2</w:t>
      </w:r>
    </w:p>
    <w:p w14:paraId="403DF64A" w14:textId="77777777" w:rsidR="008B6DA3" w:rsidRPr="00FE528E" w:rsidRDefault="008B6DA3" w:rsidP="008B6DA3">
      <w:pPr>
        <w:spacing w:after="240"/>
        <w:contextualSpacing/>
        <w:rPr>
          <w:rFonts w:ascii="Arial" w:hAnsi="Arial" w:cs="Arial"/>
          <w:b/>
          <w:sz w:val="24"/>
          <w:szCs w:val="24"/>
        </w:rPr>
      </w:pPr>
      <w:r w:rsidRPr="00FE528E">
        <w:rPr>
          <w:rFonts w:ascii="Arial" w:hAnsi="Arial" w:cs="Arial"/>
          <w:b/>
          <w:sz w:val="24"/>
          <w:szCs w:val="24"/>
        </w:rPr>
        <w:t>Reference:</w:t>
      </w:r>
    </w:p>
    <w:p w14:paraId="5EBC8ACC" w14:textId="729913EF" w:rsidR="00C376F1" w:rsidRPr="00FE528E" w:rsidRDefault="00C376F1" w:rsidP="004C5E4C">
      <w:pPr>
        <w:pStyle w:val="ListParagraph"/>
        <w:numPr>
          <w:ilvl w:val="0"/>
          <w:numId w:val="3"/>
        </w:numPr>
        <w:spacing w:after="0" w:line="240" w:lineRule="auto"/>
        <w:ind w:left="810" w:hanging="450"/>
        <w:rPr>
          <w:rFonts w:ascii="Arial" w:eastAsia="Calibri" w:hAnsi="Arial" w:cs="Arial"/>
          <w:sz w:val="24"/>
          <w:szCs w:val="24"/>
        </w:rPr>
      </w:pPr>
      <w:r w:rsidRPr="00FE528E">
        <w:rPr>
          <w:rFonts w:ascii="Arial" w:eastAsia="Calibri" w:hAnsi="Arial" w:cs="Arial"/>
          <w:sz w:val="24"/>
          <w:szCs w:val="24"/>
        </w:rPr>
        <w:t>EB-2024-0060, Rate Generator Model, Tab 3</w:t>
      </w:r>
      <w:r w:rsidR="00912E4C" w:rsidRPr="00FE528E">
        <w:rPr>
          <w:rFonts w:ascii="Arial" w:eastAsia="Calibri" w:hAnsi="Arial" w:cs="Arial"/>
          <w:sz w:val="24"/>
          <w:szCs w:val="24"/>
        </w:rPr>
        <w:t xml:space="preserve"> Continuity Schedule</w:t>
      </w:r>
      <w:r w:rsidRPr="00FE528E">
        <w:rPr>
          <w:rFonts w:ascii="Arial" w:eastAsia="Calibri" w:hAnsi="Arial" w:cs="Arial"/>
          <w:sz w:val="24"/>
          <w:szCs w:val="24"/>
        </w:rPr>
        <w:t>, Column</w:t>
      </w:r>
      <w:r w:rsidR="00912E4C" w:rsidRPr="00FE528E">
        <w:rPr>
          <w:rFonts w:ascii="Arial" w:eastAsia="Calibri" w:hAnsi="Arial" w:cs="Arial"/>
          <w:sz w:val="24"/>
          <w:szCs w:val="24"/>
        </w:rPr>
        <w:t>s BO and BP</w:t>
      </w:r>
    </w:p>
    <w:p w14:paraId="266F1085" w14:textId="574CE14E" w:rsidR="0015425F" w:rsidRPr="00FE528E" w:rsidRDefault="0085360B" w:rsidP="004C5E4C">
      <w:pPr>
        <w:pStyle w:val="ListParagraph"/>
        <w:numPr>
          <w:ilvl w:val="0"/>
          <w:numId w:val="3"/>
        </w:numPr>
        <w:spacing w:after="0" w:line="240" w:lineRule="auto"/>
        <w:ind w:left="810" w:hanging="450"/>
        <w:rPr>
          <w:rFonts w:ascii="Arial" w:eastAsia="Calibri" w:hAnsi="Arial" w:cs="Arial"/>
          <w:sz w:val="24"/>
          <w:szCs w:val="24"/>
        </w:rPr>
      </w:pPr>
      <w:r w:rsidRPr="00FE528E">
        <w:rPr>
          <w:rFonts w:ascii="Arial" w:eastAsia="Calibri" w:hAnsi="Arial" w:cs="Arial"/>
          <w:sz w:val="24"/>
          <w:szCs w:val="24"/>
        </w:rPr>
        <w:t>EB</w:t>
      </w:r>
      <w:r w:rsidR="00587A6B" w:rsidRPr="00FE528E">
        <w:rPr>
          <w:rFonts w:ascii="Arial" w:eastAsia="Calibri" w:hAnsi="Arial" w:cs="Arial"/>
          <w:sz w:val="24"/>
          <w:szCs w:val="24"/>
        </w:rPr>
        <w:t xml:space="preserve">-2022-0070, </w:t>
      </w:r>
      <w:r w:rsidR="00934B0B" w:rsidRPr="00FE528E">
        <w:rPr>
          <w:rFonts w:ascii="Arial" w:eastAsia="Calibri" w:hAnsi="Arial" w:cs="Arial"/>
          <w:sz w:val="24"/>
          <w:szCs w:val="24"/>
        </w:rPr>
        <w:t>Manager’s Summary</w:t>
      </w:r>
      <w:r w:rsidR="00587A6B" w:rsidRPr="00FE528E">
        <w:rPr>
          <w:rFonts w:ascii="Arial" w:eastAsia="Calibri" w:hAnsi="Arial" w:cs="Arial"/>
          <w:sz w:val="24"/>
          <w:szCs w:val="24"/>
        </w:rPr>
        <w:t>, August 4, 2022</w:t>
      </w:r>
      <w:r w:rsidR="00522A0C" w:rsidRPr="00FE528E">
        <w:rPr>
          <w:rFonts w:ascii="Arial" w:eastAsia="Calibri" w:hAnsi="Arial" w:cs="Arial"/>
          <w:sz w:val="24"/>
          <w:szCs w:val="24"/>
        </w:rPr>
        <w:t>, Pg. 14</w:t>
      </w:r>
    </w:p>
    <w:p w14:paraId="772E691A" w14:textId="78907DFE" w:rsidR="00A13C44" w:rsidRPr="00FE528E" w:rsidRDefault="00A4142C" w:rsidP="004C5E4C">
      <w:pPr>
        <w:pStyle w:val="ListParagraph"/>
        <w:numPr>
          <w:ilvl w:val="0"/>
          <w:numId w:val="3"/>
        </w:numPr>
        <w:spacing w:after="0" w:line="240" w:lineRule="auto"/>
        <w:ind w:left="810" w:hanging="450"/>
        <w:rPr>
          <w:rFonts w:ascii="Arial" w:eastAsia="Calibri" w:hAnsi="Arial" w:cs="Arial"/>
          <w:sz w:val="24"/>
          <w:szCs w:val="24"/>
        </w:rPr>
      </w:pPr>
      <w:bookmarkStart w:id="1" w:name="_Hlk177545165"/>
      <w:r w:rsidRPr="00FE528E">
        <w:rPr>
          <w:rFonts w:ascii="Arial" w:eastAsia="Calibri" w:hAnsi="Arial" w:cs="Arial"/>
          <w:sz w:val="24"/>
          <w:szCs w:val="24"/>
        </w:rPr>
        <w:t>Chapter 3</w:t>
      </w:r>
      <w:r w:rsidR="004619EC" w:rsidRPr="00FE528E">
        <w:rPr>
          <w:rFonts w:ascii="Arial" w:eastAsia="Calibri" w:hAnsi="Arial" w:cs="Arial"/>
          <w:sz w:val="24"/>
          <w:szCs w:val="24"/>
        </w:rPr>
        <w:t xml:space="preserve"> - </w:t>
      </w:r>
      <w:r w:rsidR="003D73EB" w:rsidRPr="00FE528E">
        <w:rPr>
          <w:rFonts w:ascii="Arial" w:eastAsia="Calibri" w:hAnsi="Arial" w:cs="Arial"/>
          <w:sz w:val="24"/>
          <w:szCs w:val="24"/>
        </w:rPr>
        <w:t>Filing Requirement</w:t>
      </w:r>
      <w:r w:rsidR="00D5456A" w:rsidRPr="00FE528E">
        <w:rPr>
          <w:rFonts w:ascii="Arial" w:eastAsia="Calibri" w:hAnsi="Arial" w:cs="Arial"/>
          <w:sz w:val="24"/>
          <w:szCs w:val="24"/>
        </w:rPr>
        <w:t>s</w:t>
      </w:r>
      <w:r w:rsidR="003D73EB" w:rsidRPr="00FE528E">
        <w:rPr>
          <w:rFonts w:ascii="Arial" w:eastAsia="Calibri" w:hAnsi="Arial" w:cs="Arial"/>
          <w:sz w:val="24"/>
          <w:szCs w:val="24"/>
        </w:rPr>
        <w:t xml:space="preserve"> for Electricity Distribution Rate Applications Filed in 2024 for Rates</w:t>
      </w:r>
      <w:r w:rsidR="00DD6D39" w:rsidRPr="00FE528E">
        <w:rPr>
          <w:rFonts w:ascii="Arial" w:eastAsia="Calibri" w:hAnsi="Arial" w:cs="Arial"/>
          <w:sz w:val="24"/>
          <w:szCs w:val="24"/>
        </w:rPr>
        <w:t xml:space="preserve"> Taking Effect in 2025, June 18, 2024, Pg. 16</w:t>
      </w:r>
    </w:p>
    <w:bookmarkEnd w:id="1"/>
    <w:p w14:paraId="0D724772" w14:textId="77777777" w:rsidR="00522A0C" w:rsidRPr="00FE528E" w:rsidRDefault="00522A0C" w:rsidP="008B6DA3">
      <w:pPr>
        <w:spacing w:after="240"/>
        <w:contextualSpacing/>
        <w:rPr>
          <w:rFonts w:ascii="Arial" w:hAnsi="Arial" w:cs="Arial"/>
          <w:bCs/>
          <w:sz w:val="24"/>
          <w:szCs w:val="24"/>
        </w:rPr>
      </w:pPr>
    </w:p>
    <w:p w14:paraId="60222559" w14:textId="23D59696" w:rsidR="009C3BDE" w:rsidRPr="00FE528E" w:rsidRDefault="002155F3" w:rsidP="008B6DA3">
      <w:pPr>
        <w:spacing w:after="240"/>
        <w:contextualSpacing/>
        <w:rPr>
          <w:rFonts w:ascii="Arial" w:hAnsi="Arial" w:cs="Arial"/>
          <w:bCs/>
          <w:sz w:val="24"/>
          <w:szCs w:val="24"/>
        </w:rPr>
      </w:pPr>
      <w:r w:rsidRPr="00FE528E">
        <w:rPr>
          <w:rFonts w:ascii="Arial" w:hAnsi="Arial" w:cs="Arial"/>
          <w:bCs/>
          <w:sz w:val="24"/>
          <w:szCs w:val="24"/>
        </w:rPr>
        <w:t>Preamble:</w:t>
      </w:r>
    </w:p>
    <w:p w14:paraId="09BD1782" w14:textId="1C5DDCCB" w:rsidR="007A0A69" w:rsidRPr="00FE528E" w:rsidRDefault="007A0A69" w:rsidP="008B6DA3">
      <w:pPr>
        <w:spacing w:after="240"/>
        <w:contextualSpacing/>
        <w:rPr>
          <w:rFonts w:ascii="Arial" w:hAnsi="Arial" w:cs="Arial"/>
          <w:bCs/>
          <w:sz w:val="24"/>
          <w:szCs w:val="24"/>
        </w:rPr>
      </w:pPr>
      <w:r w:rsidRPr="00FE528E">
        <w:rPr>
          <w:rFonts w:ascii="Arial" w:hAnsi="Arial" w:cs="Arial"/>
          <w:bCs/>
          <w:sz w:val="24"/>
          <w:szCs w:val="24"/>
        </w:rPr>
        <w:t xml:space="preserve">OEB staff </w:t>
      </w:r>
      <w:r w:rsidR="00C60968" w:rsidRPr="00FE528E">
        <w:rPr>
          <w:rFonts w:ascii="Arial" w:hAnsi="Arial" w:cs="Arial"/>
          <w:bCs/>
          <w:sz w:val="24"/>
          <w:szCs w:val="24"/>
        </w:rPr>
        <w:t xml:space="preserve">notes </w:t>
      </w:r>
      <w:r w:rsidRPr="00FE528E">
        <w:rPr>
          <w:rFonts w:ascii="Arial" w:hAnsi="Arial" w:cs="Arial"/>
          <w:bCs/>
          <w:sz w:val="24"/>
          <w:szCs w:val="24"/>
        </w:rPr>
        <w:t>principal and interest balances in Sub-accounts 1595 (2018 and pre-2018) and 1595 (2019)</w:t>
      </w:r>
      <w:r w:rsidR="004E39EF" w:rsidRPr="00FE528E">
        <w:rPr>
          <w:rFonts w:ascii="Arial" w:hAnsi="Arial" w:cs="Arial"/>
          <w:bCs/>
          <w:sz w:val="24"/>
          <w:szCs w:val="24"/>
        </w:rPr>
        <w:t xml:space="preserve"> in Ref. (I)</w:t>
      </w:r>
      <w:r w:rsidRPr="00FE528E">
        <w:rPr>
          <w:rFonts w:ascii="Arial" w:hAnsi="Arial" w:cs="Arial"/>
          <w:bCs/>
          <w:sz w:val="24"/>
          <w:szCs w:val="24"/>
        </w:rPr>
        <w:t xml:space="preserve">. Additionally, </w:t>
      </w:r>
      <w:r w:rsidR="008D537A" w:rsidRPr="00FE528E">
        <w:rPr>
          <w:rFonts w:ascii="Arial" w:hAnsi="Arial" w:cs="Arial"/>
          <w:bCs/>
          <w:sz w:val="24"/>
          <w:szCs w:val="24"/>
        </w:rPr>
        <w:t xml:space="preserve">OEB </w:t>
      </w:r>
      <w:r w:rsidRPr="00FE528E">
        <w:rPr>
          <w:rFonts w:ascii="Arial" w:hAnsi="Arial" w:cs="Arial"/>
          <w:bCs/>
          <w:sz w:val="24"/>
          <w:szCs w:val="24"/>
        </w:rPr>
        <w:t>staff notes that in its 2023 Rates Application</w:t>
      </w:r>
      <w:r w:rsidR="003F38E8" w:rsidRPr="00FE528E">
        <w:rPr>
          <w:rFonts w:ascii="Arial" w:hAnsi="Arial" w:cs="Arial"/>
          <w:bCs/>
          <w:sz w:val="24"/>
          <w:szCs w:val="24"/>
        </w:rPr>
        <w:t>,</w:t>
      </w:r>
      <w:r w:rsidRPr="00FE528E">
        <w:rPr>
          <w:rFonts w:ascii="Arial" w:hAnsi="Arial" w:cs="Arial"/>
          <w:bCs/>
          <w:sz w:val="24"/>
          <w:szCs w:val="24"/>
        </w:rPr>
        <w:t xml:space="preserve"> </w:t>
      </w:r>
      <w:proofErr w:type="spellStart"/>
      <w:r w:rsidRPr="00FE528E">
        <w:rPr>
          <w:rFonts w:ascii="Arial" w:hAnsi="Arial" w:cs="Arial"/>
          <w:bCs/>
          <w:sz w:val="24"/>
          <w:szCs w:val="24"/>
        </w:rPr>
        <w:t>Westario</w:t>
      </w:r>
      <w:proofErr w:type="spellEnd"/>
      <w:r w:rsidRPr="00FE528E">
        <w:rPr>
          <w:rFonts w:ascii="Arial" w:hAnsi="Arial" w:cs="Arial"/>
          <w:bCs/>
          <w:sz w:val="24"/>
          <w:szCs w:val="24"/>
        </w:rPr>
        <w:t xml:space="preserve"> Power requested disposition of its 1595 (2018) and 1595 (2019) Sub-accounts. As outlined in </w:t>
      </w:r>
      <w:r w:rsidR="00D76E91" w:rsidRPr="00FE528E">
        <w:rPr>
          <w:rFonts w:ascii="Arial" w:hAnsi="Arial" w:cs="Arial"/>
          <w:bCs/>
          <w:sz w:val="24"/>
          <w:szCs w:val="24"/>
        </w:rPr>
        <w:t>Chapter 3 Filing Requirements</w:t>
      </w:r>
      <w:r w:rsidR="005C236E" w:rsidRPr="00FE528E">
        <w:rPr>
          <w:rFonts w:ascii="Arial" w:hAnsi="Arial" w:cs="Arial"/>
          <w:bCs/>
          <w:sz w:val="24"/>
          <w:szCs w:val="24"/>
        </w:rPr>
        <w:t>,</w:t>
      </w:r>
      <w:r w:rsidRPr="00FE528E">
        <w:rPr>
          <w:rFonts w:ascii="Arial" w:hAnsi="Arial" w:cs="Arial"/>
          <w:bCs/>
          <w:sz w:val="24"/>
          <w:szCs w:val="24"/>
        </w:rPr>
        <w:t xml:space="preserve"> distributors are eligible to </w:t>
      </w:r>
      <w:r w:rsidRPr="00FE528E">
        <w:rPr>
          <w:rFonts w:ascii="Arial" w:hAnsi="Arial" w:cs="Arial"/>
          <w:bCs/>
          <w:sz w:val="24"/>
          <w:szCs w:val="24"/>
        </w:rPr>
        <w:lastRenderedPageBreak/>
        <w:t xml:space="preserve">request disposition of </w:t>
      </w:r>
      <w:r w:rsidR="005C236E" w:rsidRPr="00FE528E">
        <w:rPr>
          <w:rFonts w:ascii="Arial" w:hAnsi="Arial" w:cs="Arial"/>
          <w:bCs/>
          <w:sz w:val="24"/>
          <w:szCs w:val="24"/>
        </w:rPr>
        <w:t xml:space="preserve">any </w:t>
      </w:r>
      <w:r w:rsidRPr="00FE528E">
        <w:rPr>
          <w:rFonts w:ascii="Arial" w:hAnsi="Arial" w:cs="Arial"/>
          <w:bCs/>
          <w:sz w:val="24"/>
          <w:szCs w:val="24"/>
        </w:rPr>
        <w:t>residual balances in 1595 Sub-accounts two years after the expiry of rate rider.</w:t>
      </w:r>
    </w:p>
    <w:p w14:paraId="24697836" w14:textId="77777777" w:rsidR="007A0A69" w:rsidRPr="00FE528E" w:rsidRDefault="007A0A69" w:rsidP="008B6DA3">
      <w:pPr>
        <w:spacing w:after="240"/>
        <w:contextualSpacing/>
        <w:rPr>
          <w:rFonts w:ascii="Arial" w:hAnsi="Arial" w:cs="Arial"/>
          <w:bCs/>
          <w:sz w:val="24"/>
          <w:szCs w:val="24"/>
        </w:rPr>
      </w:pPr>
    </w:p>
    <w:p w14:paraId="44B859B8" w14:textId="363B84FC" w:rsidR="00A02E38" w:rsidRPr="00FE528E" w:rsidRDefault="008B6DA3" w:rsidP="008B6DA3">
      <w:pPr>
        <w:spacing w:after="240"/>
        <w:contextualSpacing/>
        <w:rPr>
          <w:rFonts w:ascii="Arial" w:hAnsi="Arial" w:cs="Arial"/>
          <w:b/>
          <w:sz w:val="24"/>
          <w:szCs w:val="24"/>
        </w:rPr>
      </w:pPr>
      <w:r w:rsidRPr="00FE528E">
        <w:rPr>
          <w:rFonts w:ascii="Arial" w:hAnsi="Arial" w:cs="Arial"/>
          <w:b/>
          <w:sz w:val="24"/>
          <w:szCs w:val="24"/>
        </w:rPr>
        <w:t>Question(s):</w:t>
      </w:r>
    </w:p>
    <w:p w14:paraId="45C0B2EF" w14:textId="44C32AAC" w:rsidR="00E81F7D" w:rsidRPr="00FE528E" w:rsidRDefault="00E81F7D" w:rsidP="004C5E4C">
      <w:pPr>
        <w:pStyle w:val="ListParagraph"/>
        <w:numPr>
          <w:ilvl w:val="0"/>
          <w:numId w:val="4"/>
        </w:numPr>
        <w:spacing w:after="240"/>
        <w:rPr>
          <w:rFonts w:ascii="Arial" w:hAnsi="Arial" w:cs="Arial"/>
          <w:bCs/>
          <w:sz w:val="24"/>
          <w:szCs w:val="24"/>
        </w:rPr>
      </w:pPr>
      <w:r w:rsidRPr="00FE528E">
        <w:rPr>
          <w:rFonts w:ascii="Arial" w:hAnsi="Arial" w:cs="Arial"/>
          <w:bCs/>
          <w:sz w:val="24"/>
          <w:szCs w:val="24"/>
        </w:rPr>
        <w:t xml:space="preserve">Please explain the balances referenced in Ref. (I) and clarify why they were not </w:t>
      </w:r>
      <w:r w:rsidR="00497D08" w:rsidRPr="00FE528E">
        <w:rPr>
          <w:rFonts w:ascii="Arial" w:hAnsi="Arial" w:cs="Arial"/>
          <w:bCs/>
          <w:sz w:val="24"/>
          <w:szCs w:val="24"/>
        </w:rPr>
        <w:t>fully disposed</w:t>
      </w:r>
      <w:r w:rsidRPr="00FE528E">
        <w:rPr>
          <w:rFonts w:ascii="Arial" w:hAnsi="Arial" w:cs="Arial"/>
          <w:bCs/>
          <w:sz w:val="24"/>
          <w:szCs w:val="24"/>
        </w:rPr>
        <w:t>.</w:t>
      </w:r>
    </w:p>
    <w:p w14:paraId="0C76A8E9" w14:textId="1AE1AC2A" w:rsidR="00C24B34" w:rsidRPr="00FE528E" w:rsidRDefault="0039575A" w:rsidP="004C5E4C">
      <w:pPr>
        <w:pStyle w:val="ListParagraph"/>
        <w:numPr>
          <w:ilvl w:val="0"/>
          <w:numId w:val="4"/>
        </w:numPr>
        <w:spacing w:after="240"/>
        <w:rPr>
          <w:rFonts w:ascii="Arial" w:hAnsi="Arial" w:cs="Arial"/>
          <w:bCs/>
          <w:sz w:val="24"/>
          <w:szCs w:val="24"/>
        </w:rPr>
      </w:pPr>
      <w:r w:rsidRPr="00FE528E">
        <w:rPr>
          <w:rFonts w:ascii="Arial" w:hAnsi="Arial" w:cs="Arial"/>
          <w:bCs/>
          <w:sz w:val="24"/>
          <w:szCs w:val="24"/>
        </w:rPr>
        <w:t>Please confirm whether the balances requested for disposition in the 2023 Rates Application w</w:t>
      </w:r>
      <w:r w:rsidR="006D3A87" w:rsidRPr="00FE528E">
        <w:rPr>
          <w:rFonts w:ascii="Arial" w:hAnsi="Arial" w:cs="Arial"/>
          <w:bCs/>
          <w:sz w:val="24"/>
          <w:szCs w:val="24"/>
        </w:rPr>
        <w:t>as</w:t>
      </w:r>
      <w:r w:rsidRPr="00FE528E">
        <w:rPr>
          <w:rFonts w:ascii="Arial" w:hAnsi="Arial" w:cs="Arial"/>
          <w:bCs/>
          <w:sz w:val="24"/>
          <w:szCs w:val="24"/>
        </w:rPr>
        <w:t xml:space="preserve"> on a final basis, and if there are any active rate riders </w:t>
      </w:r>
      <w:r w:rsidR="00B7496F" w:rsidRPr="00FE528E">
        <w:rPr>
          <w:rFonts w:ascii="Arial" w:hAnsi="Arial" w:cs="Arial"/>
          <w:bCs/>
          <w:sz w:val="24"/>
          <w:szCs w:val="24"/>
        </w:rPr>
        <w:t>in</w:t>
      </w:r>
      <w:r w:rsidRPr="00FE528E">
        <w:rPr>
          <w:rFonts w:ascii="Arial" w:hAnsi="Arial" w:cs="Arial"/>
          <w:bCs/>
          <w:sz w:val="24"/>
          <w:szCs w:val="24"/>
        </w:rPr>
        <w:t xml:space="preserve"> </w:t>
      </w:r>
      <w:r w:rsidR="00ED5524" w:rsidRPr="00FE528E">
        <w:rPr>
          <w:rFonts w:ascii="Arial" w:hAnsi="Arial" w:cs="Arial"/>
          <w:bCs/>
          <w:sz w:val="24"/>
          <w:szCs w:val="24"/>
        </w:rPr>
        <w:t>Sub-a</w:t>
      </w:r>
      <w:r w:rsidRPr="00FE528E">
        <w:rPr>
          <w:rFonts w:ascii="Arial" w:hAnsi="Arial" w:cs="Arial"/>
          <w:bCs/>
          <w:sz w:val="24"/>
          <w:szCs w:val="24"/>
        </w:rPr>
        <w:t>ccounts 1595 (2018 and pre-2018) and 1595 (2019)</w:t>
      </w:r>
      <w:r w:rsidR="00564928" w:rsidRPr="00FE528E">
        <w:rPr>
          <w:rFonts w:ascii="Arial" w:hAnsi="Arial" w:cs="Arial"/>
          <w:bCs/>
          <w:sz w:val="24"/>
          <w:szCs w:val="24"/>
        </w:rPr>
        <w:t xml:space="preserve"> as of December 31, 2023</w:t>
      </w:r>
      <w:r w:rsidR="00C24B34" w:rsidRPr="00FE528E">
        <w:rPr>
          <w:rFonts w:ascii="Arial" w:hAnsi="Arial" w:cs="Arial"/>
          <w:bCs/>
          <w:sz w:val="24"/>
          <w:szCs w:val="24"/>
        </w:rPr>
        <w:t>.</w:t>
      </w:r>
    </w:p>
    <w:p w14:paraId="156B2AC9" w14:textId="7BF6FAB2" w:rsidR="00176155" w:rsidRPr="00FE528E" w:rsidRDefault="00C24B34" w:rsidP="004C5E4C">
      <w:pPr>
        <w:pStyle w:val="ListParagraph"/>
        <w:numPr>
          <w:ilvl w:val="0"/>
          <w:numId w:val="4"/>
        </w:numPr>
        <w:spacing w:after="240"/>
        <w:rPr>
          <w:rFonts w:ascii="Arial" w:hAnsi="Arial" w:cs="Arial"/>
          <w:bCs/>
          <w:sz w:val="24"/>
          <w:szCs w:val="24"/>
        </w:rPr>
      </w:pPr>
      <w:r w:rsidRPr="00FE528E">
        <w:rPr>
          <w:rFonts w:ascii="Arial" w:hAnsi="Arial" w:cs="Arial"/>
          <w:bCs/>
          <w:sz w:val="24"/>
          <w:szCs w:val="24"/>
        </w:rPr>
        <w:t xml:space="preserve">Additionally, confirm whether </w:t>
      </w:r>
      <w:proofErr w:type="spellStart"/>
      <w:r w:rsidRPr="00FE528E">
        <w:rPr>
          <w:rFonts w:ascii="Arial" w:hAnsi="Arial" w:cs="Arial"/>
          <w:bCs/>
          <w:sz w:val="24"/>
          <w:szCs w:val="24"/>
        </w:rPr>
        <w:t>Westario</w:t>
      </w:r>
      <w:proofErr w:type="spellEnd"/>
      <w:r w:rsidRPr="00FE528E">
        <w:rPr>
          <w:rFonts w:ascii="Arial" w:hAnsi="Arial" w:cs="Arial"/>
          <w:bCs/>
          <w:sz w:val="24"/>
          <w:szCs w:val="24"/>
        </w:rPr>
        <w:t xml:space="preserve"> Power is eligible, according to the </w:t>
      </w:r>
      <w:r w:rsidR="00684DE8" w:rsidRPr="00FE528E">
        <w:rPr>
          <w:rFonts w:ascii="Arial" w:hAnsi="Arial" w:cs="Arial"/>
          <w:bCs/>
          <w:sz w:val="24"/>
          <w:szCs w:val="24"/>
        </w:rPr>
        <w:t xml:space="preserve">Chapter 3 </w:t>
      </w:r>
      <w:r w:rsidRPr="00FE528E">
        <w:rPr>
          <w:rFonts w:ascii="Arial" w:hAnsi="Arial" w:cs="Arial"/>
          <w:bCs/>
          <w:sz w:val="24"/>
          <w:szCs w:val="24"/>
        </w:rPr>
        <w:t>Filing Requirements, to dispose of the residual balances in Sub-accounts 1595 (2018 and pre-2018) and 1595 (2019) in the 2026 Rates Application.</w:t>
      </w:r>
    </w:p>
    <w:p w14:paraId="42B65ABB" w14:textId="110554E5" w:rsidR="00AA4C98" w:rsidRPr="00FE528E" w:rsidRDefault="00AA4C98" w:rsidP="00AA4C98">
      <w:pPr>
        <w:spacing w:after="240"/>
        <w:contextualSpacing/>
        <w:rPr>
          <w:rFonts w:ascii="Arial" w:hAnsi="Arial" w:cs="Arial"/>
          <w:b/>
          <w:sz w:val="24"/>
          <w:szCs w:val="24"/>
        </w:rPr>
      </w:pPr>
      <w:r w:rsidRPr="00FE528E">
        <w:rPr>
          <w:rFonts w:ascii="Arial" w:hAnsi="Arial" w:cs="Arial"/>
          <w:b/>
          <w:sz w:val="24"/>
          <w:szCs w:val="24"/>
        </w:rPr>
        <w:t>Staff Question-</w:t>
      </w:r>
      <w:r w:rsidR="00E45234" w:rsidRPr="00FE528E">
        <w:rPr>
          <w:rFonts w:ascii="Arial" w:hAnsi="Arial" w:cs="Arial"/>
          <w:b/>
          <w:sz w:val="24"/>
          <w:szCs w:val="24"/>
        </w:rPr>
        <w:t>3</w:t>
      </w:r>
    </w:p>
    <w:p w14:paraId="68C39D9C" w14:textId="77777777" w:rsidR="00AA4C98" w:rsidRPr="00FE528E" w:rsidRDefault="00AA4C98" w:rsidP="00AA4C98">
      <w:pPr>
        <w:spacing w:after="240"/>
        <w:contextualSpacing/>
        <w:rPr>
          <w:rFonts w:ascii="Arial" w:hAnsi="Arial" w:cs="Arial"/>
          <w:b/>
          <w:sz w:val="24"/>
          <w:szCs w:val="24"/>
        </w:rPr>
      </w:pPr>
      <w:r w:rsidRPr="00FE528E">
        <w:rPr>
          <w:rFonts w:ascii="Arial" w:hAnsi="Arial" w:cs="Arial"/>
          <w:b/>
          <w:sz w:val="24"/>
          <w:szCs w:val="24"/>
        </w:rPr>
        <w:t>Reference:</w:t>
      </w:r>
    </w:p>
    <w:p w14:paraId="48165476" w14:textId="4074A89F" w:rsidR="00CC16EE" w:rsidRPr="00FE528E" w:rsidRDefault="00CC16EE" w:rsidP="004C5E4C">
      <w:pPr>
        <w:pStyle w:val="ListParagraph"/>
        <w:numPr>
          <w:ilvl w:val="0"/>
          <w:numId w:val="5"/>
        </w:numPr>
        <w:spacing w:after="0" w:line="240" w:lineRule="auto"/>
        <w:ind w:left="810" w:hanging="450"/>
        <w:rPr>
          <w:rFonts w:ascii="Arial" w:eastAsia="Calibri" w:hAnsi="Arial" w:cs="Arial"/>
          <w:sz w:val="24"/>
          <w:szCs w:val="24"/>
        </w:rPr>
      </w:pPr>
      <w:r w:rsidRPr="00FE528E">
        <w:rPr>
          <w:rFonts w:ascii="Arial" w:eastAsia="Calibri" w:hAnsi="Arial" w:cs="Arial"/>
          <w:sz w:val="24"/>
          <w:szCs w:val="24"/>
        </w:rPr>
        <w:t>Chapter 3 - Filing Requirement for Electricity Distribution Rate Applications Filed in 2024 for Rates Taking Effect in 2025, June 18, 2024, Pg. 16</w:t>
      </w:r>
    </w:p>
    <w:p w14:paraId="7C462C4E" w14:textId="4792D36C" w:rsidR="00DA20E7" w:rsidRPr="00FE528E" w:rsidRDefault="00DA20E7" w:rsidP="004C5E4C">
      <w:pPr>
        <w:pStyle w:val="ListParagraph"/>
        <w:numPr>
          <w:ilvl w:val="0"/>
          <w:numId w:val="5"/>
        </w:numPr>
        <w:spacing w:after="0" w:line="240" w:lineRule="auto"/>
        <w:ind w:left="810" w:hanging="450"/>
        <w:rPr>
          <w:rFonts w:ascii="Arial" w:eastAsia="Calibri" w:hAnsi="Arial" w:cs="Arial"/>
          <w:sz w:val="24"/>
          <w:szCs w:val="24"/>
        </w:rPr>
      </w:pPr>
      <w:r w:rsidRPr="00FE528E">
        <w:rPr>
          <w:rFonts w:ascii="Arial" w:eastAsia="Calibri" w:hAnsi="Arial" w:cs="Arial"/>
          <w:sz w:val="24"/>
          <w:szCs w:val="24"/>
        </w:rPr>
        <w:t xml:space="preserve">EB-2024-0060, Rate Generator Model, Tab 3 Continuity Schedule, </w:t>
      </w:r>
      <w:r w:rsidR="00D45D67" w:rsidRPr="00FE528E">
        <w:rPr>
          <w:rFonts w:ascii="Arial" w:eastAsia="Calibri" w:hAnsi="Arial" w:cs="Arial"/>
          <w:sz w:val="24"/>
          <w:szCs w:val="24"/>
        </w:rPr>
        <w:t xml:space="preserve">Columns BE, </w:t>
      </w:r>
      <w:r w:rsidR="0077304A" w:rsidRPr="00FE528E">
        <w:rPr>
          <w:rFonts w:ascii="Arial" w:eastAsia="Calibri" w:hAnsi="Arial" w:cs="Arial"/>
          <w:sz w:val="24"/>
          <w:szCs w:val="24"/>
        </w:rPr>
        <w:t xml:space="preserve">and </w:t>
      </w:r>
      <w:r w:rsidR="00D45D67" w:rsidRPr="00FE528E">
        <w:rPr>
          <w:rFonts w:ascii="Arial" w:eastAsia="Calibri" w:hAnsi="Arial" w:cs="Arial"/>
          <w:sz w:val="24"/>
          <w:szCs w:val="24"/>
        </w:rPr>
        <w:t>BJ</w:t>
      </w:r>
      <w:r w:rsidR="00D74CFC" w:rsidRPr="00FE528E">
        <w:rPr>
          <w:rFonts w:ascii="Arial" w:eastAsia="Calibri" w:hAnsi="Arial" w:cs="Arial"/>
          <w:sz w:val="24"/>
          <w:szCs w:val="24"/>
        </w:rPr>
        <w:t>, Cells BE26 and BJ36</w:t>
      </w:r>
    </w:p>
    <w:p w14:paraId="63E24060" w14:textId="77777777" w:rsidR="00483439" w:rsidRPr="00FE528E" w:rsidRDefault="00483439" w:rsidP="00483439">
      <w:pPr>
        <w:spacing w:after="0" w:line="240" w:lineRule="auto"/>
        <w:rPr>
          <w:rFonts w:ascii="Arial" w:eastAsia="Calibri" w:hAnsi="Arial" w:cs="Arial"/>
          <w:sz w:val="24"/>
          <w:szCs w:val="24"/>
        </w:rPr>
      </w:pPr>
    </w:p>
    <w:p w14:paraId="38575F03" w14:textId="235BDF60" w:rsidR="00483439" w:rsidRPr="00FE528E" w:rsidRDefault="00483439" w:rsidP="00483439">
      <w:pPr>
        <w:spacing w:after="0" w:line="240" w:lineRule="auto"/>
        <w:rPr>
          <w:rFonts w:ascii="Arial" w:eastAsia="Calibri" w:hAnsi="Arial" w:cs="Arial"/>
          <w:sz w:val="24"/>
          <w:szCs w:val="24"/>
        </w:rPr>
      </w:pPr>
      <w:r w:rsidRPr="00FE528E">
        <w:rPr>
          <w:rFonts w:ascii="Arial" w:eastAsia="Calibri" w:hAnsi="Arial" w:cs="Arial"/>
          <w:sz w:val="24"/>
          <w:szCs w:val="24"/>
        </w:rPr>
        <w:t>Preamble:</w:t>
      </w:r>
    </w:p>
    <w:p w14:paraId="32E23BC3" w14:textId="7C5E0D1B" w:rsidR="00DA20E7" w:rsidRPr="00FE528E" w:rsidRDefault="00F24F40" w:rsidP="00AA4C98">
      <w:pPr>
        <w:spacing w:after="240"/>
        <w:contextualSpacing/>
        <w:rPr>
          <w:rFonts w:ascii="Arial" w:eastAsia="Calibri" w:hAnsi="Arial" w:cs="Arial"/>
          <w:sz w:val="24"/>
          <w:szCs w:val="24"/>
        </w:rPr>
      </w:pPr>
      <w:r w:rsidRPr="00FE528E">
        <w:rPr>
          <w:rFonts w:ascii="Arial" w:eastAsia="Calibri" w:hAnsi="Arial" w:cs="Arial"/>
          <w:sz w:val="24"/>
          <w:szCs w:val="24"/>
        </w:rPr>
        <w:t xml:space="preserve">Chapter 3 of the Filing Requirements in Ref. (I) specifies that when the OEB approves the disposition of DVA balances, the approved principal amounts and carrying charges are to be transferred to Account 1595 for that rate year. This means that all OEB-approved dispositions from </w:t>
      </w:r>
      <w:r w:rsidR="00690592" w:rsidRPr="00FE528E">
        <w:rPr>
          <w:rFonts w:ascii="Arial" w:eastAsia="Calibri" w:hAnsi="Arial" w:cs="Arial"/>
          <w:sz w:val="24"/>
          <w:szCs w:val="24"/>
        </w:rPr>
        <w:t xml:space="preserve">the </w:t>
      </w:r>
      <w:r w:rsidR="0081762E" w:rsidRPr="00FE528E">
        <w:rPr>
          <w:rFonts w:ascii="Arial" w:eastAsia="Calibri" w:hAnsi="Arial" w:cs="Arial"/>
          <w:sz w:val="24"/>
          <w:szCs w:val="24"/>
        </w:rPr>
        <w:t>2023 Rate Application</w:t>
      </w:r>
      <w:r w:rsidRPr="00FE528E">
        <w:rPr>
          <w:rFonts w:ascii="Arial" w:eastAsia="Calibri" w:hAnsi="Arial" w:cs="Arial"/>
          <w:sz w:val="24"/>
          <w:szCs w:val="24"/>
        </w:rPr>
        <w:t xml:space="preserve"> should have been transferred to </w:t>
      </w:r>
      <w:r w:rsidR="0064065F" w:rsidRPr="00FE528E">
        <w:rPr>
          <w:rFonts w:ascii="Arial" w:eastAsia="Calibri" w:hAnsi="Arial" w:cs="Arial"/>
          <w:sz w:val="24"/>
          <w:szCs w:val="24"/>
        </w:rPr>
        <w:t>S</w:t>
      </w:r>
      <w:r w:rsidRPr="00FE528E">
        <w:rPr>
          <w:rFonts w:ascii="Arial" w:eastAsia="Calibri" w:hAnsi="Arial" w:cs="Arial"/>
          <w:sz w:val="24"/>
          <w:szCs w:val="24"/>
        </w:rPr>
        <w:t>ub-account 1595 (2023) during the year.</w:t>
      </w:r>
    </w:p>
    <w:p w14:paraId="286C8309" w14:textId="77777777" w:rsidR="00E87877" w:rsidRPr="00FE528E" w:rsidRDefault="00E87877" w:rsidP="00AA4C98">
      <w:pPr>
        <w:spacing w:after="240"/>
        <w:contextualSpacing/>
        <w:rPr>
          <w:rFonts w:ascii="Arial" w:hAnsi="Arial" w:cs="Arial"/>
          <w:b/>
          <w:sz w:val="24"/>
          <w:szCs w:val="24"/>
        </w:rPr>
      </w:pPr>
    </w:p>
    <w:p w14:paraId="28D69CED" w14:textId="72D9EF1D" w:rsidR="006F29E4" w:rsidRPr="00FE528E" w:rsidRDefault="00AA4C98" w:rsidP="00AA4C98">
      <w:pPr>
        <w:spacing w:after="240"/>
        <w:contextualSpacing/>
        <w:rPr>
          <w:rFonts w:ascii="Arial" w:hAnsi="Arial" w:cs="Arial"/>
          <w:b/>
          <w:sz w:val="24"/>
          <w:szCs w:val="24"/>
        </w:rPr>
      </w:pPr>
      <w:r w:rsidRPr="00FE528E">
        <w:rPr>
          <w:rFonts w:ascii="Arial" w:hAnsi="Arial" w:cs="Arial"/>
          <w:b/>
          <w:sz w:val="24"/>
          <w:szCs w:val="24"/>
        </w:rPr>
        <w:t>Question(s):</w:t>
      </w:r>
    </w:p>
    <w:p w14:paraId="171AA072" w14:textId="324F7BAE" w:rsidR="00F16AFB" w:rsidRPr="00FE528E" w:rsidRDefault="00EF5DD8" w:rsidP="009F37B6">
      <w:pPr>
        <w:pStyle w:val="ListParagraph"/>
        <w:numPr>
          <w:ilvl w:val="0"/>
          <w:numId w:val="6"/>
        </w:numPr>
        <w:spacing w:after="240"/>
        <w:rPr>
          <w:rFonts w:ascii="Arial" w:hAnsi="Arial" w:cs="Arial"/>
          <w:bCs/>
          <w:sz w:val="24"/>
          <w:szCs w:val="24"/>
        </w:rPr>
      </w:pPr>
      <w:r w:rsidRPr="00FE528E">
        <w:rPr>
          <w:rFonts w:ascii="Arial" w:hAnsi="Arial" w:cs="Arial"/>
          <w:bCs/>
          <w:sz w:val="24"/>
          <w:szCs w:val="24"/>
        </w:rPr>
        <w:t xml:space="preserve">OEB </w:t>
      </w:r>
      <w:r w:rsidR="000773CC" w:rsidRPr="00FE528E">
        <w:rPr>
          <w:rFonts w:ascii="Arial" w:hAnsi="Arial" w:cs="Arial"/>
          <w:bCs/>
          <w:sz w:val="24"/>
          <w:szCs w:val="24"/>
        </w:rPr>
        <w:t>s</w:t>
      </w:r>
      <w:r w:rsidRPr="00FE528E">
        <w:rPr>
          <w:rFonts w:ascii="Arial" w:hAnsi="Arial" w:cs="Arial"/>
          <w:bCs/>
          <w:sz w:val="24"/>
          <w:szCs w:val="24"/>
        </w:rPr>
        <w:t xml:space="preserve">taff notes </w:t>
      </w:r>
      <w:r w:rsidR="00C531FE" w:rsidRPr="00FE528E">
        <w:rPr>
          <w:rFonts w:ascii="Arial" w:hAnsi="Arial" w:cs="Arial"/>
          <w:bCs/>
          <w:sz w:val="24"/>
          <w:szCs w:val="24"/>
        </w:rPr>
        <w:t>that there is no amount i</w:t>
      </w:r>
      <w:r w:rsidR="005C4EC4" w:rsidRPr="00FE528E">
        <w:rPr>
          <w:rFonts w:ascii="Arial" w:hAnsi="Arial" w:cs="Arial"/>
          <w:bCs/>
          <w:sz w:val="24"/>
          <w:szCs w:val="24"/>
        </w:rPr>
        <w:t xml:space="preserve">n Ref. (II) to reflect </w:t>
      </w:r>
      <w:r w:rsidR="00F619A8" w:rsidRPr="00FE528E">
        <w:rPr>
          <w:rFonts w:ascii="Arial" w:hAnsi="Arial" w:cs="Arial"/>
          <w:bCs/>
          <w:sz w:val="24"/>
          <w:szCs w:val="24"/>
        </w:rPr>
        <w:t>the</w:t>
      </w:r>
      <w:r w:rsidR="005C4EC4" w:rsidRPr="00FE528E">
        <w:rPr>
          <w:rFonts w:ascii="Arial" w:hAnsi="Arial" w:cs="Arial"/>
          <w:bCs/>
          <w:sz w:val="24"/>
          <w:szCs w:val="24"/>
        </w:rPr>
        <w:t xml:space="preserve"> transfer of the OEB-approved disposition</w:t>
      </w:r>
      <w:r w:rsidR="00A34578" w:rsidRPr="00FE528E">
        <w:rPr>
          <w:rFonts w:ascii="Arial" w:hAnsi="Arial" w:cs="Arial"/>
          <w:bCs/>
          <w:sz w:val="24"/>
          <w:szCs w:val="24"/>
        </w:rPr>
        <w:t>.</w:t>
      </w:r>
      <w:r w:rsidR="000773CC" w:rsidRPr="00FE528E">
        <w:rPr>
          <w:rFonts w:ascii="Arial" w:hAnsi="Arial" w:cs="Arial"/>
          <w:bCs/>
          <w:sz w:val="24"/>
          <w:szCs w:val="24"/>
        </w:rPr>
        <w:t xml:space="preserve"> Please update the Rate Generator model to reflect the transfer.</w:t>
      </w:r>
    </w:p>
    <w:p w14:paraId="3AE63C3F" w14:textId="23EB5B4F" w:rsidR="009F37B6" w:rsidRPr="00FE528E" w:rsidRDefault="00AA4C98" w:rsidP="009F37B6">
      <w:pPr>
        <w:spacing w:after="240"/>
        <w:contextualSpacing/>
        <w:rPr>
          <w:rFonts w:ascii="Arial" w:hAnsi="Arial" w:cs="Arial"/>
          <w:b/>
          <w:sz w:val="24"/>
          <w:szCs w:val="24"/>
        </w:rPr>
      </w:pPr>
      <w:r w:rsidRPr="00FE528E">
        <w:rPr>
          <w:rFonts w:ascii="Arial" w:hAnsi="Arial" w:cs="Arial"/>
          <w:b/>
          <w:sz w:val="24"/>
          <w:szCs w:val="24"/>
        </w:rPr>
        <w:t>Staff Question-</w:t>
      </w:r>
      <w:r w:rsidR="00E45234" w:rsidRPr="00FE528E">
        <w:rPr>
          <w:rFonts w:ascii="Arial" w:hAnsi="Arial" w:cs="Arial"/>
          <w:b/>
          <w:sz w:val="24"/>
          <w:szCs w:val="24"/>
        </w:rPr>
        <w:t>4</w:t>
      </w:r>
    </w:p>
    <w:p w14:paraId="38A3F680" w14:textId="7BD5C047" w:rsidR="00AA4C98" w:rsidRPr="00FE528E" w:rsidRDefault="009F37B6" w:rsidP="00EF5DD8">
      <w:pPr>
        <w:spacing w:after="240"/>
        <w:contextualSpacing/>
        <w:rPr>
          <w:rFonts w:ascii="Arial" w:hAnsi="Arial" w:cs="Arial"/>
          <w:b/>
          <w:sz w:val="24"/>
          <w:szCs w:val="24"/>
        </w:rPr>
      </w:pPr>
      <w:r w:rsidRPr="00FE528E">
        <w:rPr>
          <w:rFonts w:ascii="Arial" w:hAnsi="Arial" w:cs="Arial"/>
          <w:b/>
          <w:sz w:val="24"/>
          <w:szCs w:val="24"/>
        </w:rPr>
        <w:t>Reference:</w:t>
      </w:r>
    </w:p>
    <w:p w14:paraId="76A4B145" w14:textId="77777777" w:rsidR="00841956" w:rsidRPr="00FE528E" w:rsidRDefault="00090A8F" w:rsidP="004C5E4C">
      <w:pPr>
        <w:pStyle w:val="ListParagraph"/>
        <w:numPr>
          <w:ilvl w:val="0"/>
          <w:numId w:val="7"/>
        </w:numPr>
        <w:spacing w:after="0" w:line="240" w:lineRule="auto"/>
        <w:ind w:left="720" w:hanging="360"/>
        <w:rPr>
          <w:rFonts w:ascii="Arial" w:eastAsia="Calibri" w:hAnsi="Arial" w:cs="Arial"/>
          <w:sz w:val="24"/>
          <w:szCs w:val="24"/>
        </w:rPr>
      </w:pPr>
      <w:r w:rsidRPr="00FE528E">
        <w:rPr>
          <w:rFonts w:ascii="Arial" w:eastAsia="Calibri" w:hAnsi="Arial" w:cs="Arial"/>
          <w:sz w:val="24"/>
          <w:szCs w:val="24"/>
        </w:rPr>
        <w:t>EB-2023-</w:t>
      </w:r>
      <w:r w:rsidR="00BF2AD5" w:rsidRPr="00FE528E">
        <w:rPr>
          <w:rFonts w:ascii="Arial" w:eastAsia="Calibri" w:hAnsi="Arial" w:cs="Arial"/>
          <w:sz w:val="24"/>
          <w:szCs w:val="24"/>
        </w:rPr>
        <w:t>0058, DVA Continuity Schedule,</w:t>
      </w:r>
      <w:r w:rsidR="008F4805" w:rsidRPr="00FE528E">
        <w:rPr>
          <w:rFonts w:ascii="Arial" w:eastAsia="Calibri" w:hAnsi="Arial" w:cs="Arial"/>
          <w:sz w:val="24"/>
          <w:szCs w:val="24"/>
        </w:rPr>
        <w:t xml:space="preserve"> Tab 2a, </w:t>
      </w:r>
      <w:r w:rsidR="001D2D56" w:rsidRPr="00FE528E">
        <w:rPr>
          <w:rFonts w:ascii="Arial" w:eastAsia="Calibri" w:hAnsi="Arial" w:cs="Arial"/>
          <w:sz w:val="24"/>
          <w:szCs w:val="24"/>
        </w:rPr>
        <w:t>Columns BG and BL</w:t>
      </w:r>
    </w:p>
    <w:p w14:paraId="137A3B45" w14:textId="716B1BA5" w:rsidR="00841956" w:rsidRPr="00FE528E" w:rsidRDefault="00841956" w:rsidP="004C5E4C">
      <w:pPr>
        <w:pStyle w:val="ListParagraph"/>
        <w:numPr>
          <w:ilvl w:val="0"/>
          <w:numId w:val="7"/>
        </w:numPr>
        <w:spacing w:after="0" w:line="240" w:lineRule="auto"/>
        <w:ind w:left="720" w:hanging="360"/>
        <w:rPr>
          <w:rFonts w:ascii="Arial" w:eastAsia="Calibri" w:hAnsi="Arial" w:cs="Arial"/>
          <w:sz w:val="24"/>
          <w:szCs w:val="24"/>
        </w:rPr>
      </w:pPr>
      <w:r w:rsidRPr="00FE528E">
        <w:rPr>
          <w:rFonts w:ascii="Arial" w:eastAsia="Calibri" w:hAnsi="Arial" w:cs="Arial"/>
          <w:sz w:val="24"/>
          <w:szCs w:val="24"/>
        </w:rPr>
        <w:t>EB-2024-0060, Rate Generator Model, Tab 3 Continuity Schedule, Columns B</w:t>
      </w:r>
      <w:r w:rsidR="00AA2205" w:rsidRPr="00FE528E">
        <w:rPr>
          <w:rFonts w:ascii="Arial" w:eastAsia="Calibri" w:hAnsi="Arial" w:cs="Arial"/>
          <w:sz w:val="24"/>
          <w:szCs w:val="24"/>
        </w:rPr>
        <w:t xml:space="preserve">C </w:t>
      </w:r>
      <w:r w:rsidRPr="00FE528E">
        <w:rPr>
          <w:rFonts w:ascii="Arial" w:eastAsia="Calibri" w:hAnsi="Arial" w:cs="Arial"/>
          <w:sz w:val="24"/>
          <w:szCs w:val="24"/>
        </w:rPr>
        <w:t>and B</w:t>
      </w:r>
      <w:r w:rsidR="00AA2205" w:rsidRPr="00FE528E">
        <w:rPr>
          <w:rFonts w:ascii="Arial" w:eastAsia="Calibri" w:hAnsi="Arial" w:cs="Arial"/>
          <w:sz w:val="24"/>
          <w:szCs w:val="24"/>
        </w:rPr>
        <w:t>H</w:t>
      </w:r>
    </w:p>
    <w:p w14:paraId="5FD90692" w14:textId="77777777" w:rsidR="009F37B6" w:rsidRPr="00FE528E" w:rsidRDefault="009F37B6" w:rsidP="00AA4C98">
      <w:pPr>
        <w:spacing w:after="240"/>
        <w:contextualSpacing/>
        <w:rPr>
          <w:rFonts w:ascii="Arial" w:hAnsi="Arial" w:cs="Arial"/>
          <w:b/>
          <w:sz w:val="24"/>
          <w:szCs w:val="24"/>
        </w:rPr>
      </w:pPr>
    </w:p>
    <w:p w14:paraId="0C6FB88B" w14:textId="20E0F34E" w:rsidR="00841DE9" w:rsidRPr="00FE528E" w:rsidRDefault="00841DE9" w:rsidP="00AA4C98">
      <w:pPr>
        <w:spacing w:after="240"/>
        <w:contextualSpacing/>
        <w:rPr>
          <w:rFonts w:ascii="Arial" w:hAnsi="Arial" w:cs="Arial"/>
          <w:bCs/>
          <w:sz w:val="24"/>
          <w:szCs w:val="24"/>
        </w:rPr>
      </w:pPr>
      <w:r w:rsidRPr="00FE528E">
        <w:rPr>
          <w:rFonts w:ascii="Arial" w:hAnsi="Arial" w:cs="Arial"/>
          <w:bCs/>
          <w:sz w:val="24"/>
          <w:szCs w:val="24"/>
        </w:rPr>
        <w:t>Preamble:</w:t>
      </w:r>
    </w:p>
    <w:p w14:paraId="10C19453" w14:textId="20E9B26B" w:rsidR="00E45234" w:rsidRPr="00FE528E" w:rsidRDefault="009F37B6" w:rsidP="00AA4C98">
      <w:pPr>
        <w:spacing w:after="240"/>
        <w:contextualSpacing/>
        <w:rPr>
          <w:rFonts w:ascii="Arial" w:hAnsi="Arial" w:cs="Arial"/>
          <w:bCs/>
          <w:sz w:val="24"/>
          <w:szCs w:val="24"/>
        </w:rPr>
      </w:pPr>
      <w:r w:rsidRPr="00FE528E">
        <w:rPr>
          <w:rFonts w:ascii="Arial" w:hAnsi="Arial" w:cs="Arial"/>
          <w:bCs/>
          <w:sz w:val="24"/>
          <w:szCs w:val="24"/>
        </w:rPr>
        <w:t xml:space="preserve">OEB staff observes that </w:t>
      </w:r>
      <w:r w:rsidR="005A3A37" w:rsidRPr="00FE528E">
        <w:rPr>
          <w:rFonts w:ascii="Arial" w:hAnsi="Arial" w:cs="Arial"/>
          <w:bCs/>
          <w:sz w:val="24"/>
          <w:szCs w:val="24"/>
        </w:rPr>
        <w:t>several</w:t>
      </w:r>
      <w:r w:rsidRPr="00FE528E">
        <w:rPr>
          <w:rFonts w:ascii="Arial" w:hAnsi="Arial" w:cs="Arial"/>
          <w:bCs/>
          <w:sz w:val="24"/>
          <w:szCs w:val="24"/>
        </w:rPr>
        <w:t xml:space="preserve"> closing balances for both </w:t>
      </w:r>
      <w:r w:rsidR="004D7E67" w:rsidRPr="00FE528E">
        <w:rPr>
          <w:rFonts w:ascii="Arial" w:hAnsi="Arial" w:cs="Arial"/>
          <w:bCs/>
          <w:sz w:val="24"/>
          <w:szCs w:val="24"/>
        </w:rPr>
        <w:t xml:space="preserve">the </w:t>
      </w:r>
      <w:r w:rsidRPr="00FE528E">
        <w:rPr>
          <w:rFonts w:ascii="Arial" w:hAnsi="Arial" w:cs="Arial"/>
          <w:bCs/>
          <w:sz w:val="24"/>
          <w:szCs w:val="24"/>
        </w:rPr>
        <w:t>2022 principal and interest in Ref. (I) do not align with the opening balances for the 2023 principal and interest amounts.</w:t>
      </w:r>
      <w:r w:rsidR="00B57A0E" w:rsidRPr="00FE528E">
        <w:rPr>
          <w:rFonts w:ascii="Arial" w:hAnsi="Arial" w:cs="Arial"/>
          <w:bCs/>
          <w:sz w:val="24"/>
          <w:szCs w:val="24"/>
        </w:rPr>
        <w:t xml:space="preserve"> The table below shows the variances between the opening and closing balances.</w:t>
      </w:r>
    </w:p>
    <w:p w14:paraId="577E9A04" w14:textId="77777777" w:rsidR="00323344" w:rsidRPr="00FE528E" w:rsidRDefault="00323344" w:rsidP="00AA4C98">
      <w:pPr>
        <w:spacing w:after="240"/>
        <w:contextualSpacing/>
        <w:rPr>
          <w:rFonts w:ascii="Arial" w:hAnsi="Arial" w:cs="Arial"/>
          <w:bCs/>
          <w:sz w:val="24"/>
          <w:szCs w:val="24"/>
        </w:rPr>
      </w:pPr>
    </w:p>
    <w:p w14:paraId="3C908570" w14:textId="02AFD561" w:rsidR="002024B5" w:rsidRPr="00FE528E" w:rsidRDefault="00323344" w:rsidP="00AA4C98">
      <w:pPr>
        <w:spacing w:after="240"/>
        <w:contextualSpacing/>
        <w:rPr>
          <w:rFonts w:ascii="Arial" w:hAnsi="Arial" w:cs="Arial"/>
          <w:b/>
          <w:sz w:val="24"/>
          <w:szCs w:val="24"/>
        </w:rPr>
      </w:pPr>
      <w:r w:rsidRPr="00FE528E">
        <w:rPr>
          <w:rFonts w:ascii="Arial" w:hAnsi="Arial" w:cs="Arial"/>
          <w:noProof/>
          <w:sz w:val="24"/>
          <w:szCs w:val="24"/>
        </w:rPr>
        <w:drawing>
          <wp:inline distT="0" distB="0" distL="0" distR="0" wp14:anchorId="6D35D6BA" wp14:editId="0EC03353">
            <wp:extent cx="5943600" cy="1630680"/>
            <wp:effectExtent l="0" t="0" r="0" b="7620"/>
            <wp:docPr id="6497133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0680"/>
                    </a:xfrm>
                    <a:prstGeom prst="rect">
                      <a:avLst/>
                    </a:prstGeom>
                    <a:noFill/>
                    <a:ln>
                      <a:noFill/>
                    </a:ln>
                  </pic:spPr>
                </pic:pic>
              </a:graphicData>
            </a:graphic>
          </wp:inline>
        </w:drawing>
      </w:r>
    </w:p>
    <w:p w14:paraId="19AB4050" w14:textId="77777777" w:rsidR="00E45234" w:rsidRPr="00FE528E" w:rsidRDefault="00E45234" w:rsidP="00AA4C98">
      <w:pPr>
        <w:spacing w:after="240"/>
        <w:contextualSpacing/>
        <w:rPr>
          <w:rFonts w:ascii="Arial" w:hAnsi="Arial" w:cs="Arial"/>
          <w:b/>
          <w:sz w:val="24"/>
          <w:szCs w:val="24"/>
        </w:rPr>
      </w:pPr>
    </w:p>
    <w:p w14:paraId="44944A27" w14:textId="75996B03" w:rsidR="00841DE9" w:rsidRPr="00FE528E" w:rsidRDefault="00AA4C98" w:rsidP="00AA4C98">
      <w:pPr>
        <w:spacing w:after="240"/>
        <w:contextualSpacing/>
        <w:rPr>
          <w:rFonts w:ascii="Arial" w:hAnsi="Arial" w:cs="Arial"/>
          <w:b/>
          <w:sz w:val="24"/>
          <w:szCs w:val="24"/>
        </w:rPr>
      </w:pPr>
      <w:r w:rsidRPr="00FE528E">
        <w:rPr>
          <w:rFonts w:ascii="Arial" w:hAnsi="Arial" w:cs="Arial"/>
          <w:b/>
          <w:sz w:val="24"/>
          <w:szCs w:val="24"/>
        </w:rPr>
        <w:t>Question(s):</w:t>
      </w:r>
    </w:p>
    <w:p w14:paraId="43170296" w14:textId="1F62E2DD" w:rsidR="00841DE9" w:rsidRPr="00FE528E" w:rsidRDefault="00841DE9" w:rsidP="004C5E4C">
      <w:pPr>
        <w:pStyle w:val="ListParagraph"/>
        <w:numPr>
          <w:ilvl w:val="0"/>
          <w:numId w:val="8"/>
        </w:numPr>
        <w:spacing w:after="240"/>
        <w:rPr>
          <w:rFonts w:ascii="Arial" w:hAnsi="Arial" w:cs="Arial"/>
          <w:bCs/>
          <w:sz w:val="24"/>
          <w:szCs w:val="24"/>
        </w:rPr>
      </w:pPr>
      <w:r w:rsidRPr="00FE528E">
        <w:rPr>
          <w:rFonts w:ascii="Arial" w:hAnsi="Arial" w:cs="Arial"/>
          <w:bCs/>
          <w:sz w:val="24"/>
          <w:szCs w:val="24"/>
        </w:rPr>
        <w:t xml:space="preserve">OEB staff requests </w:t>
      </w:r>
      <w:proofErr w:type="spellStart"/>
      <w:r w:rsidRPr="00FE528E">
        <w:rPr>
          <w:rFonts w:ascii="Arial" w:hAnsi="Arial" w:cs="Arial"/>
          <w:bCs/>
          <w:sz w:val="24"/>
          <w:szCs w:val="24"/>
        </w:rPr>
        <w:t>Westario</w:t>
      </w:r>
      <w:proofErr w:type="spellEnd"/>
      <w:r w:rsidRPr="00FE528E">
        <w:rPr>
          <w:rFonts w:ascii="Arial" w:hAnsi="Arial" w:cs="Arial"/>
          <w:bCs/>
          <w:sz w:val="24"/>
          <w:szCs w:val="24"/>
        </w:rPr>
        <w:t xml:space="preserve"> Power to explain </w:t>
      </w:r>
      <w:r w:rsidR="005D5EBF" w:rsidRPr="00FE528E">
        <w:rPr>
          <w:rFonts w:ascii="Arial" w:hAnsi="Arial" w:cs="Arial"/>
          <w:bCs/>
          <w:sz w:val="24"/>
          <w:szCs w:val="24"/>
        </w:rPr>
        <w:t>the discrepancies.</w:t>
      </w:r>
    </w:p>
    <w:p w14:paraId="175743CC" w14:textId="481B0783" w:rsidR="00AA4C98" w:rsidRPr="00FE528E" w:rsidRDefault="00AA4C98" w:rsidP="00AA4C98">
      <w:pPr>
        <w:spacing w:after="240"/>
        <w:contextualSpacing/>
        <w:rPr>
          <w:rFonts w:ascii="Arial" w:hAnsi="Arial" w:cs="Arial"/>
          <w:b/>
          <w:sz w:val="24"/>
          <w:szCs w:val="24"/>
        </w:rPr>
      </w:pPr>
      <w:r w:rsidRPr="00FE528E">
        <w:rPr>
          <w:rFonts w:ascii="Arial" w:hAnsi="Arial" w:cs="Arial"/>
          <w:b/>
          <w:sz w:val="24"/>
          <w:szCs w:val="24"/>
        </w:rPr>
        <w:t>Staff Question-</w:t>
      </w:r>
      <w:r w:rsidR="00E45234" w:rsidRPr="00FE528E">
        <w:rPr>
          <w:rFonts w:ascii="Arial" w:hAnsi="Arial" w:cs="Arial"/>
          <w:b/>
          <w:sz w:val="24"/>
          <w:szCs w:val="24"/>
        </w:rPr>
        <w:t>5</w:t>
      </w:r>
    </w:p>
    <w:p w14:paraId="35ED71A0" w14:textId="426B8E9C" w:rsidR="006F0FA5" w:rsidRPr="00FE528E" w:rsidRDefault="00AA4C98" w:rsidP="00AA4C98">
      <w:pPr>
        <w:spacing w:after="240"/>
        <w:contextualSpacing/>
        <w:rPr>
          <w:rFonts w:ascii="Arial" w:hAnsi="Arial" w:cs="Arial"/>
          <w:b/>
          <w:sz w:val="24"/>
          <w:szCs w:val="24"/>
        </w:rPr>
      </w:pPr>
      <w:r w:rsidRPr="00FE528E">
        <w:rPr>
          <w:rFonts w:ascii="Arial" w:hAnsi="Arial" w:cs="Arial"/>
          <w:b/>
          <w:sz w:val="24"/>
          <w:szCs w:val="24"/>
        </w:rPr>
        <w:t>Reference:</w:t>
      </w:r>
    </w:p>
    <w:p w14:paraId="5E161F90" w14:textId="6B37257B" w:rsidR="006F0FA5" w:rsidRPr="00FE528E" w:rsidRDefault="006F0FA5" w:rsidP="004C5E4C">
      <w:pPr>
        <w:pStyle w:val="ListParagraph"/>
        <w:numPr>
          <w:ilvl w:val="0"/>
          <w:numId w:val="9"/>
        </w:numPr>
        <w:spacing w:after="0" w:line="240" w:lineRule="auto"/>
        <w:ind w:left="720" w:hanging="360"/>
        <w:rPr>
          <w:rFonts w:ascii="Arial" w:eastAsia="Calibri" w:hAnsi="Arial" w:cs="Arial"/>
          <w:sz w:val="24"/>
          <w:szCs w:val="24"/>
        </w:rPr>
      </w:pPr>
      <w:r w:rsidRPr="00FE528E">
        <w:rPr>
          <w:rFonts w:ascii="Arial" w:eastAsia="Calibri" w:hAnsi="Arial" w:cs="Arial"/>
          <w:sz w:val="24"/>
          <w:szCs w:val="24"/>
        </w:rPr>
        <w:t>2024 IRM Rate Generator Model, Continuity Schedule, Tab 3 </w:t>
      </w:r>
    </w:p>
    <w:p w14:paraId="02289DEC" w14:textId="66440F2C" w:rsidR="006F0FA5" w:rsidRPr="00FE528E" w:rsidRDefault="00ED7B71" w:rsidP="004C5E4C">
      <w:pPr>
        <w:pStyle w:val="ListParagraph"/>
        <w:numPr>
          <w:ilvl w:val="0"/>
          <w:numId w:val="9"/>
        </w:numPr>
        <w:spacing w:after="0" w:line="240" w:lineRule="auto"/>
        <w:ind w:left="720" w:hanging="360"/>
        <w:rPr>
          <w:rFonts w:ascii="Arial" w:eastAsia="Calibri" w:hAnsi="Arial" w:cs="Arial"/>
          <w:sz w:val="24"/>
          <w:szCs w:val="24"/>
        </w:rPr>
      </w:pPr>
      <w:r w:rsidRPr="00FE528E">
        <w:rPr>
          <w:rFonts w:ascii="Arial" w:eastAsia="Calibri" w:hAnsi="Arial" w:cs="Arial"/>
          <w:sz w:val="24"/>
          <w:szCs w:val="24"/>
        </w:rPr>
        <w:t xml:space="preserve">IRM Rate Generator – DVA Tabs Instructions </w:t>
      </w:r>
      <w:r w:rsidRPr="00FE528E">
        <w:rPr>
          <w:rFonts w:ascii="Cambria Math" w:eastAsia="Calibri" w:hAnsi="Cambria Math" w:cs="Cambria Math"/>
          <w:sz w:val="24"/>
          <w:szCs w:val="24"/>
        </w:rPr>
        <w:t>‐</w:t>
      </w:r>
      <w:r w:rsidRPr="00FE528E">
        <w:rPr>
          <w:rFonts w:ascii="Arial" w:eastAsia="Calibri" w:hAnsi="Arial" w:cs="Arial"/>
          <w:sz w:val="24"/>
          <w:szCs w:val="24"/>
        </w:rPr>
        <w:t xml:space="preserve"> 2024 Rates</w:t>
      </w:r>
    </w:p>
    <w:p w14:paraId="10D2B553" w14:textId="5BDEEDDF" w:rsidR="00ED7B71" w:rsidRPr="00FE528E" w:rsidRDefault="00ED7B71" w:rsidP="004C5E4C">
      <w:pPr>
        <w:pStyle w:val="ListParagraph"/>
        <w:numPr>
          <w:ilvl w:val="0"/>
          <w:numId w:val="9"/>
        </w:numPr>
        <w:spacing w:after="0" w:line="240" w:lineRule="auto"/>
        <w:ind w:left="720" w:hanging="360"/>
        <w:rPr>
          <w:rFonts w:ascii="Arial" w:eastAsia="Calibri" w:hAnsi="Arial" w:cs="Arial"/>
          <w:sz w:val="24"/>
          <w:szCs w:val="24"/>
        </w:rPr>
      </w:pPr>
      <w:r w:rsidRPr="00FE528E">
        <w:rPr>
          <w:rFonts w:ascii="Arial" w:eastAsia="Calibri" w:hAnsi="Arial" w:cs="Arial"/>
          <w:sz w:val="24"/>
          <w:szCs w:val="24"/>
        </w:rPr>
        <w:t>OEB Guidance for Electricity Distributors with Forgone Revenues Due to Postponed Rate Implementation from COVID-19, August 6, 2020, page 5</w:t>
      </w:r>
    </w:p>
    <w:p w14:paraId="01312C0C" w14:textId="77777777" w:rsidR="00ED7B71" w:rsidRPr="00FE528E" w:rsidRDefault="00ED7B71" w:rsidP="00AA4C98">
      <w:pPr>
        <w:spacing w:after="240"/>
        <w:contextualSpacing/>
        <w:rPr>
          <w:rFonts w:ascii="Arial" w:hAnsi="Arial" w:cs="Arial"/>
          <w:b/>
          <w:sz w:val="24"/>
          <w:szCs w:val="24"/>
        </w:rPr>
      </w:pPr>
    </w:p>
    <w:p w14:paraId="270C564C" w14:textId="5C5664E0" w:rsidR="00ED7B71" w:rsidRPr="00FE528E" w:rsidRDefault="00ED7B71" w:rsidP="00AA4C98">
      <w:pPr>
        <w:spacing w:after="240"/>
        <w:contextualSpacing/>
        <w:rPr>
          <w:rFonts w:ascii="Arial" w:hAnsi="Arial" w:cs="Arial"/>
          <w:bCs/>
          <w:sz w:val="24"/>
          <w:szCs w:val="24"/>
        </w:rPr>
      </w:pPr>
      <w:r w:rsidRPr="00FE528E">
        <w:rPr>
          <w:rFonts w:ascii="Arial" w:hAnsi="Arial" w:cs="Arial"/>
          <w:bCs/>
          <w:sz w:val="24"/>
          <w:szCs w:val="24"/>
        </w:rPr>
        <w:t>Preamble:</w:t>
      </w:r>
    </w:p>
    <w:p w14:paraId="1966D426" w14:textId="6EAD33C0" w:rsidR="00781602" w:rsidRPr="00FE528E" w:rsidRDefault="00781602" w:rsidP="00781602">
      <w:pPr>
        <w:spacing w:after="240"/>
        <w:contextualSpacing/>
        <w:rPr>
          <w:rFonts w:ascii="Arial" w:hAnsi="Arial" w:cs="Arial"/>
          <w:bCs/>
          <w:sz w:val="24"/>
          <w:szCs w:val="24"/>
        </w:rPr>
      </w:pPr>
      <w:r w:rsidRPr="00FE528E">
        <w:rPr>
          <w:rFonts w:ascii="Arial" w:hAnsi="Arial" w:cs="Arial"/>
          <w:bCs/>
          <w:sz w:val="24"/>
          <w:szCs w:val="24"/>
        </w:rPr>
        <w:t xml:space="preserve">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 </w:t>
      </w:r>
    </w:p>
    <w:p w14:paraId="18E5696F" w14:textId="77777777" w:rsidR="00781602" w:rsidRPr="00FE528E" w:rsidRDefault="00781602" w:rsidP="00781602">
      <w:pPr>
        <w:spacing w:after="240"/>
        <w:contextualSpacing/>
        <w:rPr>
          <w:rFonts w:ascii="Arial" w:hAnsi="Arial" w:cs="Arial"/>
          <w:bCs/>
          <w:sz w:val="24"/>
          <w:szCs w:val="24"/>
        </w:rPr>
      </w:pPr>
    </w:p>
    <w:p w14:paraId="2686EA87" w14:textId="6A230EA6" w:rsidR="00781602" w:rsidRPr="00FE528E" w:rsidRDefault="00781602" w:rsidP="00781602">
      <w:pPr>
        <w:spacing w:after="240"/>
        <w:contextualSpacing/>
        <w:rPr>
          <w:rFonts w:ascii="Arial" w:hAnsi="Arial" w:cs="Arial"/>
          <w:bCs/>
          <w:sz w:val="24"/>
          <w:szCs w:val="24"/>
        </w:rPr>
      </w:pPr>
      <w:r w:rsidRPr="00FE528E">
        <w:rPr>
          <w:rFonts w:ascii="Arial" w:hAnsi="Arial" w:cs="Arial"/>
          <w:bCs/>
          <w:sz w:val="24"/>
          <w:szCs w:val="24"/>
        </w:rPr>
        <w:t xml:space="preserve">Regarding Account 1509, Impacts Arising from the COVID-19 Emergency Account, Sub-account Forgone Revenues from Postponing Rate Implementation, the following steps are noted in the August 6, 2020 guidance: </w:t>
      </w:r>
    </w:p>
    <w:p w14:paraId="54D51BCD" w14:textId="77777777" w:rsidR="00AC18BF" w:rsidRPr="00FE528E" w:rsidRDefault="00781602" w:rsidP="004C5E4C">
      <w:pPr>
        <w:pStyle w:val="ListParagraph"/>
        <w:numPr>
          <w:ilvl w:val="0"/>
          <w:numId w:val="10"/>
        </w:numPr>
        <w:spacing w:after="240"/>
        <w:rPr>
          <w:rFonts w:ascii="Arial" w:hAnsi="Arial" w:cs="Arial"/>
          <w:bCs/>
          <w:sz w:val="24"/>
          <w:szCs w:val="24"/>
        </w:rPr>
      </w:pPr>
      <w:r w:rsidRPr="00FE528E">
        <w:rPr>
          <w:rFonts w:ascii="Arial" w:hAnsi="Arial" w:cs="Arial"/>
          <w:bCs/>
          <w:sz w:val="24"/>
          <w:szCs w:val="24"/>
        </w:rPr>
        <w:t xml:space="preserve">Upon implementation of the forgone revenue rate rider that is calculated from the Forgone Revenue Model, the rate rider transactions will be recorded in the same Forgone Revenues Sub-account. This will draw down the accumulated balance of actual forgone revenues/amounts. </w:t>
      </w:r>
    </w:p>
    <w:p w14:paraId="414A5E93" w14:textId="6FA16904" w:rsidR="00AC18BF" w:rsidRPr="00FE528E" w:rsidRDefault="00781602" w:rsidP="004C5E4C">
      <w:pPr>
        <w:pStyle w:val="ListParagraph"/>
        <w:numPr>
          <w:ilvl w:val="0"/>
          <w:numId w:val="10"/>
        </w:numPr>
        <w:spacing w:after="240"/>
        <w:rPr>
          <w:rFonts w:ascii="Arial" w:hAnsi="Arial" w:cs="Arial"/>
          <w:bCs/>
          <w:sz w:val="24"/>
          <w:szCs w:val="24"/>
        </w:rPr>
      </w:pPr>
      <w:r w:rsidRPr="00FE528E">
        <w:rPr>
          <w:rFonts w:ascii="Arial" w:hAnsi="Arial" w:cs="Arial"/>
          <w:bCs/>
          <w:sz w:val="24"/>
          <w:szCs w:val="24"/>
        </w:rPr>
        <w:t>Any residual balance after the expiry of the rate riders should be requested for final disposition in a future rate application (cost of service or IRM</w:t>
      </w:r>
      <w:r w:rsidR="00742624" w:rsidRPr="00FE528E">
        <w:rPr>
          <w:rFonts w:ascii="Arial" w:hAnsi="Arial" w:cs="Arial"/>
          <w:bCs/>
          <w:sz w:val="24"/>
          <w:szCs w:val="24"/>
        </w:rPr>
        <w:t>) once</w:t>
      </w:r>
      <w:r w:rsidRPr="00FE528E">
        <w:rPr>
          <w:rFonts w:ascii="Arial" w:hAnsi="Arial" w:cs="Arial"/>
          <w:bCs/>
          <w:sz w:val="24"/>
          <w:szCs w:val="24"/>
        </w:rPr>
        <w:t xml:space="preserve"> the balance has been audited in accordance with normal deferral and variance account disposition practices. </w:t>
      </w:r>
    </w:p>
    <w:p w14:paraId="65B59B12" w14:textId="42DE343F" w:rsidR="00781602" w:rsidRPr="00FE528E" w:rsidRDefault="00781602" w:rsidP="004C5E4C">
      <w:pPr>
        <w:pStyle w:val="ListParagraph"/>
        <w:numPr>
          <w:ilvl w:val="0"/>
          <w:numId w:val="10"/>
        </w:numPr>
        <w:spacing w:after="240"/>
        <w:rPr>
          <w:rFonts w:ascii="Arial" w:hAnsi="Arial" w:cs="Arial"/>
          <w:bCs/>
          <w:sz w:val="24"/>
          <w:szCs w:val="24"/>
        </w:rPr>
      </w:pPr>
      <w:r w:rsidRPr="00FE528E">
        <w:rPr>
          <w:rFonts w:ascii="Arial" w:hAnsi="Arial" w:cs="Arial"/>
          <w:bCs/>
          <w:sz w:val="24"/>
          <w:szCs w:val="24"/>
        </w:rPr>
        <w:t>If disposition is approved, the residual balance in the Forgone Revenues Sub-account should be disposed proportionately by customer class and the residual balance will be transferred to Account 1595.</w:t>
      </w:r>
    </w:p>
    <w:p w14:paraId="21E9059E" w14:textId="7FC28D59" w:rsidR="00AA4C98" w:rsidRPr="00FE528E" w:rsidRDefault="00AA4C98" w:rsidP="00AA4C98">
      <w:pPr>
        <w:spacing w:after="240"/>
        <w:contextualSpacing/>
        <w:rPr>
          <w:rFonts w:ascii="Arial" w:hAnsi="Arial" w:cs="Arial"/>
          <w:b/>
          <w:sz w:val="24"/>
          <w:szCs w:val="24"/>
        </w:rPr>
      </w:pPr>
      <w:r w:rsidRPr="00FE528E">
        <w:rPr>
          <w:rFonts w:ascii="Arial" w:hAnsi="Arial" w:cs="Arial"/>
          <w:b/>
          <w:sz w:val="24"/>
          <w:szCs w:val="24"/>
        </w:rPr>
        <w:t>Question(s):</w:t>
      </w:r>
    </w:p>
    <w:p w14:paraId="1CFD9250" w14:textId="6131657A" w:rsidR="00087D85" w:rsidRPr="00FE528E" w:rsidRDefault="000C4E62" w:rsidP="004C5E4C">
      <w:pPr>
        <w:pStyle w:val="ListParagraph"/>
        <w:numPr>
          <w:ilvl w:val="0"/>
          <w:numId w:val="11"/>
        </w:numPr>
        <w:spacing w:after="240"/>
        <w:rPr>
          <w:rFonts w:ascii="Arial" w:hAnsi="Arial" w:cs="Arial"/>
          <w:bCs/>
          <w:sz w:val="24"/>
          <w:szCs w:val="24"/>
        </w:rPr>
      </w:pPr>
      <w:r w:rsidRPr="00FE528E">
        <w:rPr>
          <w:rFonts w:ascii="Arial" w:hAnsi="Arial" w:cs="Arial"/>
          <w:bCs/>
          <w:sz w:val="24"/>
          <w:szCs w:val="24"/>
        </w:rPr>
        <w:t xml:space="preserve">Please update Tab 3 (Continuity Schedule) and Tab 4 as necessary to reflect a balance in Account 1509 – Impacts Arising from the COVID-19 Emergency, Subaccount Forgone Revenues from Postponing Rate Implementation. Please complete the above-noted steps #1, #2, #3. </w:t>
      </w:r>
    </w:p>
    <w:p w14:paraId="7121510E" w14:textId="051EBE8C" w:rsidR="00AC18BF" w:rsidRPr="00FE528E" w:rsidRDefault="000C4E62" w:rsidP="004C5E4C">
      <w:pPr>
        <w:pStyle w:val="ListParagraph"/>
        <w:numPr>
          <w:ilvl w:val="0"/>
          <w:numId w:val="11"/>
        </w:numPr>
        <w:spacing w:after="240"/>
        <w:rPr>
          <w:rFonts w:ascii="Arial" w:hAnsi="Arial" w:cs="Arial"/>
          <w:bCs/>
          <w:sz w:val="24"/>
          <w:szCs w:val="24"/>
        </w:rPr>
      </w:pPr>
      <w:r w:rsidRPr="00FE528E">
        <w:rPr>
          <w:rFonts w:ascii="Arial" w:hAnsi="Arial" w:cs="Arial"/>
          <w:bCs/>
          <w:sz w:val="24"/>
          <w:szCs w:val="24"/>
        </w:rPr>
        <w:t>If this balance is not applicable, please explain</w:t>
      </w:r>
      <w:r w:rsidR="00F15DF7" w:rsidRPr="00FE528E">
        <w:rPr>
          <w:rFonts w:ascii="Arial" w:hAnsi="Arial" w:cs="Arial"/>
          <w:bCs/>
          <w:sz w:val="24"/>
          <w:szCs w:val="24"/>
        </w:rPr>
        <w:t>.</w:t>
      </w:r>
    </w:p>
    <w:p w14:paraId="5B010FB5" w14:textId="4FFC03E1" w:rsidR="00AA4C98" w:rsidRPr="00FE528E" w:rsidRDefault="00AA4C98" w:rsidP="00AA4C98">
      <w:pPr>
        <w:spacing w:after="240"/>
        <w:contextualSpacing/>
        <w:rPr>
          <w:rFonts w:ascii="Arial" w:hAnsi="Arial" w:cs="Arial"/>
          <w:b/>
          <w:sz w:val="24"/>
          <w:szCs w:val="24"/>
        </w:rPr>
      </w:pPr>
      <w:r w:rsidRPr="00FE528E">
        <w:rPr>
          <w:rFonts w:ascii="Arial" w:hAnsi="Arial" w:cs="Arial"/>
          <w:b/>
          <w:sz w:val="24"/>
          <w:szCs w:val="24"/>
        </w:rPr>
        <w:t>Staff Question-</w:t>
      </w:r>
      <w:r w:rsidR="00E45234" w:rsidRPr="00FE528E">
        <w:rPr>
          <w:rFonts w:ascii="Arial" w:hAnsi="Arial" w:cs="Arial"/>
          <w:b/>
          <w:sz w:val="24"/>
          <w:szCs w:val="24"/>
        </w:rPr>
        <w:t>6</w:t>
      </w:r>
    </w:p>
    <w:p w14:paraId="52C473CA" w14:textId="77777777" w:rsidR="00AA4C98" w:rsidRPr="00FE528E" w:rsidRDefault="00AA4C98" w:rsidP="00AA4C98">
      <w:pPr>
        <w:spacing w:after="240"/>
        <w:contextualSpacing/>
        <w:rPr>
          <w:rFonts w:ascii="Arial" w:hAnsi="Arial" w:cs="Arial"/>
          <w:b/>
          <w:sz w:val="24"/>
          <w:szCs w:val="24"/>
        </w:rPr>
      </w:pPr>
      <w:r w:rsidRPr="00FE528E">
        <w:rPr>
          <w:rFonts w:ascii="Arial" w:hAnsi="Arial" w:cs="Arial"/>
          <w:b/>
          <w:sz w:val="24"/>
          <w:szCs w:val="24"/>
        </w:rPr>
        <w:t>Reference:</w:t>
      </w:r>
    </w:p>
    <w:p w14:paraId="52646721" w14:textId="1E86F78F" w:rsidR="00A40249" w:rsidRPr="00FE528E" w:rsidRDefault="00A40249" w:rsidP="00603C84">
      <w:pPr>
        <w:pStyle w:val="ListParagraph"/>
        <w:numPr>
          <w:ilvl w:val="0"/>
          <w:numId w:val="12"/>
        </w:numPr>
        <w:tabs>
          <w:tab w:val="left" w:pos="720"/>
        </w:tabs>
        <w:ind w:left="720" w:hanging="360"/>
        <w:rPr>
          <w:rFonts w:ascii="Arial" w:hAnsi="Arial" w:cs="Arial"/>
          <w:bCs/>
          <w:sz w:val="24"/>
          <w:szCs w:val="24"/>
        </w:rPr>
      </w:pPr>
      <w:r w:rsidRPr="00FE528E">
        <w:rPr>
          <w:rFonts w:ascii="Arial" w:hAnsi="Arial" w:cs="Arial"/>
          <w:bCs/>
          <w:sz w:val="24"/>
          <w:szCs w:val="24"/>
        </w:rPr>
        <w:t xml:space="preserve">EB-2024-0060, Rate Generator Model, Tab </w:t>
      </w:r>
      <w:r w:rsidR="00F9659C" w:rsidRPr="00FE528E">
        <w:rPr>
          <w:rFonts w:ascii="Arial" w:hAnsi="Arial" w:cs="Arial"/>
          <w:bCs/>
          <w:sz w:val="24"/>
          <w:szCs w:val="24"/>
        </w:rPr>
        <w:t>8</w:t>
      </w:r>
      <w:r w:rsidR="00D23709" w:rsidRPr="00FE528E">
        <w:rPr>
          <w:rFonts w:ascii="Arial" w:hAnsi="Arial" w:cs="Arial"/>
          <w:bCs/>
          <w:sz w:val="24"/>
          <w:szCs w:val="24"/>
        </w:rPr>
        <w:t xml:space="preserve"> </w:t>
      </w:r>
      <w:r w:rsidR="00F9659C" w:rsidRPr="00FE528E">
        <w:rPr>
          <w:rFonts w:ascii="Arial" w:hAnsi="Arial" w:cs="Arial"/>
          <w:bCs/>
          <w:sz w:val="24"/>
          <w:szCs w:val="24"/>
        </w:rPr>
        <w:t xml:space="preserve">- Tax Change, Cell </w:t>
      </w:r>
      <w:r w:rsidR="00E66ACA" w:rsidRPr="00FE528E">
        <w:rPr>
          <w:rFonts w:ascii="Arial" w:hAnsi="Arial" w:cs="Arial"/>
          <w:bCs/>
          <w:sz w:val="24"/>
          <w:szCs w:val="24"/>
        </w:rPr>
        <w:t>H18</w:t>
      </w:r>
      <w:r w:rsidRPr="00FE528E">
        <w:rPr>
          <w:rFonts w:ascii="Arial" w:hAnsi="Arial" w:cs="Arial"/>
          <w:bCs/>
          <w:sz w:val="24"/>
          <w:szCs w:val="24"/>
        </w:rPr>
        <w:t xml:space="preserve"> </w:t>
      </w:r>
    </w:p>
    <w:p w14:paraId="65C751D3" w14:textId="395B0454" w:rsidR="00085A7E" w:rsidRPr="00FE528E" w:rsidRDefault="00235FB4" w:rsidP="00603C84">
      <w:pPr>
        <w:pStyle w:val="ListParagraph"/>
        <w:numPr>
          <w:ilvl w:val="0"/>
          <w:numId w:val="12"/>
        </w:numPr>
        <w:spacing w:after="240"/>
        <w:ind w:left="720" w:hanging="360"/>
        <w:rPr>
          <w:rFonts w:ascii="Arial" w:hAnsi="Arial" w:cs="Arial"/>
          <w:bCs/>
          <w:sz w:val="24"/>
          <w:szCs w:val="24"/>
        </w:rPr>
      </w:pPr>
      <w:r w:rsidRPr="00FE528E">
        <w:rPr>
          <w:rFonts w:ascii="Arial" w:hAnsi="Arial" w:cs="Arial"/>
          <w:bCs/>
          <w:sz w:val="24"/>
          <w:szCs w:val="24"/>
        </w:rPr>
        <w:t>EB-202</w:t>
      </w:r>
      <w:r w:rsidR="00E66ACA" w:rsidRPr="00FE528E">
        <w:rPr>
          <w:rFonts w:ascii="Arial" w:hAnsi="Arial" w:cs="Arial"/>
          <w:bCs/>
          <w:sz w:val="24"/>
          <w:szCs w:val="24"/>
        </w:rPr>
        <w:t>3</w:t>
      </w:r>
      <w:r w:rsidRPr="00FE528E">
        <w:rPr>
          <w:rFonts w:ascii="Arial" w:hAnsi="Arial" w:cs="Arial"/>
          <w:bCs/>
          <w:sz w:val="24"/>
          <w:szCs w:val="24"/>
        </w:rPr>
        <w:t>-</w:t>
      </w:r>
      <w:r w:rsidR="00E66ACA" w:rsidRPr="00FE528E">
        <w:rPr>
          <w:rFonts w:ascii="Arial" w:hAnsi="Arial" w:cs="Arial"/>
          <w:bCs/>
          <w:sz w:val="24"/>
          <w:szCs w:val="24"/>
        </w:rPr>
        <w:t>0058</w:t>
      </w:r>
      <w:r w:rsidRPr="00FE528E">
        <w:rPr>
          <w:rFonts w:ascii="Arial" w:hAnsi="Arial" w:cs="Arial"/>
          <w:bCs/>
          <w:sz w:val="24"/>
          <w:szCs w:val="24"/>
        </w:rPr>
        <w:t>,</w:t>
      </w:r>
      <w:r w:rsidR="00273BEF" w:rsidRPr="00FE528E">
        <w:rPr>
          <w:rFonts w:ascii="Arial" w:hAnsi="Arial" w:cs="Arial"/>
          <w:bCs/>
          <w:sz w:val="24"/>
          <w:szCs w:val="24"/>
        </w:rPr>
        <w:t xml:space="preserve"> Revenue Requirement </w:t>
      </w:r>
      <w:proofErr w:type="spellStart"/>
      <w:r w:rsidR="00273BEF" w:rsidRPr="00FE528E">
        <w:rPr>
          <w:rFonts w:ascii="Arial" w:hAnsi="Arial" w:cs="Arial"/>
          <w:bCs/>
          <w:sz w:val="24"/>
          <w:szCs w:val="24"/>
        </w:rPr>
        <w:t>Workform</w:t>
      </w:r>
      <w:proofErr w:type="spellEnd"/>
      <w:r w:rsidRPr="00FE528E">
        <w:rPr>
          <w:rFonts w:ascii="Arial" w:hAnsi="Arial" w:cs="Arial"/>
          <w:bCs/>
          <w:sz w:val="24"/>
          <w:szCs w:val="24"/>
        </w:rPr>
        <w:t xml:space="preserve">, </w:t>
      </w:r>
      <w:r w:rsidR="003D2D30" w:rsidRPr="00FE528E">
        <w:rPr>
          <w:rFonts w:ascii="Arial" w:hAnsi="Arial" w:cs="Arial"/>
          <w:bCs/>
          <w:sz w:val="24"/>
          <w:szCs w:val="24"/>
        </w:rPr>
        <w:t>Tab</w:t>
      </w:r>
      <w:r w:rsidR="00D715AC" w:rsidRPr="00FE528E">
        <w:rPr>
          <w:rFonts w:ascii="Arial" w:hAnsi="Arial" w:cs="Arial"/>
          <w:bCs/>
          <w:sz w:val="24"/>
          <w:szCs w:val="24"/>
        </w:rPr>
        <w:t xml:space="preserve"> 6 </w:t>
      </w:r>
      <w:r w:rsidR="0007231B" w:rsidRPr="00FE528E">
        <w:rPr>
          <w:rFonts w:ascii="Arial" w:hAnsi="Arial" w:cs="Arial"/>
          <w:bCs/>
          <w:sz w:val="24"/>
          <w:szCs w:val="24"/>
        </w:rPr>
        <w:t>-</w:t>
      </w:r>
      <w:r w:rsidR="00D715AC" w:rsidRPr="00FE528E">
        <w:rPr>
          <w:rFonts w:ascii="Arial" w:hAnsi="Arial" w:cs="Arial"/>
          <w:bCs/>
          <w:sz w:val="24"/>
          <w:szCs w:val="24"/>
        </w:rPr>
        <w:t xml:space="preserve"> </w:t>
      </w:r>
      <w:proofErr w:type="spellStart"/>
      <w:r w:rsidR="00D715AC" w:rsidRPr="00FE528E">
        <w:rPr>
          <w:rFonts w:ascii="Arial" w:hAnsi="Arial" w:cs="Arial"/>
          <w:bCs/>
          <w:sz w:val="24"/>
          <w:szCs w:val="24"/>
        </w:rPr>
        <w:t>Taxes_PILs</w:t>
      </w:r>
      <w:proofErr w:type="spellEnd"/>
      <w:r w:rsidR="00D715AC" w:rsidRPr="00FE528E">
        <w:rPr>
          <w:rFonts w:ascii="Arial" w:hAnsi="Arial" w:cs="Arial"/>
          <w:bCs/>
          <w:sz w:val="24"/>
          <w:szCs w:val="24"/>
        </w:rPr>
        <w:t>,</w:t>
      </w:r>
      <w:r w:rsidR="003D2D30" w:rsidRPr="00FE528E">
        <w:rPr>
          <w:rFonts w:ascii="Arial" w:hAnsi="Arial" w:cs="Arial"/>
          <w:bCs/>
          <w:sz w:val="24"/>
          <w:szCs w:val="24"/>
        </w:rPr>
        <w:t xml:space="preserve"> </w:t>
      </w:r>
      <w:r w:rsidR="00D715AC" w:rsidRPr="00FE528E">
        <w:rPr>
          <w:rFonts w:ascii="Arial" w:hAnsi="Arial" w:cs="Arial"/>
          <w:bCs/>
          <w:sz w:val="24"/>
          <w:szCs w:val="24"/>
        </w:rPr>
        <w:t xml:space="preserve">Cell </w:t>
      </w:r>
      <w:proofErr w:type="spellStart"/>
      <w:r w:rsidR="003D2D30" w:rsidRPr="00FE528E">
        <w:rPr>
          <w:rFonts w:ascii="Arial" w:hAnsi="Arial" w:cs="Arial"/>
          <w:bCs/>
          <w:sz w:val="24"/>
          <w:szCs w:val="24"/>
        </w:rPr>
        <w:t>Cell</w:t>
      </w:r>
      <w:proofErr w:type="spellEnd"/>
      <w:r w:rsidR="0007231B" w:rsidRPr="00FE528E">
        <w:rPr>
          <w:rFonts w:ascii="Arial" w:hAnsi="Arial" w:cs="Arial"/>
          <w:bCs/>
          <w:sz w:val="24"/>
          <w:szCs w:val="24"/>
        </w:rPr>
        <w:t xml:space="preserve"> S</w:t>
      </w:r>
      <w:r w:rsidR="00927383" w:rsidRPr="00FE528E">
        <w:rPr>
          <w:rFonts w:ascii="Arial" w:hAnsi="Arial" w:cs="Arial"/>
          <w:bCs/>
          <w:sz w:val="24"/>
          <w:szCs w:val="24"/>
        </w:rPr>
        <w:t>20</w:t>
      </w:r>
    </w:p>
    <w:p w14:paraId="712B468C" w14:textId="46915810" w:rsidR="00F15DF7" w:rsidRPr="00FE528E" w:rsidRDefault="00927383" w:rsidP="00BA1383">
      <w:pPr>
        <w:spacing w:after="240"/>
        <w:contextualSpacing/>
        <w:rPr>
          <w:rFonts w:ascii="Arial" w:hAnsi="Arial" w:cs="Arial"/>
          <w:bCs/>
          <w:sz w:val="24"/>
          <w:szCs w:val="24"/>
        </w:rPr>
      </w:pPr>
      <w:r w:rsidRPr="00FE528E">
        <w:rPr>
          <w:rFonts w:ascii="Arial" w:hAnsi="Arial" w:cs="Arial"/>
          <w:bCs/>
          <w:sz w:val="24"/>
          <w:szCs w:val="24"/>
        </w:rPr>
        <w:t>Preamble:</w:t>
      </w:r>
    </w:p>
    <w:p w14:paraId="6225760C" w14:textId="6FF63040" w:rsidR="00BA1383" w:rsidRPr="00FE528E" w:rsidRDefault="00612102" w:rsidP="00BA1383">
      <w:pPr>
        <w:spacing w:after="240"/>
        <w:contextualSpacing/>
        <w:rPr>
          <w:rFonts w:ascii="Arial" w:hAnsi="Arial" w:cs="Arial"/>
          <w:bCs/>
          <w:sz w:val="24"/>
          <w:szCs w:val="24"/>
        </w:rPr>
      </w:pPr>
      <w:r w:rsidRPr="00FE528E">
        <w:rPr>
          <w:rFonts w:ascii="Arial" w:hAnsi="Arial" w:cs="Arial"/>
          <w:bCs/>
          <w:sz w:val="24"/>
          <w:szCs w:val="24"/>
        </w:rPr>
        <w:t xml:space="preserve">The taxable income in the Tax Change tab of the Rate Generator Model </w:t>
      </w:r>
      <w:r w:rsidR="004874F3" w:rsidRPr="00FE528E">
        <w:rPr>
          <w:rFonts w:ascii="Arial" w:hAnsi="Arial" w:cs="Arial"/>
          <w:bCs/>
          <w:sz w:val="24"/>
          <w:szCs w:val="24"/>
        </w:rPr>
        <w:t xml:space="preserve">should equal the amount approved by the OEB in </w:t>
      </w:r>
      <w:r w:rsidR="00B6486A" w:rsidRPr="00FE528E">
        <w:rPr>
          <w:rFonts w:ascii="Arial" w:hAnsi="Arial" w:cs="Arial"/>
          <w:bCs/>
          <w:sz w:val="24"/>
          <w:szCs w:val="24"/>
        </w:rPr>
        <w:t xml:space="preserve">the </w:t>
      </w:r>
      <w:r w:rsidR="004874F3" w:rsidRPr="00FE528E">
        <w:rPr>
          <w:rFonts w:ascii="Arial" w:hAnsi="Arial" w:cs="Arial"/>
          <w:bCs/>
          <w:sz w:val="24"/>
          <w:szCs w:val="24"/>
        </w:rPr>
        <w:t xml:space="preserve">last Cost of Service application. </w:t>
      </w:r>
      <w:r w:rsidR="00464160" w:rsidRPr="00FE528E">
        <w:rPr>
          <w:rFonts w:ascii="Arial" w:hAnsi="Arial" w:cs="Arial"/>
          <w:bCs/>
          <w:sz w:val="24"/>
          <w:szCs w:val="24"/>
        </w:rPr>
        <w:t xml:space="preserve">According to the OEB decision in </w:t>
      </w:r>
      <w:proofErr w:type="spellStart"/>
      <w:r w:rsidR="00E7108D" w:rsidRPr="00FE528E">
        <w:rPr>
          <w:rFonts w:ascii="Arial" w:hAnsi="Arial" w:cs="Arial"/>
          <w:bCs/>
          <w:sz w:val="24"/>
          <w:szCs w:val="24"/>
        </w:rPr>
        <w:t>Westario</w:t>
      </w:r>
      <w:proofErr w:type="spellEnd"/>
      <w:r w:rsidR="00E7108D" w:rsidRPr="00FE528E">
        <w:rPr>
          <w:rFonts w:ascii="Arial" w:hAnsi="Arial" w:cs="Arial"/>
          <w:bCs/>
          <w:sz w:val="24"/>
          <w:szCs w:val="24"/>
        </w:rPr>
        <w:t xml:space="preserve"> Power’s</w:t>
      </w:r>
      <w:r w:rsidR="00464160" w:rsidRPr="00FE528E">
        <w:rPr>
          <w:rFonts w:ascii="Arial" w:hAnsi="Arial" w:cs="Arial"/>
          <w:bCs/>
          <w:sz w:val="24"/>
          <w:szCs w:val="24"/>
        </w:rPr>
        <w:t xml:space="preserve"> 2024 Cost of Service application, the taxable income in Ref. (II) is $622,185.</w:t>
      </w:r>
      <w:r w:rsidR="0037398C" w:rsidRPr="00FE528E">
        <w:rPr>
          <w:rFonts w:ascii="Arial" w:hAnsi="Arial" w:cs="Arial"/>
          <w:bCs/>
          <w:sz w:val="24"/>
          <w:szCs w:val="24"/>
        </w:rPr>
        <w:t xml:space="preserve"> However,</w:t>
      </w:r>
      <w:r w:rsidR="00464160" w:rsidRPr="00FE528E">
        <w:rPr>
          <w:rFonts w:ascii="Arial" w:hAnsi="Arial" w:cs="Arial"/>
          <w:bCs/>
          <w:sz w:val="24"/>
          <w:szCs w:val="24"/>
        </w:rPr>
        <w:t xml:space="preserve"> OEB staff notes that the taxable income mentioned in Ref. (I) is $846,509.</w:t>
      </w:r>
      <w:r w:rsidR="00201A5D" w:rsidRPr="00FE528E">
        <w:rPr>
          <w:rFonts w:ascii="Arial" w:hAnsi="Arial" w:cs="Arial"/>
          <w:bCs/>
          <w:sz w:val="24"/>
          <w:szCs w:val="24"/>
        </w:rPr>
        <w:t xml:space="preserve"> </w:t>
      </w:r>
    </w:p>
    <w:p w14:paraId="23975C7B" w14:textId="77777777" w:rsidR="00464160" w:rsidRPr="00FE528E" w:rsidRDefault="00464160" w:rsidP="00BA1383">
      <w:pPr>
        <w:spacing w:after="240"/>
        <w:contextualSpacing/>
        <w:rPr>
          <w:rFonts w:ascii="Arial" w:hAnsi="Arial" w:cs="Arial"/>
          <w:bCs/>
          <w:sz w:val="24"/>
          <w:szCs w:val="24"/>
        </w:rPr>
      </w:pPr>
    </w:p>
    <w:p w14:paraId="559ADF7A" w14:textId="77777777" w:rsidR="00AA4C98" w:rsidRPr="00FE528E" w:rsidRDefault="00AA4C98" w:rsidP="00786633">
      <w:pPr>
        <w:spacing w:after="240"/>
        <w:contextualSpacing/>
        <w:rPr>
          <w:rFonts w:ascii="Arial" w:hAnsi="Arial" w:cs="Arial"/>
          <w:b/>
          <w:sz w:val="24"/>
          <w:szCs w:val="24"/>
        </w:rPr>
      </w:pPr>
      <w:r w:rsidRPr="00FE528E">
        <w:rPr>
          <w:rFonts w:ascii="Arial" w:hAnsi="Arial" w:cs="Arial"/>
          <w:b/>
          <w:sz w:val="24"/>
          <w:szCs w:val="24"/>
        </w:rPr>
        <w:t>Question(s):</w:t>
      </w:r>
    </w:p>
    <w:p w14:paraId="78E539C8" w14:textId="7894984B" w:rsidR="00A20F27" w:rsidRPr="00FE528E" w:rsidRDefault="00A20F27" w:rsidP="00786633">
      <w:pPr>
        <w:pStyle w:val="ListParagraph"/>
        <w:numPr>
          <w:ilvl w:val="0"/>
          <w:numId w:val="13"/>
        </w:numPr>
        <w:spacing w:after="240"/>
        <w:rPr>
          <w:rFonts w:ascii="Arial" w:hAnsi="Arial" w:cs="Arial"/>
          <w:bCs/>
          <w:sz w:val="24"/>
          <w:szCs w:val="24"/>
        </w:rPr>
      </w:pPr>
      <w:r w:rsidRPr="00FE528E">
        <w:rPr>
          <w:rFonts w:ascii="Arial" w:hAnsi="Arial" w:cs="Arial"/>
          <w:bCs/>
          <w:sz w:val="24"/>
          <w:szCs w:val="24"/>
        </w:rPr>
        <w:t xml:space="preserve">Please explain the discrepancy. </w:t>
      </w:r>
    </w:p>
    <w:p w14:paraId="4375A378" w14:textId="77777777" w:rsidR="00917D62" w:rsidRDefault="00917D62" w:rsidP="00D55352">
      <w:pPr>
        <w:spacing w:after="0" w:line="240" w:lineRule="auto"/>
        <w:contextualSpacing/>
        <w:rPr>
          <w:rFonts w:ascii="Arial" w:eastAsia="Calibri" w:hAnsi="Arial" w:cs="Arial"/>
          <w:b/>
          <w:bCs/>
          <w:sz w:val="24"/>
          <w:szCs w:val="24"/>
        </w:rPr>
      </w:pPr>
    </w:p>
    <w:p w14:paraId="47A66162" w14:textId="159D0280" w:rsidR="00D55352" w:rsidRPr="00FE528E" w:rsidRDefault="00D55352" w:rsidP="00D55352">
      <w:pPr>
        <w:spacing w:after="0" w:line="240" w:lineRule="auto"/>
        <w:contextualSpacing/>
        <w:rPr>
          <w:rFonts w:ascii="Arial" w:eastAsia="Calibri" w:hAnsi="Arial" w:cs="Arial"/>
          <w:b/>
          <w:bCs/>
          <w:sz w:val="24"/>
          <w:szCs w:val="24"/>
        </w:rPr>
      </w:pPr>
      <w:r w:rsidRPr="00FE528E">
        <w:rPr>
          <w:rFonts w:ascii="Arial" w:eastAsia="Calibri" w:hAnsi="Arial" w:cs="Arial"/>
          <w:b/>
          <w:bCs/>
          <w:sz w:val="24"/>
          <w:szCs w:val="24"/>
        </w:rPr>
        <w:t>Staff Question-7</w:t>
      </w:r>
    </w:p>
    <w:p w14:paraId="21845B67" w14:textId="1E50D746" w:rsidR="00603C84" w:rsidRPr="00FE528E" w:rsidRDefault="00D55352" w:rsidP="00786633">
      <w:pPr>
        <w:spacing w:after="240"/>
        <w:contextualSpacing/>
        <w:rPr>
          <w:rFonts w:ascii="Arial" w:hAnsi="Arial" w:cs="Arial"/>
          <w:b/>
          <w:sz w:val="24"/>
          <w:szCs w:val="24"/>
        </w:rPr>
      </w:pPr>
      <w:r w:rsidRPr="00FE528E">
        <w:rPr>
          <w:rFonts w:ascii="Arial" w:hAnsi="Arial" w:cs="Arial"/>
          <w:b/>
          <w:sz w:val="24"/>
          <w:szCs w:val="24"/>
        </w:rPr>
        <w:t xml:space="preserve">Reference: </w:t>
      </w:r>
    </w:p>
    <w:p w14:paraId="243981AB" w14:textId="6725198D" w:rsidR="00D55352" w:rsidRPr="00FE528E" w:rsidRDefault="00D55352" w:rsidP="00786633">
      <w:pPr>
        <w:pStyle w:val="ListParagraph"/>
        <w:numPr>
          <w:ilvl w:val="0"/>
          <w:numId w:val="44"/>
        </w:numPr>
        <w:spacing w:after="240"/>
        <w:ind w:left="720" w:hanging="360"/>
        <w:rPr>
          <w:rFonts w:ascii="Arial" w:hAnsi="Arial" w:cs="Arial"/>
          <w:bCs/>
          <w:sz w:val="24"/>
          <w:szCs w:val="24"/>
        </w:rPr>
      </w:pPr>
      <w:r w:rsidRPr="00FE528E">
        <w:rPr>
          <w:rFonts w:ascii="Arial" w:hAnsi="Arial" w:cs="Arial"/>
          <w:bCs/>
          <w:sz w:val="24"/>
          <w:szCs w:val="24"/>
        </w:rPr>
        <w:t>EB-2024-0042, Rate Generator Models, Tab 3, Continuity Schedule</w:t>
      </w:r>
    </w:p>
    <w:p w14:paraId="765AF33A" w14:textId="77777777" w:rsidR="00917D62" w:rsidRDefault="00917D62" w:rsidP="00D55352">
      <w:pPr>
        <w:pStyle w:val="Default"/>
        <w:rPr>
          <w:rFonts w:ascii="Arial" w:eastAsia="Calibri" w:hAnsi="Arial" w:cs="Arial"/>
          <w:color w:val="auto"/>
        </w:rPr>
      </w:pPr>
    </w:p>
    <w:p w14:paraId="4D30492C" w14:textId="130D0A90" w:rsidR="00D55352" w:rsidRPr="00FE528E" w:rsidRDefault="00D55352" w:rsidP="00D55352">
      <w:pPr>
        <w:pStyle w:val="Default"/>
        <w:rPr>
          <w:rFonts w:ascii="Arial" w:eastAsia="Calibri" w:hAnsi="Arial" w:cs="Arial"/>
          <w:color w:val="auto"/>
        </w:rPr>
      </w:pPr>
      <w:r w:rsidRPr="00FE528E">
        <w:rPr>
          <w:rFonts w:ascii="Arial" w:eastAsia="Calibri" w:hAnsi="Arial" w:cs="Arial"/>
          <w:color w:val="auto"/>
        </w:rPr>
        <w:t>Preamble:</w:t>
      </w:r>
    </w:p>
    <w:p w14:paraId="507404D6" w14:textId="77777777" w:rsidR="00D55352" w:rsidRPr="00FE528E" w:rsidRDefault="00D55352" w:rsidP="00D55352">
      <w:pPr>
        <w:pStyle w:val="Default"/>
        <w:rPr>
          <w:rFonts w:ascii="Arial" w:eastAsia="Calibri" w:hAnsi="Arial" w:cs="Arial"/>
        </w:rPr>
      </w:pPr>
      <w:r w:rsidRPr="00FE528E">
        <w:rPr>
          <w:rFonts w:ascii="Arial" w:eastAsia="Calibri" w:hAnsi="Arial" w:cs="Arial"/>
        </w:rPr>
        <w:t>On September 13, 2024, the OEB published the 2024 Quarter 4 prescribed accounting interest rates applicable to the carrying charges of deferral, variance and construction work in progress (CWIP) accounts of natural gas utilities, electricity distributors and other rate-regulated entities.</w:t>
      </w:r>
    </w:p>
    <w:p w14:paraId="0DEA5625" w14:textId="77777777" w:rsidR="00D55352" w:rsidRPr="00FE528E" w:rsidRDefault="00D55352" w:rsidP="00D55352">
      <w:pPr>
        <w:pStyle w:val="Default"/>
        <w:rPr>
          <w:rFonts w:ascii="Arial" w:eastAsia="Calibri" w:hAnsi="Arial" w:cs="Arial"/>
          <w:b/>
          <w:bCs/>
          <w:color w:val="auto"/>
        </w:rPr>
      </w:pPr>
    </w:p>
    <w:p w14:paraId="00892B0D" w14:textId="1C7CB4DC" w:rsidR="00786633" w:rsidRPr="00FE528E" w:rsidRDefault="00D55352" w:rsidP="00D55352">
      <w:pPr>
        <w:pStyle w:val="Default"/>
        <w:rPr>
          <w:rFonts w:ascii="Arial" w:eastAsia="Calibri" w:hAnsi="Arial" w:cs="Arial"/>
          <w:b/>
          <w:bCs/>
          <w:color w:val="auto"/>
        </w:rPr>
      </w:pPr>
      <w:r w:rsidRPr="00FE528E">
        <w:rPr>
          <w:rFonts w:ascii="Arial" w:eastAsia="Calibri" w:hAnsi="Arial" w:cs="Arial"/>
          <w:b/>
          <w:bCs/>
          <w:color w:val="auto"/>
        </w:rPr>
        <w:t xml:space="preserve">Question(s): </w:t>
      </w:r>
    </w:p>
    <w:p w14:paraId="0C247A9D" w14:textId="77777777" w:rsidR="0037754C" w:rsidRPr="00FE528E" w:rsidRDefault="0037754C" w:rsidP="00D55352">
      <w:pPr>
        <w:pStyle w:val="Default"/>
        <w:rPr>
          <w:rFonts w:ascii="Arial" w:eastAsia="Calibri" w:hAnsi="Arial" w:cs="Arial"/>
          <w:b/>
          <w:bCs/>
          <w:color w:val="auto"/>
        </w:rPr>
      </w:pPr>
    </w:p>
    <w:p w14:paraId="5CB4E824" w14:textId="5C7A0806" w:rsidR="004975CD" w:rsidRPr="00FE528E" w:rsidRDefault="00D55352" w:rsidP="00C810B3">
      <w:pPr>
        <w:pStyle w:val="Default"/>
        <w:numPr>
          <w:ilvl w:val="0"/>
          <w:numId w:val="17"/>
        </w:numPr>
        <w:rPr>
          <w:rFonts w:ascii="Arial" w:eastAsia="Calibri" w:hAnsi="Arial" w:cs="Arial"/>
          <w:color w:val="auto"/>
        </w:rPr>
      </w:pPr>
      <w:r w:rsidRPr="00FE528E">
        <w:rPr>
          <w:rFonts w:ascii="Arial" w:eastAsia="Calibri" w:hAnsi="Arial" w:cs="Arial"/>
          <w:color w:val="auto"/>
        </w:rPr>
        <w:t>Please update Tab 3 (Continuity Schedule) as necessary to reflect the Q4 2024 OEB-prescribed interest rate of 4.40%.</w:t>
      </w:r>
    </w:p>
    <w:p w14:paraId="074FC35E" w14:textId="7777777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eop"/>
          <w:rFonts w:ascii="Arial" w:hAnsi="Arial" w:cs="Arial"/>
        </w:rPr>
        <w:t> </w:t>
      </w:r>
    </w:p>
    <w:p w14:paraId="1A068F8B" w14:textId="434B157F"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b/>
          <w:bCs/>
        </w:rPr>
        <w:t>Staff Question</w:t>
      </w:r>
      <w:r w:rsidR="00DD7A99" w:rsidRPr="00FE528E">
        <w:rPr>
          <w:rStyle w:val="normaltextrun"/>
          <w:rFonts w:ascii="Arial" w:hAnsi="Arial" w:cs="Arial"/>
          <w:b/>
          <w:bCs/>
        </w:rPr>
        <w:t>-</w:t>
      </w:r>
      <w:r w:rsidRPr="00FE528E">
        <w:rPr>
          <w:rStyle w:val="normaltextrun"/>
          <w:rFonts w:ascii="Arial" w:hAnsi="Arial" w:cs="Arial"/>
          <w:b/>
          <w:bCs/>
        </w:rPr>
        <w:t>8</w:t>
      </w:r>
      <w:r w:rsidRPr="00FE528E">
        <w:rPr>
          <w:rStyle w:val="eop"/>
          <w:rFonts w:ascii="Arial" w:hAnsi="Arial" w:cs="Arial"/>
        </w:rPr>
        <w:t> </w:t>
      </w:r>
    </w:p>
    <w:p w14:paraId="6A487B6D" w14:textId="6DD362CB" w:rsidR="00FF0F4B" w:rsidRPr="00FE528E" w:rsidRDefault="00FF0F4B" w:rsidP="00FF0F4B">
      <w:pPr>
        <w:pStyle w:val="paragraph"/>
        <w:spacing w:before="0" w:beforeAutospacing="0" w:after="0" w:afterAutospacing="0"/>
        <w:textAlignment w:val="baseline"/>
        <w:rPr>
          <w:rStyle w:val="eop"/>
          <w:rFonts w:ascii="Arial" w:hAnsi="Arial" w:cs="Arial"/>
        </w:rPr>
      </w:pPr>
      <w:r w:rsidRPr="00FE528E">
        <w:rPr>
          <w:rStyle w:val="eop"/>
          <w:rFonts w:ascii="Arial" w:hAnsi="Arial" w:cs="Arial"/>
        </w:rPr>
        <w:t> </w:t>
      </w:r>
      <w:r w:rsidRPr="00FE528E">
        <w:rPr>
          <w:rStyle w:val="normaltextrun"/>
          <w:rFonts w:ascii="Arial" w:hAnsi="Arial" w:cs="Arial"/>
          <w:b/>
          <w:bCs/>
        </w:rPr>
        <w:t>Reference:</w:t>
      </w:r>
      <w:r w:rsidRPr="00FE528E">
        <w:rPr>
          <w:rStyle w:val="eop"/>
          <w:rFonts w:ascii="Arial" w:hAnsi="Arial" w:cs="Arial"/>
        </w:rPr>
        <w:t> </w:t>
      </w:r>
    </w:p>
    <w:p w14:paraId="04200BA1" w14:textId="77777777" w:rsidR="00DE010D" w:rsidRPr="00FE528E" w:rsidRDefault="00DE010D" w:rsidP="00FF0F4B">
      <w:pPr>
        <w:pStyle w:val="paragraph"/>
        <w:spacing w:before="0" w:beforeAutospacing="0" w:after="0" w:afterAutospacing="0"/>
        <w:textAlignment w:val="baseline"/>
        <w:rPr>
          <w:rFonts w:ascii="Arial" w:hAnsi="Arial" w:cs="Arial"/>
        </w:rPr>
      </w:pPr>
    </w:p>
    <w:p w14:paraId="143123DC" w14:textId="77777777" w:rsidR="00080BC3" w:rsidRPr="00FE528E" w:rsidRDefault="00FF0F4B" w:rsidP="00080BC3">
      <w:pPr>
        <w:pStyle w:val="paragraph"/>
        <w:numPr>
          <w:ilvl w:val="0"/>
          <w:numId w:val="42"/>
        </w:numPr>
        <w:spacing w:before="0" w:beforeAutospacing="0" w:after="0" w:afterAutospacing="0"/>
        <w:ind w:left="720" w:hanging="360"/>
        <w:textAlignment w:val="baseline"/>
        <w:rPr>
          <w:rFonts w:ascii="Arial" w:hAnsi="Arial" w:cs="Arial"/>
        </w:rPr>
      </w:pPr>
      <w:r w:rsidRPr="00FE528E">
        <w:rPr>
          <w:rStyle w:val="normaltextrun"/>
          <w:rFonts w:ascii="Arial" w:hAnsi="Arial" w:cs="Arial"/>
        </w:rPr>
        <w:t>EB-2024-0060, Managers Summary, Pg. 19</w:t>
      </w:r>
      <w:r w:rsidRPr="00FE528E">
        <w:rPr>
          <w:rStyle w:val="eop"/>
          <w:rFonts w:ascii="Arial" w:hAnsi="Arial" w:cs="Arial"/>
        </w:rPr>
        <w:t> </w:t>
      </w:r>
    </w:p>
    <w:p w14:paraId="071E0132" w14:textId="4C98924B" w:rsidR="00FF0F4B" w:rsidRPr="00FE528E" w:rsidRDefault="00FF0F4B" w:rsidP="00080BC3">
      <w:pPr>
        <w:pStyle w:val="paragraph"/>
        <w:numPr>
          <w:ilvl w:val="0"/>
          <w:numId w:val="42"/>
        </w:numPr>
        <w:spacing w:before="0" w:beforeAutospacing="0" w:after="0" w:afterAutospacing="0"/>
        <w:ind w:left="720" w:hanging="360"/>
        <w:textAlignment w:val="baseline"/>
        <w:rPr>
          <w:rFonts w:ascii="Arial" w:hAnsi="Arial" w:cs="Arial"/>
        </w:rPr>
      </w:pPr>
      <w:r w:rsidRPr="00FE528E">
        <w:rPr>
          <w:rStyle w:val="normaltextrun"/>
          <w:rFonts w:ascii="Arial" w:hAnsi="Arial" w:cs="Arial"/>
        </w:rPr>
        <w:t xml:space="preserve">EB-2024-0060, GA Analysis </w:t>
      </w:r>
      <w:proofErr w:type="spellStart"/>
      <w:r w:rsidRPr="00FE528E">
        <w:rPr>
          <w:rStyle w:val="normaltextrun"/>
          <w:rFonts w:ascii="Arial" w:hAnsi="Arial" w:cs="Arial"/>
        </w:rPr>
        <w:t>Workform</w:t>
      </w:r>
      <w:proofErr w:type="spellEnd"/>
      <w:r w:rsidRPr="00FE528E">
        <w:rPr>
          <w:rStyle w:val="eop"/>
          <w:rFonts w:ascii="Arial" w:hAnsi="Arial" w:cs="Arial"/>
        </w:rPr>
        <w:t> </w:t>
      </w:r>
    </w:p>
    <w:p w14:paraId="2520928A" w14:textId="7777777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eop"/>
          <w:rFonts w:ascii="Arial" w:hAnsi="Arial" w:cs="Arial"/>
        </w:rPr>
        <w:t> </w:t>
      </w:r>
    </w:p>
    <w:p w14:paraId="6DA27486" w14:textId="7777777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rPr>
        <w:t>Preamble:</w:t>
      </w:r>
      <w:r w:rsidRPr="00FE528E">
        <w:rPr>
          <w:rStyle w:val="eop"/>
          <w:rFonts w:ascii="Arial" w:hAnsi="Arial" w:cs="Arial"/>
        </w:rPr>
        <w:t> </w:t>
      </w:r>
    </w:p>
    <w:p w14:paraId="0C5D21F5" w14:textId="1B7A794A"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rPr>
        <w:t xml:space="preserve">Account 1588 had a variance of 0.8% in 2022, which was within the allowable threshold, but the 2023 variance as % of the cost of power purchased </w:t>
      </w:r>
      <w:r w:rsidR="00617437" w:rsidRPr="00FE528E">
        <w:rPr>
          <w:rStyle w:val="normaltextrun"/>
          <w:rFonts w:ascii="Arial" w:hAnsi="Arial" w:cs="Arial"/>
        </w:rPr>
        <w:t>is</w:t>
      </w:r>
      <w:r w:rsidRPr="00FE528E">
        <w:rPr>
          <w:rStyle w:val="normaltextrun"/>
          <w:rFonts w:ascii="Arial" w:hAnsi="Arial" w:cs="Arial"/>
        </w:rPr>
        <w:t xml:space="preserve"> significantly higher at 3.7%. </w:t>
      </w:r>
      <w:proofErr w:type="spellStart"/>
      <w:r w:rsidRPr="00FE528E">
        <w:rPr>
          <w:rStyle w:val="normaltextrun"/>
          <w:rFonts w:ascii="Arial" w:hAnsi="Arial" w:cs="Arial"/>
        </w:rPr>
        <w:t>Westario</w:t>
      </w:r>
      <w:proofErr w:type="spellEnd"/>
      <w:r w:rsidRPr="00FE528E">
        <w:rPr>
          <w:rStyle w:val="normaltextrun"/>
          <w:rFonts w:ascii="Arial" w:hAnsi="Arial" w:cs="Arial"/>
        </w:rPr>
        <w:t xml:space="preserve"> state</w:t>
      </w:r>
      <w:r w:rsidR="00190BBF" w:rsidRPr="00FE528E">
        <w:rPr>
          <w:rStyle w:val="normaltextrun"/>
          <w:rFonts w:ascii="Arial" w:hAnsi="Arial" w:cs="Arial"/>
        </w:rPr>
        <w:t>s</w:t>
      </w:r>
      <w:r w:rsidRPr="00FE528E">
        <w:rPr>
          <w:rStyle w:val="normaltextrun"/>
          <w:rFonts w:ascii="Arial" w:hAnsi="Arial" w:cs="Arial"/>
        </w:rPr>
        <w:t xml:space="preserve"> that the larger variance is due to posting errors and misallocation journal entries that occurred in the last quarter of 2023, these amounts have been included in the principal transactions for 2023.</w:t>
      </w:r>
      <w:r w:rsidRPr="00FE528E">
        <w:rPr>
          <w:rStyle w:val="eop"/>
          <w:rFonts w:ascii="Arial" w:hAnsi="Arial" w:cs="Arial"/>
        </w:rPr>
        <w:t> </w:t>
      </w:r>
    </w:p>
    <w:p w14:paraId="6BEC6F6B" w14:textId="7777777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eop"/>
          <w:rFonts w:ascii="Arial" w:hAnsi="Arial" w:cs="Arial"/>
        </w:rPr>
        <w:t> </w:t>
      </w:r>
    </w:p>
    <w:p w14:paraId="6018173C" w14:textId="385DE981" w:rsidR="00786633" w:rsidRPr="00FE528E" w:rsidRDefault="00FF0F4B" w:rsidP="00FF0F4B">
      <w:pPr>
        <w:pStyle w:val="paragraph"/>
        <w:spacing w:before="0" w:beforeAutospacing="0" w:after="0" w:afterAutospacing="0"/>
        <w:textAlignment w:val="baseline"/>
        <w:rPr>
          <w:rStyle w:val="eop"/>
          <w:rFonts w:ascii="Arial" w:hAnsi="Arial" w:cs="Arial"/>
        </w:rPr>
      </w:pPr>
      <w:r w:rsidRPr="00FE528E">
        <w:rPr>
          <w:rStyle w:val="normaltextrun"/>
          <w:rFonts w:ascii="Arial" w:hAnsi="Arial" w:cs="Arial"/>
          <w:b/>
          <w:bCs/>
        </w:rPr>
        <w:t>Question(s):</w:t>
      </w:r>
      <w:r w:rsidRPr="00FE528E">
        <w:rPr>
          <w:rStyle w:val="eop"/>
          <w:rFonts w:ascii="Arial" w:hAnsi="Arial" w:cs="Arial"/>
        </w:rPr>
        <w:t> </w:t>
      </w:r>
    </w:p>
    <w:p w14:paraId="0806EC99" w14:textId="77777777" w:rsidR="00DE010D" w:rsidRPr="00FE528E" w:rsidRDefault="00DE010D" w:rsidP="00FF0F4B">
      <w:pPr>
        <w:pStyle w:val="paragraph"/>
        <w:spacing w:before="0" w:beforeAutospacing="0" w:after="0" w:afterAutospacing="0"/>
        <w:textAlignment w:val="baseline"/>
        <w:rPr>
          <w:rFonts w:ascii="Arial" w:hAnsi="Arial" w:cs="Arial"/>
        </w:rPr>
      </w:pPr>
    </w:p>
    <w:p w14:paraId="5FC473DB" w14:textId="1C6E6293" w:rsidR="00FF0F4B" w:rsidRPr="00FE528E" w:rsidRDefault="00FF0F4B" w:rsidP="00C810B3">
      <w:pPr>
        <w:pStyle w:val="Default"/>
        <w:numPr>
          <w:ilvl w:val="0"/>
          <w:numId w:val="38"/>
        </w:numPr>
        <w:rPr>
          <w:rFonts w:ascii="Arial" w:eastAsia="Calibri" w:hAnsi="Arial" w:cs="Arial"/>
          <w:color w:val="auto"/>
        </w:rPr>
      </w:pPr>
      <w:r w:rsidRPr="00FE528E">
        <w:rPr>
          <w:rFonts w:ascii="Arial" w:eastAsia="Calibri" w:hAnsi="Arial" w:cs="Arial"/>
          <w:color w:val="auto"/>
        </w:rPr>
        <w:t>Please elaborate further on the posting errors and misallocations that occurred in Q4 2023. </w:t>
      </w:r>
    </w:p>
    <w:p w14:paraId="0E9D8E80" w14:textId="77777777" w:rsidR="00FF0F4B" w:rsidRPr="00FE528E" w:rsidRDefault="00FF0F4B" w:rsidP="00C810B3">
      <w:pPr>
        <w:pStyle w:val="Default"/>
        <w:numPr>
          <w:ilvl w:val="0"/>
          <w:numId w:val="38"/>
        </w:numPr>
        <w:rPr>
          <w:rFonts w:ascii="Arial" w:eastAsia="Calibri" w:hAnsi="Arial" w:cs="Arial"/>
          <w:color w:val="auto"/>
        </w:rPr>
      </w:pPr>
      <w:r w:rsidRPr="00FE528E">
        <w:rPr>
          <w:rFonts w:ascii="Arial" w:eastAsia="Calibri" w:hAnsi="Arial" w:cs="Arial"/>
          <w:color w:val="auto"/>
        </w:rPr>
        <w:t>Please provide a breakdown of the specific errors, their nature, and their $ impact on the 2023 balance.  </w:t>
      </w:r>
    </w:p>
    <w:p w14:paraId="21A9F699" w14:textId="77777777" w:rsidR="00DD7A99" w:rsidRPr="00FE528E" w:rsidRDefault="00DD7A99" w:rsidP="00FF0F4B">
      <w:pPr>
        <w:pStyle w:val="paragraph"/>
        <w:spacing w:before="0" w:beforeAutospacing="0" w:after="0" w:afterAutospacing="0"/>
        <w:textAlignment w:val="baseline"/>
        <w:rPr>
          <w:rStyle w:val="normaltextrun"/>
          <w:rFonts w:ascii="Arial" w:hAnsi="Arial" w:cs="Arial"/>
          <w:b/>
          <w:bCs/>
        </w:rPr>
      </w:pPr>
    </w:p>
    <w:p w14:paraId="4D70743B" w14:textId="76E4D9D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b/>
          <w:bCs/>
        </w:rPr>
        <w:t>Staff Question</w:t>
      </w:r>
      <w:r w:rsidR="00DD7A99" w:rsidRPr="00FE528E">
        <w:rPr>
          <w:rStyle w:val="normaltextrun"/>
          <w:rFonts w:ascii="Arial" w:hAnsi="Arial" w:cs="Arial"/>
          <w:b/>
          <w:bCs/>
        </w:rPr>
        <w:t>-</w:t>
      </w:r>
      <w:r w:rsidRPr="00FE528E">
        <w:rPr>
          <w:rStyle w:val="normaltextrun"/>
          <w:rFonts w:ascii="Arial" w:hAnsi="Arial" w:cs="Arial"/>
          <w:b/>
          <w:bCs/>
        </w:rPr>
        <w:t>9</w:t>
      </w:r>
      <w:r w:rsidRPr="00FE528E">
        <w:rPr>
          <w:rStyle w:val="eop"/>
          <w:rFonts w:ascii="Arial" w:hAnsi="Arial" w:cs="Arial"/>
        </w:rPr>
        <w:t> </w:t>
      </w:r>
    </w:p>
    <w:p w14:paraId="500FBA7B" w14:textId="77777777" w:rsidR="00DD7A99" w:rsidRPr="00FE528E" w:rsidRDefault="00FF0F4B" w:rsidP="00DD7A99">
      <w:pPr>
        <w:pStyle w:val="paragraph"/>
        <w:spacing w:before="0" w:beforeAutospacing="0" w:after="0" w:afterAutospacing="0"/>
        <w:textAlignment w:val="baseline"/>
        <w:rPr>
          <w:rStyle w:val="eop"/>
          <w:rFonts w:ascii="Arial" w:hAnsi="Arial" w:cs="Arial"/>
          <w:b/>
          <w:bCs/>
        </w:rPr>
      </w:pPr>
      <w:r w:rsidRPr="00FE528E">
        <w:rPr>
          <w:rStyle w:val="normaltextrun"/>
          <w:rFonts w:ascii="Arial" w:hAnsi="Arial" w:cs="Arial"/>
          <w:b/>
          <w:bCs/>
        </w:rPr>
        <w:t>Reference:</w:t>
      </w:r>
      <w:r w:rsidRPr="00FE528E">
        <w:rPr>
          <w:rStyle w:val="eop"/>
          <w:rFonts w:ascii="Arial" w:hAnsi="Arial" w:cs="Arial"/>
          <w:b/>
          <w:bCs/>
        </w:rPr>
        <w:t> </w:t>
      </w:r>
    </w:p>
    <w:p w14:paraId="3E415DBE" w14:textId="77777777" w:rsidR="00DE010D" w:rsidRPr="00FE528E" w:rsidRDefault="00DE010D" w:rsidP="00DD7A99">
      <w:pPr>
        <w:pStyle w:val="paragraph"/>
        <w:spacing w:before="0" w:beforeAutospacing="0" w:after="0" w:afterAutospacing="0"/>
        <w:textAlignment w:val="baseline"/>
        <w:rPr>
          <w:rFonts w:ascii="Arial" w:hAnsi="Arial" w:cs="Arial"/>
          <w:b/>
          <w:bCs/>
        </w:rPr>
      </w:pPr>
    </w:p>
    <w:p w14:paraId="077BA3A2" w14:textId="2ADB35AF" w:rsidR="00FF0F4B" w:rsidRPr="00FE528E" w:rsidRDefault="00FF0F4B" w:rsidP="00080BC3">
      <w:pPr>
        <w:pStyle w:val="paragraph"/>
        <w:numPr>
          <w:ilvl w:val="1"/>
          <w:numId w:val="18"/>
        </w:numPr>
        <w:spacing w:before="0" w:beforeAutospacing="0" w:after="0" w:afterAutospacing="0"/>
        <w:ind w:left="720" w:hanging="360"/>
        <w:textAlignment w:val="baseline"/>
        <w:rPr>
          <w:rFonts w:ascii="Arial" w:hAnsi="Arial" w:cs="Arial"/>
        </w:rPr>
      </w:pPr>
      <w:r w:rsidRPr="00FE528E">
        <w:rPr>
          <w:rStyle w:val="normaltextrun"/>
          <w:rFonts w:ascii="Arial" w:hAnsi="Arial" w:cs="Arial"/>
        </w:rPr>
        <w:t xml:space="preserve">EB-2024-0060, GA Analysis </w:t>
      </w:r>
      <w:proofErr w:type="spellStart"/>
      <w:r w:rsidRPr="00FE528E">
        <w:rPr>
          <w:rStyle w:val="normaltextrun"/>
          <w:rFonts w:ascii="Arial" w:hAnsi="Arial" w:cs="Arial"/>
        </w:rPr>
        <w:t>Workform</w:t>
      </w:r>
      <w:proofErr w:type="spellEnd"/>
      <w:r w:rsidRPr="00FE528E">
        <w:rPr>
          <w:rStyle w:val="eop"/>
          <w:rFonts w:ascii="Arial" w:hAnsi="Arial" w:cs="Arial"/>
        </w:rPr>
        <w:t> </w:t>
      </w:r>
    </w:p>
    <w:p w14:paraId="2D41396C" w14:textId="7777777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eop"/>
          <w:rFonts w:ascii="Arial" w:hAnsi="Arial" w:cs="Arial"/>
        </w:rPr>
        <w:t> </w:t>
      </w:r>
    </w:p>
    <w:p w14:paraId="3A44A739" w14:textId="7777777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rPr>
        <w:t>Preamble:</w:t>
      </w:r>
      <w:r w:rsidRPr="00FE528E">
        <w:rPr>
          <w:rStyle w:val="eop"/>
          <w:rFonts w:ascii="Arial" w:hAnsi="Arial" w:cs="Arial"/>
        </w:rPr>
        <w:t> </w:t>
      </w:r>
    </w:p>
    <w:p w14:paraId="76CFF804" w14:textId="7777777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rPr>
        <w:t xml:space="preserve">On the principal adjustments tab of the GA Analysis </w:t>
      </w:r>
      <w:proofErr w:type="spellStart"/>
      <w:r w:rsidRPr="00FE528E">
        <w:rPr>
          <w:rStyle w:val="normaltextrun"/>
          <w:rFonts w:ascii="Arial" w:hAnsi="Arial" w:cs="Arial"/>
        </w:rPr>
        <w:t>Workform</w:t>
      </w:r>
      <w:proofErr w:type="spellEnd"/>
      <w:r w:rsidRPr="00FE528E">
        <w:rPr>
          <w:rStyle w:val="normaltextrun"/>
          <w:rFonts w:ascii="Arial" w:hAnsi="Arial" w:cs="Arial"/>
        </w:rPr>
        <w:t>, OEB staff notes that there is a difference between the total principal adjustments in the last approved balance of $73,364 and the total adjustments of ($49,174) for Account 1589. OEB staff also notes that the last approved balance from the 2023 IRM decision is $73,364. There is also a difference noted for Account 1588. </w:t>
      </w:r>
      <w:r w:rsidRPr="00FE528E">
        <w:rPr>
          <w:rStyle w:val="eop"/>
          <w:rFonts w:ascii="Arial" w:hAnsi="Arial" w:cs="Arial"/>
        </w:rPr>
        <w:t> </w:t>
      </w:r>
    </w:p>
    <w:p w14:paraId="69B5741D" w14:textId="3B154A63" w:rsidR="00786633" w:rsidRPr="00FE528E" w:rsidRDefault="00FF0F4B" w:rsidP="00FF0F4B">
      <w:pPr>
        <w:pStyle w:val="paragraph"/>
        <w:spacing w:before="0" w:beforeAutospacing="0" w:after="0" w:afterAutospacing="0"/>
        <w:textAlignment w:val="baseline"/>
        <w:rPr>
          <w:rStyle w:val="normaltextrun"/>
          <w:rFonts w:ascii="Arial" w:hAnsi="Arial" w:cs="Arial"/>
        </w:rPr>
      </w:pPr>
      <w:r w:rsidRPr="00FE528E">
        <w:rPr>
          <w:rStyle w:val="eop"/>
          <w:rFonts w:ascii="Arial" w:hAnsi="Arial" w:cs="Arial"/>
        </w:rPr>
        <w:t> </w:t>
      </w:r>
    </w:p>
    <w:p w14:paraId="082E5CB4" w14:textId="77777777" w:rsidR="00917D62" w:rsidRDefault="00917D62" w:rsidP="00FF0F4B">
      <w:pPr>
        <w:pStyle w:val="paragraph"/>
        <w:spacing w:before="0" w:beforeAutospacing="0" w:after="0" w:afterAutospacing="0"/>
        <w:textAlignment w:val="baseline"/>
        <w:rPr>
          <w:rStyle w:val="normaltextrun"/>
          <w:rFonts w:ascii="Arial" w:hAnsi="Arial" w:cs="Arial"/>
          <w:b/>
          <w:bCs/>
        </w:rPr>
      </w:pPr>
    </w:p>
    <w:p w14:paraId="2607731B" w14:textId="77777777" w:rsidR="00917D62" w:rsidRDefault="00917D62" w:rsidP="00FF0F4B">
      <w:pPr>
        <w:pStyle w:val="paragraph"/>
        <w:spacing w:before="0" w:beforeAutospacing="0" w:after="0" w:afterAutospacing="0"/>
        <w:textAlignment w:val="baseline"/>
        <w:rPr>
          <w:rStyle w:val="normaltextrun"/>
          <w:rFonts w:ascii="Arial" w:hAnsi="Arial" w:cs="Arial"/>
          <w:b/>
          <w:bCs/>
        </w:rPr>
      </w:pPr>
    </w:p>
    <w:p w14:paraId="1AD3704F" w14:textId="77777777" w:rsidR="00917D62" w:rsidRDefault="00917D62" w:rsidP="00FF0F4B">
      <w:pPr>
        <w:pStyle w:val="paragraph"/>
        <w:spacing w:before="0" w:beforeAutospacing="0" w:after="0" w:afterAutospacing="0"/>
        <w:textAlignment w:val="baseline"/>
        <w:rPr>
          <w:rStyle w:val="normaltextrun"/>
          <w:rFonts w:ascii="Arial" w:hAnsi="Arial" w:cs="Arial"/>
          <w:b/>
          <w:bCs/>
        </w:rPr>
      </w:pPr>
    </w:p>
    <w:p w14:paraId="4DC13C21" w14:textId="06D7AB4D" w:rsidR="00FF0F4B" w:rsidRPr="00FE528E" w:rsidRDefault="00FF0F4B" w:rsidP="00FF0F4B">
      <w:pPr>
        <w:pStyle w:val="paragraph"/>
        <w:spacing w:before="0" w:beforeAutospacing="0" w:after="0" w:afterAutospacing="0"/>
        <w:textAlignment w:val="baseline"/>
        <w:rPr>
          <w:rStyle w:val="eop"/>
          <w:rFonts w:ascii="Arial" w:hAnsi="Arial" w:cs="Arial"/>
        </w:rPr>
      </w:pPr>
      <w:r w:rsidRPr="00FE528E">
        <w:rPr>
          <w:rStyle w:val="normaltextrun"/>
          <w:rFonts w:ascii="Arial" w:hAnsi="Arial" w:cs="Arial"/>
          <w:b/>
          <w:bCs/>
        </w:rPr>
        <w:t>Question(s):</w:t>
      </w:r>
      <w:r w:rsidRPr="00FE528E">
        <w:rPr>
          <w:rStyle w:val="eop"/>
          <w:rFonts w:ascii="Arial" w:hAnsi="Arial" w:cs="Arial"/>
        </w:rPr>
        <w:t> </w:t>
      </w:r>
    </w:p>
    <w:p w14:paraId="49F1FE71" w14:textId="77777777" w:rsidR="00786633" w:rsidRPr="00FE528E" w:rsidRDefault="00786633" w:rsidP="00FF0F4B">
      <w:pPr>
        <w:pStyle w:val="paragraph"/>
        <w:spacing w:before="0" w:beforeAutospacing="0" w:after="0" w:afterAutospacing="0"/>
        <w:textAlignment w:val="baseline"/>
        <w:rPr>
          <w:rFonts w:ascii="Arial" w:hAnsi="Arial" w:cs="Arial"/>
        </w:rPr>
      </w:pPr>
    </w:p>
    <w:p w14:paraId="092C89AB" w14:textId="2D8C63A1" w:rsidR="00FF0F4B" w:rsidRPr="00FE528E" w:rsidRDefault="00FF0F4B" w:rsidP="00ED3109">
      <w:pPr>
        <w:pStyle w:val="Default"/>
        <w:numPr>
          <w:ilvl w:val="0"/>
          <w:numId w:val="39"/>
        </w:numPr>
        <w:rPr>
          <w:rFonts w:ascii="Arial" w:eastAsia="Calibri" w:hAnsi="Arial" w:cs="Arial"/>
          <w:color w:val="auto"/>
        </w:rPr>
      </w:pPr>
      <w:r w:rsidRPr="00FE528E">
        <w:rPr>
          <w:rFonts w:ascii="Arial" w:eastAsia="Calibri" w:hAnsi="Arial" w:cs="Arial"/>
          <w:color w:val="auto"/>
        </w:rPr>
        <w:t xml:space="preserve">Please update the last approved balance in Note 8 of the GA </w:t>
      </w:r>
      <w:r w:rsidR="00A7207A">
        <w:rPr>
          <w:rFonts w:ascii="Arial" w:eastAsia="Calibri" w:hAnsi="Arial" w:cs="Arial"/>
          <w:color w:val="auto"/>
        </w:rPr>
        <w:t>A</w:t>
      </w:r>
      <w:r w:rsidRPr="00FE528E">
        <w:rPr>
          <w:rFonts w:ascii="Arial" w:eastAsia="Calibri" w:hAnsi="Arial" w:cs="Arial"/>
          <w:color w:val="auto"/>
        </w:rPr>
        <w:t xml:space="preserve">nalysis </w:t>
      </w:r>
      <w:proofErr w:type="spellStart"/>
      <w:r w:rsidR="00A7207A">
        <w:rPr>
          <w:rFonts w:ascii="Arial" w:eastAsia="Calibri" w:hAnsi="Arial" w:cs="Arial"/>
          <w:color w:val="auto"/>
        </w:rPr>
        <w:t>W</w:t>
      </w:r>
      <w:r w:rsidRPr="00FE528E">
        <w:rPr>
          <w:rFonts w:ascii="Arial" w:eastAsia="Calibri" w:hAnsi="Arial" w:cs="Arial"/>
          <w:color w:val="auto"/>
        </w:rPr>
        <w:t>orkform</w:t>
      </w:r>
      <w:proofErr w:type="spellEnd"/>
      <w:r w:rsidRPr="00FE528E">
        <w:rPr>
          <w:rFonts w:ascii="Arial" w:eastAsia="Calibri" w:hAnsi="Arial" w:cs="Arial"/>
          <w:color w:val="auto"/>
        </w:rPr>
        <w:t xml:space="preserve"> so that there is no difference remaining in </w:t>
      </w:r>
      <w:r w:rsidR="00F320CD">
        <w:rPr>
          <w:rFonts w:ascii="Arial" w:eastAsia="Calibri" w:hAnsi="Arial" w:cs="Arial"/>
          <w:color w:val="auto"/>
        </w:rPr>
        <w:t>r</w:t>
      </w:r>
      <w:r w:rsidRPr="00FE528E">
        <w:rPr>
          <w:rFonts w:ascii="Arial" w:eastAsia="Calibri" w:hAnsi="Arial" w:cs="Arial"/>
          <w:color w:val="auto"/>
        </w:rPr>
        <w:t>ow 29. </w:t>
      </w:r>
    </w:p>
    <w:p w14:paraId="671A78CF" w14:textId="77777777" w:rsidR="00ED3109" w:rsidRPr="00FE528E" w:rsidRDefault="00ED3109" w:rsidP="00FF0F4B">
      <w:pPr>
        <w:pStyle w:val="paragraph"/>
        <w:spacing w:before="0" w:beforeAutospacing="0" w:after="0" w:afterAutospacing="0"/>
        <w:textAlignment w:val="baseline"/>
        <w:rPr>
          <w:rStyle w:val="normaltextrun"/>
          <w:rFonts w:ascii="Arial" w:hAnsi="Arial" w:cs="Arial"/>
          <w:b/>
          <w:bCs/>
        </w:rPr>
      </w:pPr>
    </w:p>
    <w:p w14:paraId="06894901" w14:textId="21EAEEBC" w:rsidR="00ED3109" w:rsidRPr="00FE528E" w:rsidRDefault="00FF0F4B" w:rsidP="00FF0F4B">
      <w:pPr>
        <w:pStyle w:val="paragraph"/>
        <w:spacing w:before="0" w:beforeAutospacing="0" w:after="0" w:afterAutospacing="0"/>
        <w:textAlignment w:val="baseline"/>
        <w:rPr>
          <w:rStyle w:val="normaltextrun"/>
          <w:rFonts w:ascii="Arial" w:hAnsi="Arial" w:cs="Arial"/>
        </w:rPr>
      </w:pPr>
      <w:r w:rsidRPr="00FE528E">
        <w:rPr>
          <w:rStyle w:val="normaltextrun"/>
          <w:rFonts w:ascii="Arial" w:hAnsi="Arial" w:cs="Arial"/>
          <w:b/>
          <w:bCs/>
        </w:rPr>
        <w:t>Staff Question</w:t>
      </w:r>
      <w:r w:rsidR="00260EFD" w:rsidRPr="00FE528E">
        <w:rPr>
          <w:rStyle w:val="normaltextrun"/>
          <w:rFonts w:ascii="Arial" w:hAnsi="Arial" w:cs="Arial"/>
          <w:b/>
          <w:bCs/>
        </w:rPr>
        <w:t>-</w:t>
      </w:r>
      <w:r w:rsidRPr="00FE528E">
        <w:rPr>
          <w:rStyle w:val="normaltextrun"/>
          <w:rFonts w:ascii="Arial" w:hAnsi="Arial" w:cs="Arial"/>
          <w:b/>
          <w:bCs/>
        </w:rPr>
        <w:t>10</w:t>
      </w:r>
      <w:r w:rsidRPr="00FE528E">
        <w:rPr>
          <w:rStyle w:val="eop"/>
          <w:rFonts w:ascii="Arial" w:hAnsi="Arial" w:cs="Arial"/>
        </w:rPr>
        <w:t> </w:t>
      </w:r>
    </w:p>
    <w:p w14:paraId="771F18FD" w14:textId="7D998B7D" w:rsidR="00FF0F4B" w:rsidRPr="00FE528E" w:rsidRDefault="00FF0F4B" w:rsidP="00FF0F4B">
      <w:pPr>
        <w:pStyle w:val="paragraph"/>
        <w:spacing w:before="0" w:beforeAutospacing="0" w:after="0" w:afterAutospacing="0"/>
        <w:textAlignment w:val="baseline"/>
        <w:rPr>
          <w:rStyle w:val="eop"/>
          <w:rFonts w:ascii="Arial" w:hAnsi="Arial" w:cs="Arial"/>
        </w:rPr>
      </w:pPr>
      <w:r w:rsidRPr="00FE528E">
        <w:rPr>
          <w:rStyle w:val="normaltextrun"/>
          <w:rFonts w:ascii="Arial" w:hAnsi="Arial" w:cs="Arial"/>
          <w:b/>
          <w:bCs/>
        </w:rPr>
        <w:t>Reference:</w:t>
      </w:r>
      <w:r w:rsidRPr="00FE528E">
        <w:rPr>
          <w:rStyle w:val="eop"/>
          <w:rFonts w:ascii="Arial" w:hAnsi="Arial" w:cs="Arial"/>
        </w:rPr>
        <w:t> </w:t>
      </w:r>
    </w:p>
    <w:p w14:paraId="156552B3" w14:textId="77777777" w:rsidR="00DE010D" w:rsidRPr="00FE528E" w:rsidRDefault="00DE010D" w:rsidP="00FF0F4B">
      <w:pPr>
        <w:pStyle w:val="paragraph"/>
        <w:spacing w:before="0" w:beforeAutospacing="0" w:after="0" w:afterAutospacing="0"/>
        <w:textAlignment w:val="baseline"/>
        <w:rPr>
          <w:rFonts w:ascii="Arial" w:hAnsi="Arial" w:cs="Arial"/>
        </w:rPr>
      </w:pPr>
    </w:p>
    <w:p w14:paraId="139C3BCD" w14:textId="6BAEF0D3" w:rsidR="00786633" w:rsidRPr="00FE528E" w:rsidRDefault="00FF0F4B" w:rsidP="00786633">
      <w:pPr>
        <w:pStyle w:val="paragraph"/>
        <w:numPr>
          <w:ilvl w:val="0"/>
          <w:numId w:val="43"/>
        </w:numPr>
        <w:spacing w:before="0" w:beforeAutospacing="0" w:after="0" w:afterAutospacing="0"/>
        <w:ind w:left="720" w:hanging="360"/>
        <w:textAlignment w:val="baseline"/>
        <w:rPr>
          <w:rFonts w:ascii="Arial" w:hAnsi="Arial" w:cs="Arial"/>
        </w:rPr>
      </w:pPr>
      <w:r w:rsidRPr="00FE528E">
        <w:rPr>
          <w:rStyle w:val="normaltextrun"/>
          <w:rFonts w:ascii="Arial" w:hAnsi="Arial" w:cs="Arial"/>
        </w:rPr>
        <w:t>EB-2024-0060, Managers Summary, Pg. 19</w:t>
      </w:r>
      <w:r w:rsidRPr="00FE528E">
        <w:rPr>
          <w:rStyle w:val="eop"/>
          <w:rFonts w:ascii="Arial" w:hAnsi="Arial" w:cs="Arial"/>
        </w:rPr>
        <w:t> </w:t>
      </w:r>
    </w:p>
    <w:p w14:paraId="6E938E1C" w14:textId="44D0A6CF" w:rsidR="00FF0F4B" w:rsidRPr="00FE528E" w:rsidRDefault="00FF0F4B" w:rsidP="00786633">
      <w:pPr>
        <w:pStyle w:val="paragraph"/>
        <w:numPr>
          <w:ilvl w:val="0"/>
          <w:numId w:val="43"/>
        </w:numPr>
        <w:spacing w:before="0" w:beforeAutospacing="0" w:after="0" w:afterAutospacing="0"/>
        <w:ind w:left="720" w:hanging="360"/>
        <w:textAlignment w:val="baseline"/>
        <w:rPr>
          <w:rFonts w:ascii="Arial" w:hAnsi="Arial" w:cs="Arial"/>
        </w:rPr>
      </w:pPr>
      <w:r w:rsidRPr="00FE528E">
        <w:rPr>
          <w:rStyle w:val="normaltextrun"/>
          <w:rFonts w:ascii="Arial" w:hAnsi="Arial" w:cs="Arial"/>
        </w:rPr>
        <w:t xml:space="preserve">EB-2024-0060, GA Analysis </w:t>
      </w:r>
      <w:proofErr w:type="spellStart"/>
      <w:r w:rsidRPr="00FE528E">
        <w:rPr>
          <w:rStyle w:val="normaltextrun"/>
          <w:rFonts w:ascii="Arial" w:hAnsi="Arial" w:cs="Arial"/>
        </w:rPr>
        <w:t>Workform</w:t>
      </w:r>
      <w:proofErr w:type="spellEnd"/>
      <w:r w:rsidRPr="00FE528E">
        <w:rPr>
          <w:rStyle w:val="eop"/>
          <w:rFonts w:ascii="Arial" w:hAnsi="Arial" w:cs="Arial"/>
        </w:rPr>
        <w:t> </w:t>
      </w:r>
    </w:p>
    <w:p w14:paraId="43830A6D" w14:textId="163DF756"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eop"/>
          <w:rFonts w:ascii="Arial" w:hAnsi="Arial" w:cs="Arial"/>
        </w:rPr>
        <w:t> </w:t>
      </w:r>
    </w:p>
    <w:p w14:paraId="1533CBD2" w14:textId="7777777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rPr>
        <w:t>Preamble:</w:t>
      </w:r>
      <w:r w:rsidRPr="00FE528E">
        <w:rPr>
          <w:rStyle w:val="eop"/>
          <w:rFonts w:ascii="Arial" w:hAnsi="Arial" w:cs="Arial"/>
        </w:rPr>
        <w:t> </w:t>
      </w:r>
    </w:p>
    <w:p w14:paraId="7F1EF10E" w14:textId="7777777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rPr>
        <w:t>On the principal adjustments tab, OEB staff notes a large principal adjustment described as “accrual to actual differences current period” of ($1,668,513) made to Account 1588 in 2023, which is reversed in 2024. A similar principal adjustment of ($739,717) is made in 2024.</w:t>
      </w:r>
      <w:r w:rsidRPr="00FE528E">
        <w:rPr>
          <w:rStyle w:val="eop"/>
          <w:rFonts w:ascii="Arial" w:hAnsi="Arial" w:cs="Arial"/>
        </w:rPr>
        <w:t> </w:t>
      </w:r>
    </w:p>
    <w:p w14:paraId="5FE6D084" w14:textId="691C8EA2" w:rsidR="00DE010D" w:rsidRPr="00FE528E" w:rsidRDefault="00FF0F4B" w:rsidP="00FF0F4B">
      <w:pPr>
        <w:pStyle w:val="paragraph"/>
        <w:spacing w:before="0" w:beforeAutospacing="0" w:after="0" w:afterAutospacing="0"/>
        <w:textAlignment w:val="baseline"/>
        <w:rPr>
          <w:rFonts w:ascii="Arial" w:hAnsi="Arial" w:cs="Arial"/>
        </w:rPr>
      </w:pPr>
      <w:r w:rsidRPr="00FE528E">
        <w:rPr>
          <w:rStyle w:val="eop"/>
          <w:rFonts w:ascii="Arial" w:hAnsi="Arial" w:cs="Arial"/>
        </w:rPr>
        <w:t> </w:t>
      </w:r>
    </w:p>
    <w:p w14:paraId="1C285C21" w14:textId="47BCDB15" w:rsidR="00786633" w:rsidRPr="00FE528E" w:rsidRDefault="00FF0F4B" w:rsidP="00FF0F4B">
      <w:pPr>
        <w:pStyle w:val="paragraph"/>
        <w:spacing w:before="0" w:beforeAutospacing="0" w:after="0" w:afterAutospacing="0"/>
        <w:textAlignment w:val="baseline"/>
        <w:rPr>
          <w:rStyle w:val="eop"/>
          <w:rFonts w:ascii="Arial" w:hAnsi="Arial" w:cs="Arial"/>
        </w:rPr>
      </w:pPr>
      <w:r w:rsidRPr="00FE528E">
        <w:rPr>
          <w:rStyle w:val="normaltextrun"/>
          <w:rFonts w:ascii="Arial" w:hAnsi="Arial" w:cs="Arial"/>
          <w:b/>
          <w:bCs/>
        </w:rPr>
        <w:t>Question(s):</w:t>
      </w:r>
      <w:r w:rsidRPr="00FE528E">
        <w:rPr>
          <w:rStyle w:val="eop"/>
          <w:rFonts w:ascii="Arial" w:hAnsi="Arial" w:cs="Arial"/>
        </w:rPr>
        <w:t> </w:t>
      </w:r>
    </w:p>
    <w:p w14:paraId="0C0F4EA9" w14:textId="77777777" w:rsidR="00DE010D" w:rsidRPr="00FE528E" w:rsidRDefault="00DE010D" w:rsidP="00FF0F4B">
      <w:pPr>
        <w:pStyle w:val="paragraph"/>
        <w:spacing w:before="0" w:beforeAutospacing="0" w:after="0" w:afterAutospacing="0"/>
        <w:textAlignment w:val="baseline"/>
        <w:rPr>
          <w:rFonts w:ascii="Arial" w:hAnsi="Arial" w:cs="Arial"/>
        </w:rPr>
      </w:pPr>
    </w:p>
    <w:p w14:paraId="3DCD0234" w14:textId="295B77DA" w:rsidR="00FF0F4B" w:rsidRPr="00FE528E" w:rsidRDefault="00FF0F4B" w:rsidP="00206C2F">
      <w:pPr>
        <w:pStyle w:val="Default"/>
        <w:numPr>
          <w:ilvl w:val="0"/>
          <w:numId w:val="39"/>
        </w:numPr>
        <w:rPr>
          <w:rFonts w:ascii="Arial" w:eastAsia="Calibri" w:hAnsi="Arial" w:cs="Arial"/>
          <w:color w:val="auto"/>
        </w:rPr>
      </w:pPr>
      <w:r w:rsidRPr="00FE528E">
        <w:rPr>
          <w:rFonts w:ascii="Arial" w:eastAsia="Calibri" w:hAnsi="Arial" w:cs="Arial"/>
          <w:color w:val="auto"/>
        </w:rPr>
        <w:t xml:space="preserve">OEB assumes that the adjustments relate to the issue explored in Staff Question </w:t>
      </w:r>
      <w:r w:rsidR="00206C2F" w:rsidRPr="00FE528E">
        <w:rPr>
          <w:rFonts w:ascii="Arial" w:eastAsia="Calibri" w:hAnsi="Arial" w:cs="Arial"/>
          <w:color w:val="auto"/>
        </w:rPr>
        <w:t>8</w:t>
      </w:r>
      <w:r w:rsidRPr="00FE528E">
        <w:rPr>
          <w:rFonts w:ascii="Arial" w:eastAsia="Calibri" w:hAnsi="Arial" w:cs="Arial"/>
          <w:color w:val="auto"/>
        </w:rPr>
        <w:t>. Please confirm.  </w:t>
      </w:r>
    </w:p>
    <w:p w14:paraId="7CDA537D" w14:textId="3BA4CA4B" w:rsidR="00FF0F4B" w:rsidRPr="00FE528E" w:rsidRDefault="00FF0F4B" w:rsidP="00206C2F">
      <w:pPr>
        <w:pStyle w:val="Default"/>
        <w:numPr>
          <w:ilvl w:val="0"/>
          <w:numId w:val="39"/>
        </w:numPr>
        <w:rPr>
          <w:rFonts w:ascii="Arial" w:eastAsia="Calibri" w:hAnsi="Arial" w:cs="Arial"/>
          <w:color w:val="auto"/>
        </w:rPr>
      </w:pPr>
      <w:r w:rsidRPr="00FE528E">
        <w:rPr>
          <w:rFonts w:ascii="Arial" w:eastAsia="Calibri" w:hAnsi="Arial" w:cs="Arial"/>
          <w:color w:val="auto"/>
        </w:rPr>
        <w:t xml:space="preserve">If this is not the case, please elaborate on what these adjustments relate to and explain why the adjustment is of such a large amount. Please also elaborate on why the same adjustment has </w:t>
      </w:r>
      <w:r w:rsidR="004825AD" w:rsidRPr="00FE528E">
        <w:rPr>
          <w:rFonts w:ascii="Arial" w:eastAsia="Calibri" w:hAnsi="Arial" w:cs="Arial"/>
          <w:color w:val="auto"/>
        </w:rPr>
        <w:t xml:space="preserve">changed </w:t>
      </w:r>
      <w:r w:rsidRPr="00FE528E">
        <w:rPr>
          <w:rFonts w:ascii="Arial" w:eastAsia="Calibri" w:hAnsi="Arial" w:cs="Arial"/>
          <w:color w:val="auto"/>
        </w:rPr>
        <w:t>to ($739,717) that was recorded in 2024.  </w:t>
      </w:r>
    </w:p>
    <w:p w14:paraId="5EC1D101" w14:textId="77777777" w:rsidR="00FF0F4B" w:rsidRPr="00FE528E" w:rsidRDefault="00FF0F4B" w:rsidP="00206C2F">
      <w:pPr>
        <w:pStyle w:val="Default"/>
        <w:numPr>
          <w:ilvl w:val="0"/>
          <w:numId w:val="39"/>
        </w:numPr>
        <w:rPr>
          <w:rFonts w:ascii="Arial" w:eastAsia="Calibri" w:hAnsi="Arial" w:cs="Arial"/>
          <w:color w:val="auto"/>
        </w:rPr>
      </w:pPr>
      <w:r w:rsidRPr="00FE528E">
        <w:rPr>
          <w:rFonts w:ascii="Arial" w:eastAsia="Calibri" w:hAnsi="Arial" w:cs="Arial"/>
          <w:color w:val="auto"/>
        </w:rPr>
        <w:t>Please provide a breakdown of the specific adjustments, their nature, and their impact on the 2024 balance.  </w:t>
      </w:r>
    </w:p>
    <w:p w14:paraId="4C7BF119" w14:textId="77777777" w:rsidR="00FF0F4B" w:rsidRPr="00FE528E" w:rsidRDefault="00FF0F4B" w:rsidP="00FF0F4B">
      <w:pPr>
        <w:pStyle w:val="paragraph"/>
        <w:spacing w:before="0" w:beforeAutospacing="0" w:after="0" w:afterAutospacing="0"/>
        <w:ind w:left="1080"/>
        <w:textAlignment w:val="baseline"/>
        <w:rPr>
          <w:rFonts w:ascii="Arial" w:hAnsi="Arial" w:cs="Arial"/>
        </w:rPr>
      </w:pPr>
      <w:r w:rsidRPr="00FE528E">
        <w:rPr>
          <w:rStyle w:val="eop"/>
          <w:rFonts w:ascii="Arial" w:hAnsi="Arial" w:cs="Arial"/>
        </w:rPr>
        <w:t> </w:t>
      </w:r>
    </w:p>
    <w:p w14:paraId="4EAB39B0" w14:textId="783ABDAC" w:rsidR="00260503"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b/>
          <w:bCs/>
        </w:rPr>
        <w:t>Staff Question</w:t>
      </w:r>
      <w:r w:rsidR="005362ED" w:rsidRPr="00FE528E">
        <w:rPr>
          <w:rStyle w:val="normaltextrun"/>
          <w:rFonts w:ascii="Arial" w:hAnsi="Arial" w:cs="Arial"/>
          <w:b/>
          <w:bCs/>
        </w:rPr>
        <w:t>-</w:t>
      </w:r>
      <w:r w:rsidRPr="00FE528E">
        <w:rPr>
          <w:rStyle w:val="normaltextrun"/>
          <w:rFonts w:ascii="Arial" w:hAnsi="Arial" w:cs="Arial"/>
          <w:b/>
          <w:bCs/>
        </w:rPr>
        <w:t>11 </w:t>
      </w:r>
      <w:r w:rsidRPr="00FE528E">
        <w:rPr>
          <w:rStyle w:val="eop"/>
          <w:rFonts w:ascii="Arial" w:hAnsi="Arial" w:cs="Arial"/>
        </w:rPr>
        <w:t> </w:t>
      </w:r>
    </w:p>
    <w:p w14:paraId="455AB104" w14:textId="77777777" w:rsidR="00FF0F4B" w:rsidRPr="00FE528E" w:rsidRDefault="00FF0F4B" w:rsidP="00FF0F4B">
      <w:pPr>
        <w:pStyle w:val="paragraph"/>
        <w:spacing w:before="0" w:beforeAutospacing="0" w:after="0" w:afterAutospacing="0"/>
        <w:textAlignment w:val="baseline"/>
        <w:rPr>
          <w:rStyle w:val="eop"/>
          <w:rFonts w:ascii="Arial" w:hAnsi="Arial" w:cs="Arial"/>
        </w:rPr>
      </w:pPr>
      <w:r w:rsidRPr="00FE528E">
        <w:rPr>
          <w:rStyle w:val="normaltextrun"/>
          <w:rFonts w:ascii="Arial" w:hAnsi="Arial" w:cs="Arial"/>
          <w:b/>
          <w:bCs/>
        </w:rPr>
        <w:t>Reference:</w:t>
      </w:r>
      <w:r w:rsidRPr="00FE528E">
        <w:rPr>
          <w:rStyle w:val="eop"/>
          <w:rFonts w:ascii="Arial" w:hAnsi="Arial" w:cs="Arial"/>
        </w:rPr>
        <w:t> </w:t>
      </w:r>
    </w:p>
    <w:p w14:paraId="22A4866E" w14:textId="77777777" w:rsidR="00DE010D" w:rsidRPr="00FE528E" w:rsidRDefault="00DE010D" w:rsidP="00FF0F4B">
      <w:pPr>
        <w:pStyle w:val="paragraph"/>
        <w:spacing w:before="0" w:beforeAutospacing="0" w:after="0" w:afterAutospacing="0"/>
        <w:textAlignment w:val="baseline"/>
        <w:rPr>
          <w:rFonts w:ascii="Arial" w:hAnsi="Arial" w:cs="Arial"/>
        </w:rPr>
      </w:pPr>
    </w:p>
    <w:p w14:paraId="4345C829" w14:textId="77777777" w:rsidR="00FF0F4B" w:rsidRPr="00FE528E" w:rsidRDefault="00FF0F4B" w:rsidP="00786633">
      <w:pPr>
        <w:pStyle w:val="paragraph"/>
        <w:numPr>
          <w:ilvl w:val="0"/>
          <w:numId w:val="25"/>
        </w:numPr>
        <w:tabs>
          <w:tab w:val="left" w:pos="720"/>
        </w:tabs>
        <w:spacing w:before="0" w:beforeAutospacing="0" w:after="0" w:afterAutospacing="0"/>
        <w:textAlignment w:val="baseline"/>
        <w:rPr>
          <w:rFonts w:ascii="Arial" w:hAnsi="Arial" w:cs="Arial"/>
        </w:rPr>
      </w:pPr>
      <w:r w:rsidRPr="00FE528E">
        <w:rPr>
          <w:rStyle w:val="normaltextrun"/>
          <w:rFonts w:ascii="Arial" w:hAnsi="Arial" w:cs="Arial"/>
        </w:rPr>
        <w:t> EB-2023-0058, Exhibit 9</w:t>
      </w:r>
      <w:r w:rsidRPr="00FE528E">
        <w:rPr>
          <w:rStyle w:val="eop"/>
          <w:rFonts w:ascii="Arial" w:hAnsi="Arial" w:cs="Arial"/>
        </w:rPr>
        <w:t> </w:t>
      </w:r>
    </w:p>
    <w:p w14:paraId="438C29AC" w14:textId="77777777" w:rsidR="005362ED" w:rsidRPr="00FE528E" w:rsidRDefault="005362ED" w:rsidP="00FF0F4B">
      <w:pPr>
        <w:pStyle w:val="paragraph"/>
        <w:spacing w:before="0" w:beforeAutospacing="0" w:after="0" w:afterAutospacing="0"/>
        <w:textAlignment w:val="baseline"/>
        <w:rPr>
          <w:rStyle w:val="normaltextrun"/>
          <w:rFonts w:ascii="Arial" w:hAnsi="Arial" w:cs="Arial"/>
        </w:rPr>
      </w:pPr>
    </w:p>
    <w:p w14:paraId="671CA156" w14:textId="1156A1DC"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rPr>
        <w:t>Preamble:</w:t>
      </w:r>
      <w:r w:rsidRPr="00FE528E">
        <w:rPr>
          <w:rStyle w:val="eop"/>
          <w:rFonts w:ascii="Arial" w:hAnsi="Arial" w:cs="Arial"/>
        </w:rPr>
        <w:t> </w:t>
      </w:r>
    </w:p>
    <w:p w14:paraId="35F2CE16" w14:textId="1D99B58A" w:rsidR="00DE010D" w:rsidRPr="00FE528E" w:rsidRDefault="00FF0F4B" w:rsidP="00FF0F4B">
      <w:pPr>
        <w:pStyle w:val="paragraph"/>
        <w:spacing w:before="0" w:beforeAutospacing="0" w:after="0" w:afterAutospacing="0"/>
        <w:textAlignment w:val="baseline"/>
        <w:rPr>
          <w:rStyle w:val="eop"/>
          <w:rFonts w:ascii="Arial" w:hAnsi="Arial" w:cs="Arial"/>
        </w:rPr>
      </w:pPr>
      <w:r w:rsidRPr="00FE528E">
        <w:rPr>
          <w:rStyle w:val="normaltextrun"/>
          <w:rFonts w:ascii="Arial" w:hAnsi="Arial" w:cs="Arial"/>
        </w:rPr>
        <w:t xml:space="preserve">OEB staff notes that in </w:t>
      </w:r>
      <w:proofErr w:type="spellStart"/>
      <w:r w:rsidRPr="00FE528E">
        <w:rPr>
          <w:rStyle w:val="normaltextrun"/>
          <w:rFonts w:ascii="Arial" w:hAnsi="Arial" w:cs="Arial"/>
        </w:rPr>
        <w:t>Westario’s</w:t>
      </w:r>
      <w:proofErr w:type="spellEnd"/>
      <w:r w:rsidRPr="00FE528E">
        <w:rPr>
          <w:rStyle w:val="normaltextrun"/>
          <w:rFonts w:ascii="Arial" w:hAnsi="Arial" w:cs="Arial"/>
        </w:rPr>
        <w:t xml:space="preserve"> 2024 Cost of Service application, </w:t>
      </w:r>
      <w:proofErr w:type="spellStart"/>
      <w:r w:rsidRPr="00FE528E">
        <w:rPr>
          <w:rStyle w:val="normaltextrun"/>
          <w:rFonts w:ascii="Arial" w:hAnsi="Arial" w:cs="Arial"/>
        </w:rPr>
        <w:t>Westario</w:t>
      </w:r>
      <w:proofErr w:type="spellEnd"/>
      <w:r w:rsidRPr="00FE528E">
        <w:rPr>
          <w:rStyle w:val="normaltextrun"/>
          <w:rFonts w:ascii="Arial" w:hAnsi="Arial" w:cs="Arial"/>
        </w:rPr>
        <w:t xml:space="preserve"> stated that it was not seeking to dispose of their balances in 1588 and 1589 at this time. Similar to account 1580, </w:t>
      </w:r>
      <w:proofErr w:type="spellStart"/>
      <w:r w:rsidRPr="00FE528E">
        <w:rPr>
          <w:rStyle w:val="normaltextrun"/>
          <w:rFonts w:ascii="Arial" w:hAnsi="Arial" w:cs="Arial"/>
        </w:rPr>
        <w:t>Westario</w:t>
      </w:r>
      <w:proofErr w:type="spellEnd"/>
      <w:r w:rsidRPr="00FE528E">
        <w:rPr>
          <w:rStyle w:val="normaltextrun"/>
          <w:rFonts w:ascii="Arial" w:hAnsi="Arial" w:cs="Arial"/>
        </w:rPr>
        <w:t xml:space="preserve"> is concerned with certain entries that were made in 2022 that are unusually large. Therefore, the utility asked Baker Tilly to review the accuracy of the entries in those particular accounts before disposing of the balances. </w:t>
      </w:r>
      <w:r w:rsidRPr="00FE528E">
        <w:rPr>
          <w:rStyle w:val="eop"/>
          <w:rFonts w:ascii="Arial" w:hAnsi="Arial" w:cs="Arial"/>
        </w:rPr>
        <w:t> </w:t>
      </w:r>
    </w:p>
    <w:p w14:paraId="538AA905" w14:textId="77777777" w:rsidR="000E3600" w:rsidRDefault="000E3600" w:rsidP="00FF0F4B">
      <w:pPr>
        <w:pStyle w:val="paragraph"/>
        <w:spacing w:before="0" w:beforeAutospacing="0" w:after="0" w:afterAutospacing="0"/>
        <w:textAlignment w:val="baseline"/>
        <w:rPr>
          <w:rStyle w:val="eop"/>
          <w:rFonts w:ascii="Arial" w:hAnsi="Arial" w:cs="Arial"/>
          <w:b/>
          <w:bCs/>
        </w:rPr>
      </w:pPr>
    </w:p>
    <w:p w14:paraId="26C0609F" w14:textId="6F9573DC" w:rsidR="00786633" w:rsidRPr="00FE528E" w:rsidRDefault="003A0109" w:rsidP="00FF0F4B">
      <w:pPr>
        <w:pStyle w:val="paragraph"/>
        <w:spacing w:before="0" w:beforeAutospacing="0" w:after="0" w:afterAutospacing="0"/>
        <w:textAlignment w:val="baseline"/>
        <w:rPr>
          <w:rStyle w:val="eop"/>
          <w:rFonts w:ascii="Arial" w:hAnsi="Arial" w:cs="Arial"/>
          <w:b/>
          <w:bCs/>
        </w:rPr>
      </w:pPr>
      <w:r w:rsidRPr="00FE528E">
        <w:rPr>
          <w:rStyle w:val="eop"/>
          <w:rFonts w:ascii="Arial" w:hAnsi="Arial" w:cs="Arial"/>
          <w:b/>
          <w:bCs/>
        </w:rPr>
        <w:t>Question(s):</w:t>
      </w:r>
    </w:p>
    <w:p w14:paraId="6DFAE14A" w14:textId="77777777" w:rsidR="00DE010D" w:rsidRPr="00FE528E" w:rsidRDefault="00DE010D" w:rsidP="00FF0F4B">
      <w:pPr>
        <w:pStyle w:val="paragraph"/>
        <w:spacing w:before="0" w:beforeAutospacing="0" w:after="0" w:afterAutospacing="0"/>
        <w:textAlignment w:val="baseline"/>
        <w:rPr>
          <w:rFonts w:ascii="Arial" w:hAnsi="Arial" w:cs="Arial"/>
          <w:b/>
          <w:bCs/>
        </w:rPr>
      </w:pPr>
    </w:p>
    <w:p w14:paraId="00E27A5C" w14:textId="77777777" w:rsidR="00FF0F4B" w:rsidRPr="00FE528E" w:rsidRDefault="00FF0F4B" w:rsidP="003A0109">
      <w:pPr>
        <w:pStyle w:val="paragraph"/>
        <w:numPr>
          <w:ilvl w:val="0"/>
          <w:numId w:val="40"/>
        </w:numPr>
        <w:spacing w:before="0" w:beforeAutospacing="0" w:after="0" w:afterAutospacing="0"/>
        <w:textAlignment w:val="baseline"/>
        <w:rPr>
          <w:rFonts w:ascii="Arial" w:hAnsi="Arial" w:cs="Arial"/>
        </w:rPr>
      </w:pPr>
      <w:r w:rsidRPr="00FE528E">
        <w:rPr>
          <w:rStyle w:val="normaltextrun"/>
          <w:rFonts w:ascii="Arial" w:hAnsi="Arial" w:cs="Arial"/>
        </w:rPr>
        <w:t>Please confirm whether Baker Tilly completed their review of Accounts 1580, 1588, 1589. </w:t>
      </w:r>
      <w:r w:rsidRPr="00FE528E">
        <w:rPr>
          <w:rStyle w:val="eop"/>
          <w:rFonts w:ascii="Arial" w:hAnsi="Arial" w:cs="Arial"/>
        </w:rPr>
        <w:t> </w:t>
      </w:r>
    </w:p>
    <w:p w14:paraId="0B7CCEAD" w14:textId="77777777" w:rsidR="00FF0F4B" w:rsidRPr="00FE528E" w:rsidRDefault="00FF0F4B" w:rsidP="003A0109">
      <w:pPr>
        <w:pStyle w:val="paragraph"/>
        <w:numPr>
          <w:ilvl w:val="0"/>
          <w:numId w:val="40"/>
        </w:numPr>
        <w:spacing w:before="0" w:beforeAutospacing="0" w:after="0" w:afterAutospacing="0"/>
        <w:textAlignment w:val="baseline"/>
        <w:rPr>
          <w:rFonts w:ascii="Arial" w:hAnsi="Arial" w:cs="Arial"/>
        </w:rPr>
      </w:pPr>
      <w:r w:rsidRPr="00FE528E">
        <w:rPr>
          <w:rStyle w:val="normaltextrun"/>
          <w:rFonts w:ascii="Arial" w:hAnsi="Arial" w:cs="Arial"/>
        </w:rPr>
        <w:t xml:space="preserve">If not, why not. Please confirm whether </w:t>
      </w:r>
      <w:proofErr w:type="spellStart"/>
      <w:r w:rsidRPr="00FE528E">
        <w:rPr>
          <w:rStyle w:val="normaltextrun"/>
          <w:rFonts w:ascii="Arial" w:hAnsi="Arial" w:cs="Arial"/>
        </w:rPr>
        <w:t>Westario</w:t>
      </w:r>
      <w:proofErr w:type="spellEnd"/>
      <w:r w:rsidRPr="00FE528E">
        <w:rPr>
          <w:rStyle w:val="normaltextrun"/>
          <w:rFonts w:ascii="Arial" w:hAnsi="Arial" w:cs="Arial"/>
        </w:rPr>
        <w:t xml:space="preserve"> is requesting the final disposition of these three accounts in this application, even without the completion of the review by Baker Tilly. </w:t>
      </w:r>
      <w:r w:rsidRPr="00FE528E">
        <w:rPr>
          <w:rStyle w:val="eop"/>
          <w:rFonts w:ascii="Arial" w:hAnsi="Arial" w:cs="Arial"/>
        </w:rPr>
        <w:t> </w:t>
      </w:r>
    </w:p>
    <w:p w14:paraId="4E117F9D" w14:textId="77777777" w:rsidR="00FF0F4B" w:rsidRPr="00FE528E" w:rsidRDefault="00FF0F4B" w:rsidP="003A0109">
      <w:pPr>
        <w:pStyle w:val="paragraph"/>
        <w:numPr>
          <w:ilvl w:val="0"/>
          <w:numId w:val="40"/>
        </w:numPr>
        <w:spacing w:before="0" w:beforeAutospacing="0" w:after="0" w:afterAutospacing="0"/>
        <w:textAlignment w:val="baseline"/>
        <w:rPr>
          <w:rFonts w:ascii="Arial" w:hAnsi="Arial" w:cs="Arial"/>
        </w:rPr>
      </w:pPr>
      <w:r w:rsidRPr="00FE528E">
        <w:rPr>
          <w:rStyle w:val="normaltextrun"/>
          <w:rFonts w:ascii="Arial" w:hAnsi="Arial" w:cs="Arial"/>
        </w:rPr>
        <w:t>If yes, please enclose a copy of their report including the findings.</w:t>
      </w:r>
      <w:r w:rsidRPr="00FE528E">
        <w:rPr>
          <w:rStyle w:val="eop"/>
          <w:rFonts w:ascii="Arial" w:hAnsi="Arial" w:cs="Arial"/>
        </w:rPr>
        <w:t> </w:t>
      </w:r>
    </w:p>
    <w:p w14:paraId="10599B4B" w14:textId="77777777" w:rsidR="00FF0F4B" w:rsidRPr="00FE528E" w:rsidRDefault="00FF0F4B" w:rsidP="003A0109">
      <w:pPr>
        <w:pStyle w:val="paragraph"/>
        <w:numPr>
          <w:ilvl w:val="0"/>
          <w:numId w:val="40"/>
        </w:numPr>
        <w:spacing w:before="0" w:beforeAutospacing="0" w:after="0" w:afterAutospacing="0"/>
        <w:textAlignment w:val="baseline"/>
        <w:rPr>
          <w:rFonts w:ascii="Arial" w:hAnsi="Arial" w:cs="Arial"/>
        </w:rPr>
      </w:pPr>
      <w:r w:rsidRPr="00FE528E">
        <w:rPr>
          <w:rStyle w:val="normaltextrun"/>
          <w:rFonts w:ascii="Arial" w:hAnsi="Arial" w:cs="Arial"/>
        </w:rPr>
        <w:t xml:space="preserve">Please confirm whether </w:t>
      </w:r>
      <w:proofErr w:type="spellStart"/>
      <w:r w:rsidRPr="00FE528E">
        <w:rPr>
          <w:rStyle w:val="normaltextrun"/>
          <w:rFonts w:ascii="Arial" w:hAnsi="Arial" w:cs="Arial"/>
        </w:rPr>
        <w:t>Westario</w:t>
      </w:r>
      <w:proofErr w:type="spellEnd"/>
      <w:r w:rsidRPr="00FE528E">
        <w:rPr>
          <w:rStyle w:val="normaltextrun"/>
          <w:rFonts w:ascii="Arial" w:hAnsi="Arial" w:cs="Arial"/>
        </w:rPr>
        <w:t xml:space="preserve"> incorporated any adjustments from the findings or recommendations from Baker Tilly.  </w:t>
      </w:r>
      <w:r w:rsidRPr="00FE528E">
        <w:rPr>
          <w:rStyle w:val="eop"/>
          <w:rFonts w:ascii="Arial" w:hAnsi="Arial" w:cs="Arial"/>
        </w:rPr>
        <w:t> </w:t>
      </w:r>
    </w:p>
    <w:p w14:paraId="1A254297" w14:textId="77777777" w:rsidR="003A0109" w:rsidRPr="00FE528E" w:rsidRDefault="003A0109" w:rsidP="00FF0F4B">
      <w:pPr>
        <w:pStyle w:val="paragraph"/>
        <w:spacing w:before="0" w:beforeAutospacing="0" w:after="0" w:afterAutospacing="0"/>
        <w:textAlignment w:val="baseline"/>
        <w:rPr>
          <w:rStyle w:val="normaltextrun"/>
          <w:rFonts w:ascii="Arial" w:hAnsi="Arial" w:cs="Arial"/>
          <w:b/>
          <w:bCs/>
        </w:rPr>
      </w:pPr>
    </w:p>
    <w:p w14:paraId="7182A920" w14:textId="4A30E3FC" w:rsidR="00515038" w:rsidRPr="00FE528E" w:rsidRDefault="00FF0F4B" w:rsidP="00FF0F4B">
      <w:pPr>
        <w:pStyle w:val="paragraph"/>
        <w:spacing w:before="0" w:beforeAutospacing="0" w:after="0" w:afterAutospacing="0"/>
        <w:textAlignment w:val="baseline"/>
        <w:rPr>
          <w:rStyle w:val="normaltextrun"/>
          <w:rFonts w:ascii="Arial" w:hAnsi="Arial" w:cs="Arial"/>
        </w:rPr>
      </w:pPr>
      <w:r w:rsidRPr="00FE528E">
        <w:rPr>
          <w:rStyle w:val="normaltextrun"/>
          <w:rFonts w:ascii="Arial" w:hAnsi="Arial" w:cs="Arial"/>
          <w:b/>
          <w:bCs/>
        </w:rPr>
        <w:t>Staff Question</w:t>
      </w:r>
      <w:r w:rsidR="00544B93" w:rsidRPr="00FE528E">
        <w:rPr>
          <w:rStyle w:val="normaltextrun"/>
          <w:rFonts w:ascii="Arial" w:hAnsi="Arial" w:cs="Arial"/>
          <w:b/>
          <w:bCs/>
        </w:rPr>
        <w:t>-</w:t>
      </w:r>
      <w:r w:rsidRPr="00FE528E">
        <w:rPr>
          <w:rStyle w:val="normaltextrun"/>
          <w:rFonts w:ascii="Arial" w:hAnsi="Arial" w:cs="Arial"/>
          <w:b/>
          <w:bCs/>
        </w:rPr>
        <w:t>12</w:t>
      </w:r>
      <w:r w:rsidRPr="00FE528E">
        <w:rPr>
          <w:rStyle w:val="eop"/>
          <w:rFonts w:ascii="Arial" w:hAnsi="Arial" w:cs="Arial"/>
        </w:rPr>
        <w:t> </w:t>
      </w:r>
    </w:p>
    <w:p w14:paraId="238C4AA6" w14:textId="3BC4371A" w:rsidR="00FF0F4B" w:rsidRPr="00FE528E" w:rsidRDefault="00FF0F4B" w:rsidP="00FF0F4B">
      <w:pPr>
        <w:pStyle w:val="paragraph"/>
        <w:spacing w:before="0" w:beforeAutospacing="0" w:after="0" w:afterAutospacing="0"/>
        <w:textAlignment w:val="baseline"/>
        <w:rPr>
          <w:rStyle w:val="eop"/>
          <w:rFonts w:ascii="Arial" w:hAnsi="Arial" w:cs="Arial"/>
        </w:rPr>
      </w:pPr>
      <w:r w:rsidRPr="00FE528E">
        <w:rPr>
          <w:rStyle w:val="normaltextrun"/>
          <w:rFonts w:ascii="Arial" w:hAnsi="Arial" w:cs="Arial"/>
          <w:b/>
          <w:bCs/>
        </w:rPr>
        <w:t>Reference:</w:t>
      </w:r>
      <w:r w:rsidRPr="00FE528E">
        <w:rPr>
          <w:rStyle w:val="eop"/>
          <w:rFonts w:ascii="Arial" w:hAnsi="Arial" w:cs="Arial"/>
        </w:rPr>
        <w:t> </w:t>
      </w:r>
    </w:p>
    <w:p w14:paraId="0BB49CD0" w14:textId="77777777" w:rsidR="00DE010D" w:rsidRPr="00FE528E" w:rsidRDefault="00DE010D" w:rsidP="00FF0F4B">
      <w:pPr>
        <w:pStyle w:val="paragraph"/>
        <w:spacing w:before="0" w:beforeAutospacing="0" w:after="0" w:afterAutospacing="0"/>
        <w:textAlignment w:val="baseline"/>
        <w:rPr>
          <w:rFonts w:ascii="Arial" w:hAnsi="Arial" w:cs="Arial"/>
        </w:rPr>
      </w:pPr>
    </w:p>
    <w:p w14:paraId="7A605566" w14:textId="77777777" w:rsidR="00786633" w:rsidRPr="00FE528E" w:rsidRDefault="00FF0F4B" w:rsidP="00786633">
      <w:pPr>
        <w:pStyle w:val="paragraph"/>
        <w:numPr>
          <w:ilvl w:val="0"/>
          <w:numId w:val="30"/>
        </w:numPr>
        <w:tabs>
          <w:tab w:val="left" w:pos="720"/>
        </w:tabs>
        <w:spacing w:before="0" w:beforeAutospacing="0" w:after="0" w:afterAutospacing="0"/>
        <w:textAlignment w:val="baseline"/>
        <w:rPr>
          <w:rFonts w:ascii="Arial" w:hAnsi="Arial" w:cs="Arial"/>
        </w:rPr>
      </w:pPr>
      <w:bookmarkStart w:id="2" w:name="_Hlk178767823"/>
      <w:r w:rsidRPr="00FE528E">
        <w:rPr>
          <w:rStyle w:val="normaltextrun"/>
          <w:rFonts w:ascii="Arial" w:hAnsi="Arial" w:cs="Arial"/>
        </w:rPr>
        <w:t xml:space="preserve">EB-2024-0060, GA Analysis </w:t>
      </w:r>
      <w:proofErr w:type="spellStart"/>
      <w:r w:rsidRPr="00FE528E">
        <w:rPr>
          <w:rStyle w:val="normaltextrun"/>
          <w:rFonts w:ascii="Arial" w:hAnsi="Arial" w:cs="Arial"/>
        </w:rPr>
        <w:t>Workform</w:t>
      </w:r>
      <w:proofErr w:type="spellEnd"/>
      <w:r w:rsidRPr="00FE528E">
        <w:rPr>
          <w:rStyle w:val="eop"/>
          <w:rFonts w:ascii="Arial" w:hAnsi="Arial" w:cs="Arial"/>
        </w:rPr>
        <w:t> </w:t>
      </w:r>
    </w:p>
    <w:bookmarkEnd w:id="2"/>
    <w:p w14:paraId="3F28D748" w14:textId="679280B4" w:rsidR="00FF0F4B" w:rsidRPr="00FE528E" w:rsidRDefault="00FF0F4B" w:rsidP="00786633">
      <w:pPr>
        <w:pStyle w:val="paragraph"/>
        <w:numPr>
          <w:ilvl w:val="0"/>
          <w:numId w:val="30"/>
        </w:numPr>
        <w:tabs>
          <w:tab w:val="left" w:pos="720"/>
        </w:tabs>
        <w:spacing w:before="0" w:beforeAutospacing="0" w:after="0" w:afterAutospacing="0"/>
        <w:textAlignment w:val="baseline"/>
        <w:rPr>
          <w:rFonts w:ascii="Arial" w:hAnsi="Arial" w:cs="Arial"/>
        </w:rPr>
      </w:pPr>
      <w:r w:rsidRPr="00FE528E">
        <w:rPr>
          <w:rStyle w:val="normaltextrun"/>
          <w:rFonts w:ascii="Arial" w:hAnsi="Arial" w:cs="Arial"/>
        </w:rPr>
        <w:t xml:space="preserve">2025 GA Analysis </w:t>
      </w:r>
      <w:proofErr w:type="spellStart"/>
      <w:r w:rsidRPr="00FE528E">
        <w:rPr>
          <w:rStyle w:val="normaltextrun"/>
          <w:rFonts w:ascii="Arial" w:hAnsi="Arial" w:cs="Arial"/>
        </w:rPr>
        <w:t>Workform</w:t>
      </w:r>
      <w:proofErr w:type="spellEnd"/>
      <w:r w:rsidRPr="00FE528E">
        <w:rPr>
          <w:rStyle w:val="normaltextrun"/>
          <w:rFonts w:ascii="Arial" w:hAnsi="Arial" w:cs="Arial"/>
        </w:rPr>
        <w:t xml:space="preserve"> Instructions</w:t>
      </w:r>
      <w:r w:rsidRPr="00FE528E">
        <w:rPr>
          <w:rStyle w:val="eop"/>
          <w:rFonts w:ascii="Arial" w:hAnsi="Arial" w:cs="Arial"/>
        </w:rPr>
        <w:t> </w:t>
      </w:r>
    </w:p>
    <w:p w14:paraId="65019242" w14:textId="77777777" w:rsidR="003A0109" w:rsidRPr="00FE528E" w:rsidRDefault="003A0109" w:rsidP="00FF0F4B">
      <w:pPr>
        <w:pStyle w:val="paragraph"/>
        <w:spacing w:before="0" w:beforeAutospacing="0" w:after="0" w:afterAutospacing="0"/>
        <w:textAlignment w:val="baseline"/>
        <w:rPr>
          <w:rStyle w:val="normaltextrun"/>
          <w:rFonts w:ascii="Arial" w:hAnsi="Arial" w:cs="Arial"/>
        </w:rPr>
      </w:pPr>
    </w:p>
    <w:p w14:paraId="1CD7CBF6" w14:textId="105D43E0"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rPr>
        <w:t>Preamble:</w:t>
      </w:r>
      <w:r w:rsidRPr="00FE528E">
        <w:rPr>
          <w:rStyle w:val="eop"/>
          <w:rFonts w:ascii="Arial" w:hAnsi="Arial" w:cs="Arial"/>
        </w:rPr>
        <w:t> </w:t>
      </w:r>
    </w:p>
    <w:p w14:paraId="1DB857F0" w14:textId="75D7C4A5"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rPr>
        <w:t xml:space="preserve">CT2148 captures corrections to prior period input data for embedded generation, energy storage or Class A load quantities for the impacted market participant. Typically, this charge type would be a reconciling item on the </w:t>
      </w:r>
      <w:proofErr w:type="spellStart"/>
      <w:r w:rsidRPr="00FE528E">
        <w:rPr>
          <w:rStyle w:val="normaltextrun"/>
          <w:rFonts w:ascii="Arial" w:hAnsi="Arial" w:cs="Arial"/>
        </w:rPr>
        <w:t>Workform</w:t>
      </w:r>
      <w:proofErr w:type="spellEnd"/>
      <w:r w:rsidRPr="00FE528E">
        <w:rPr>
          <w:rStyle w:val="normaltextrun"/>
          <w:rFonts w:ascii="Arial" w:hAnsi="Arial" w:cs="Arial"/>
        </w:rPr>
        <w:t xml:space="preserve"> as it would not be reflected in the actual GA rate that is populated in the Analysis of Expected GA Amount table.  This item is considered as </w:t>
      </w:r>
      <w:r w:rsidR="006276CE" w:rsidRPr="00FE528E">
        <w:rPr>
          <w:rStyle w:val="normaltextrun"/>
          <w:rFonts w:ascii="Arial" w:hAnsi="Arial" w:cs="Arial"/>
        </w:rPr>
        <w:t>reconciling</w:t>
      </w:r>
      <w:r w:rsidRPr="00FE528E">
        <w:rPr>
          <w:rStyle w:val="normaltextrun"/>
          <w:rFonts w:ascii="Arial" w:hAnsi="Arial" w:cs="Arial"/>
        </w:rPr>
        <w:t xml:space="preserve"> item that would need to be listed in the current year’s GA analysis work. However</w:t>
      </w:r>
      <w:r w:rsidR="00356AAD" w:rsidRPr="00FE528E">
        <w:rPr>
          <w:rStyle w:val="normaltextrun"/>
          <w:rFonts w:ascii="Arial" w:hAnsi="Arial" w:cs="Arial"/>
        </w:rPr>
        <w:t>,</w:t>
      </w:r>
      <w:r w:rsidRPr="00FE528E">
        <w:rPr>
          <w:rStyle w:val="normaltextrun"/>
          <w:rFonts w:ascii="Arial" w:hAnsi="Arial" w:cs="Arial"/>
        </w:rPr>
        <w:t xml:space="preserve"> </w:t>
      </w:r>
      <w:r w:rsidR="00356AAD" w:rsidRPr="00FE528E">
        <w:rPr>
          <w:rStyle w:val="normaltextrun"/>
          <w:rFonts w:ascii="Arial" w:hAnsi="Arial" w:cs="Arial"/>
        </w:rPr>
        <w:t>it</w:t>
      </w:r>
      <w:r w:rsidRPr="00FE528E">
        <w:rPr>
          <w:rStyle w:val="normaltextrun"/>
          <w:rFonts w:ascii="Arial" w:hAnsi="Arial" w:cs="Arial"/>
        </w:rPr>
        <w:t xml:space="preserve"> would not require a principal adjustment, as this impact would have been recorded in the General Ledger. As such, it would not need to be reversed in the next year’s GA </w:t>
      </w:r>
      <w:r w:rsidR="00A7207A">
        <w:rPr>
          <w:rStyle w:val="normaltextrun"/>
          <w:rFonts w:ascii="Arial" w:hAnsi="Arial" w:cs="Arial"/>
        </w:rPr>
        <w:t>A</w:t>
      </w:r>
      <w:r w:rsidRPr="00FE528E">
        <w:rPr>
          <w:rStyle w:val="normaltextrun"/>
          <w:rFonts w:ascii="Arial" w:hAnsi="Arial" w:cs="Arial"/>
        </w:rPr>
        <w:t xml:space="preserve">nalysis </w:t>
      </w:r>
      <w:proofErr w:type="spellStart"/>
      <w:r w:rsidR="00A7207A">
        <w:rPr>
          <w:rStyle w:val="normaltextrun"/>
          <w:rFonts w:ascii="Arial" w:hAnsi="Arial" w:cs="Arial"/>
        </w:rPr>
        <w:t>W</w:t>
      </w:r>
      <w:r w:rsidRPr="00FE528E">
        <w:rPr>
          <w:rStyle w:val="normaltextrun"/>
          <w:rFonts w:ascii="Arial" w:hAnsi="Arial" w:cs="Arial"/>
        </w:rPr>
        <w:t>orkform</w:t>
      </w:r>
      <w:proofErr w:type="spellEnd"/>
      <w:r w:rsidRPr="00FE528E">
        <w:rPr>
          <w:rStyle w:val="normaltextrun"/>
          <w:rFonts w:ascii="Arial" w:hAnsi="Arial" w:cs="Arial"/>
        </w:rPr>
        <w:t>. </w:t>
      </w:r>
      <w:r w:rsidRPr="00FE528E">
        <w:rPr>
          <w:rStyle w:val="eop"/>
          <w:rFonts w:ascii="Arial" w:hAnsi="Arial" w:cs="Arial"/>
        </w:rPr>
        <w:t> </w:t>
      </w:r>
    </w:p>
    <w:p w14:paraId="4412552C" w14:textId="7777777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eop"/>
          <w:rFonts w:ascii="Arial" w:hAnsi="Arial" w:cs="Arial"/>
        </w:rPr>
        <w:t> </w:t>
      </w:r>
    </w:p>
    <w:p w14:paraId="0E5A61AA" w14:textId="209F4642"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rPr>
        <w:t xml:space="preserve">In the principal adjustments tab and GA 2022 and GA 2023 </w:t>
      </w:r>
      <w:r w:rsidR="003C35E0" w:rsidRPr="00FE528E">
        <w:rPr>
          <w:rStyle w:val="normaltextrun"/>
          <w:rFonts w:ascii="Arial" w:hAnsi="Arial" w:cs="Arial"/>
        </w:rPr>
        <w:t>tabs,</w:t>
      </w:r>
      <w:r w:rsidRPr="00FE528E">
        <w:rPr>
          <w:rStyle w:val="normaltextrun"/>
          <w:rFonts w:ascii="Arial" w:hAnsi="Arial" w:cs="Arial"/>
        </w:rPr>
        <w:t xml:space="preserve"> OEB staff notes amounts recorded for CT </w:t>
      </w:r>
      <w:r w:rsidR="003C35E0" w:rsidRPr="00FE528E">
        <w:rPr>
          <w:rStyle w:val="normaltextrun"/>
          <w:rFonts w:ascii="Arial" w:hAnsi="Arial" w:cs="Arial"/>
        </w:rPr>
        <w:t>2148 on</w:t>
      </w:r>
      <w:r w:rsidRPr="00FE528E">
        <w:rPr>
          <w:rStyle w:val="normaltextrun"/>
          <w:rFonts w:ascii="Arial" w:hAnsi="Arial" w:cs="Arial"/>
        </w:rPr>
        <w:t xml:space="preserve"> the 2022 GA </w:t>
      </w:r>
      <w:r w:rsidR="00A7207A">
        <w:rPr>
          <w:rStyle w:val="normaltextrun"/>
          <w:rFonts w:ascii="Arial" w:hAnsi="Arial" w:cs="Arial"/>
        </w:rPr>
        <w:t>A</w:t>
      </w:r>
      <w:r w:rsidRPr="00FE528E">
        <w:rPr>
          <w:rStyle w:val="normaltextrun"/>
          <w:rFonts w:ascii="Arial" w:hAnsi="Arial" w:cs="Arial"/>
        </w:rPr>
        <w:t xml:space="preserve">nalysis </w:t>
      </w:r>
      <w:proofErr w:type="spellStart"/>
      <w:r w:rsidR="00A7207A">
        <w:rPr>
          <w:rStyle w:val="normaltextrun"/>
          <w:rFonts w:ascii="Arial" w:hAnsi="Arial" w:cs="Arial"/>
        </w:rPr>
        <w:t>W</w:t>
      </w:r>
      <w:r w:rsidRPr="00FE528E">
        <w:rPr>
          <w:rStyle w:val="normaltextrun"/>
          <w:rFonts w:ascii="Arial" w:hAnsi="Arial" w:cs="Arial"/>
        </w:rPr>
        <w:t>orkform</w:t>
      </w:r>
      <w:proofErr w:type="spellEnd"/>
      <w:r w:rsidRPr="00FE528E">
        <w:rPr>
          <w:rStyle w:val="normaltextrun"/>
          <w:rFonts w:ascii="Arial" w:hAnsi="Arial" w:cs="Arial"/>
        </w:rPr>
        <w:t xml:space="preserve"> of ($15,455), which is then reversed on 2023 GA Analysis </w:t>
      </w:r>
      <w:proofErr w:type="spellStart"/>
      <w:r w:rsidR="00A7207A">
        <w:rPr>
          <w:rStyle w:val="normaltextrun"/>
          <w:rFonts w:ascii="Arial" w:hAnsi="Arial" w:cs="Arial"/>
        </w:rPr>
        <w:t>W</w:t>
      </w:r>
      <w:r w:rsidRPr="00FE528E">
        <w:rPr>
          <w:rStyle w:val="normaltextrun"/>
          <w:rFonts w:ascii="Arial" w:hAnsi="Arial" w:cs="Arial"/>
        </w:rPr>
        <w:t>orkform</w:t>
      </w:r>
      <w:proofErr w:type="spellEnd"/>
      <w:r w:rsidRPr="00FE528E">
        <w:rPr>
          <w:rStyle w:val="normaltextrun"/>
          <w:rFonts w:ascii="Arial" w:hAnsi="Arial" w:cs="Arial"/>
        </w:rPr>
        <w:t xml:space="preserve">, and another credit of ($1,743) posted in 2024 on the 2023 GA Analysis </w:t>
      </w:r>
      <w:proofErr w:type="spellStart"/>
      <w:r w:rsidRPr="00FE528E">
        <w:rPr>
          <w:rStyle w:val="normaltextrun"/>
          <w:rFonts w:ascii="Arial" w:hAnsi="Arial" w:cs="Arial"/>
        </w:rPr>
        <w:t>Workform</w:t>
      </w:r>
      <w:proofErr w:type="spellEnd"/>
      <w:r w:rsidRPr="00FE528E">
        <w:rPr>
          <w:rStyle w:val="normaltextrun"/>
          <w:rFonts w:ascii="Arial" w:hAnsi="Arial" w:cs="Arial"/>
        </w:rPr>
        <w:t>.</w:t>
      </w:r>
      <w:r w:rsidRPr="00FE528E">
        <w:rPr>
          <w:rStyle w:val="eop"/>
          <w:rFonts w:ascii="Arial" w:hAnsi="Arial" w:cs="Arial"/>
        </w:rPr>
        <w:t> </w:t>
      </w:r>
    </w:p>
    <w:p w14:paraId="3C6160B8" w14:textId="7777777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eop"/>
          <w:rFonts w:ascii="Arial" w:hAnsi="Arial" w:cs="Arial"/>
        </w:rPr>
        <w:t> </w:t>
      </w:r>
    </w:p>
    <w:p w14:paraId="7EC841E4" w14:textId="7777777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normaltextrun"/>
          <w:rFonts w:ascii="Arial" w:hAnsi="Arial" w:cs="Arial"/>
        </w:rPr>
        <w:t>In addition, effective May 1, 2023, CT 2148 - Class B Global Adjustment Prior Period Correction Settlement Amount was discontinued, any prior period corrections are to be manually entered based on post-final changes to input data under charge type 148 - Class B Global Adjustment Settlement Amount. </w:t>
      </w:r>
      <w:r w:rsidRPr="00FE528E">
        <w:rPr>
          <w:rStyle w:val="eop"/>
          <w:rFonts w:ascii="Arial" w:hAnsi="Arial" w:cs="Arial"/>
        </w:rPr>
        <w:t> </w:t>
      </w:r>
    </w:p>
    <w:p w14:paraId="6394B9DE" w14:textId="77777777" w:rsidR="00FF0F4B" w:rsidRPr="00FE528E" w:rsidRDefault="00FF0F4B" w:rsidP="00FF0F4B">
      <w:pPr>
        <w:pStyle w:val="paragraph"/>
        <w:spacing w:before="0" w:beforeAutospacing="0" w:after="0" w:afterAutospacing="0"/>
        <w:textAlignment w:val="baseline"/>
        <w:rPr>
          <w:rFonts w:ascii="Arial" w:hAnsi="Arial" w:cs="Arial"/>
        </w:rPr>
      </w:pPr>
      <w:r w:rsidRPr="00FE528E">
        <w:rPr>
          <w:rStyle w:val="eop"/>
          <w:rFonts w:ascii="Arial" w:hAnsi="Arial" w:cs="Arial"/>
        </w:rPr>
        <w:t> </w:t>
      </w:r>
    </w:p>
    <w:p w14:paraId="5BAB652B" w14:textId="77777777" w:rsidR="00FF0F4B" w:rsidRPr="00FE528E" w:rsidRDefault="00FF0F4B" w:rsidP="00FF0F4B">
      <w:pPr>
        <w:pStyle w:val="paragraph"/>
        <w:spacing w:before="0" w:beforeAutospacing="0" w:after="0" w:afterAutospacing="0"/>
        <w:textAlignment w:val="baseline"/>
        <w:rPr>
          <w:rStyle w:val="eop"/>
          <w:rFonts w:ascii="Arial" w:hAnsi="Arial" w:cs="Arial"/>
        </w:rPr>
      </w:pPr>
      <w:r w:rsidRPr="00FE528E">
        <w:rPr>
          <w:rStyle w:val="normaltextrun"/>
          <w:rFonts w:ascii="Arial" w:hAnsi="Arial" w:cs="Arial"/>
          <w:b/>
          <w:bCs/>
        </w:rPr>
        <w:t>Question(s):</w:t>
      </w:r>
      <w:r w:rsidRPr="00FE528E">
        <w:rPr>
          <w:rStyle w:val="eop"/>
          <w:rFonts w:ascii="Arial" w:hAnsi="Arial" w:cs="Arial"/>
        </w:rPr>
        <w:t> </w:t>
      </w:r>
    </w:p>
    <w:p w14:paraId="6A26C3E3" w14:textId="77777777" w:rsidR="00DE010D" w:rsidRPr="00FE528E" w:rsidRDefault="00DE010D" w:rsidP="00FF0F4B">
      <w:pPr>
        <w:pStyle w:val="paragraph"/>
        <w:spacing w:before="0" w:beforeAutospacing="0" w:after="0" w:afterAutospacing="0"/>
        <w:textAlignment w:val="baseline"/>
        <w:rPr>
          <w:rFonts w:ascii="Arial" w:hAnsi="Arial" w:cs="Arial"/>
        </w:rPr>
      </w:pPr>
    </w:p>
    <w:p w14:paraId="218CF9EF" w14:textId="41DF027D" w:rsidR="003A0109" w:rsidRPr="00FE528E" w:rsidRDefault="00FF0F4B" w:rsidP="003A0109">
      <w:pPr>
        <w:pStyle w:val="paragraph"/>
        <w:numPr>
          <w:ilvl w:val="0"/>
          <w:numId w:val="41"/>
        </w:numPr>
        <w:spacing w:before="0" w:beforeAutospacing="0" w:after="0" w:afterAutospacing="0"/>
        <w:ind w:left="810" w:hanging="450"/>
        <w:textAlignment w:val="baseline"/>
        <w:rPr>
          <w:rFonts w:ascii="Arial" w:hAnsi="Arial" w:cs="Arial"/>
        </w:rPr>
      </w:pPr>
      <w:r w:rsidRPr="00FE528E">
        <w:rPr>
          <w:rStyle w:val="normaltextrun"/>
          <w:rFonts w:ascii="Arial" w:hAnsi="Arial" w:cs="Arial"/>
        </w:rPr>
        <w:t xml:space="preserve">Please explain why </w:t>
      </w:r>
      <w:proofErr w:type="spellStart"/>
      <w:r w:rsidRPr="00FE528E">
        <w:rPr>
          <w:rStyle w:val="normaltextrun"/>
          <w:rFonts w:ascii="Arial" w:hAnsi="Arial" w:cs="Arial"/>
        </w:rPr>
        <w:t>Westario</w:t>
      </w:r>
      <w:proofErr w:type="spellEnd"/>
      <w:r w:rsidRPr="00FE528E">
        <w:rPr>
          <w:rStyle w:val="normaltextrun"/>
          <w:rFonts w:ascii="Arial" w:hAnsi="Arial" w:cs="Arial"/>
        </w:rPr>
        <w:t xml:space="preserve"> included CT2148 on the 2022 and 2023 GA Analysis </w:t>
      </w:r>
      <w:proofErr w:type="spellStart"/>
      <w:r w:rsidR="00A7207A">
        <w:rPr>
          <w:rStyle w:val="normaltextrun"/>
          <w:rFonts w:ascii="Arial" w:hAnsi="Arial" w:cs="Arial"/>
        </w:rPr>
        <w:t>W</w:t>
      </w:r>
      <w:r w:rsidRPr="00FE528E">
        <w:rPr>
          <w:rStyle w:val="normaltextrun"/>
          <w:rFonts w:ascii="Arial" w:hAnsi="Arial" w:cs="Arial"/>
        </w:rPr>
        <w:t>orkforms</w:t>
      </w:r>
      <w:proofErr w:type="spellEnd"/>
      <w:r w:rsidRPr="00FE528E">
        <w:rPr>
          <w:rStyle w:val="normaltextrun"/>
          <w:rFonts w:ascii="Arial" w:hAnsi="Arial" w:cs="Arial"/>
        </w:rPr>
        <w:t xml:space="preserve"> as principal adjustments, given that typically utilities journalize the charge types on the IESO invoices as part of its accounting process?  </w:t>
      </w:r>
      <w:r w:rsidRPr="00FE528E">
        <w:rPr>
          <w:rStyle w:val="eop"/>
          <w:rFonts w:ascii="Arial" w:hAnsi="Arial" w:cs="Arial"/>
        </w:rPr>
        <w:t> </w:t>
      </w:r>
    </w:p>
    <w:p w14:paraId="35F356B2" w14:textId="3E3F002F" w:rsidR="003A0109" w:rsidRPr="00FE528E" w:rsidRDefault="00FF0F4B" w:rsidP="003A0109">
      <w:pPr>
        <w:pStyle w:val="paragraph"/>
        <w:numPr>
          <w:ilvl w:val="0"/>
          <w:numId w:val="41"/>
        </w:numPr>
        <w:spacing w:before="0" w:beforeAutospacing="0" w:after="0" w:afterAutospacing="0"/>
        <w:ind w:left="810" w:hanging="450"/>
        <w:textAlignment w:val="baseline"/>
        <w:rPr>
          <w:rFonts w:ascii="Arial" w:hAnsi="Arial" w:cs="Arial"/>
        </w:rPr>
      </w:pPr>
      <w:r w:rsidRPr="00FE528E">
        <w:rPr>
          <w:rStyle w:val="normaltextrun"/>
          <w:rFonts w:ascii="Arial" w:hAnsi="Arial" w:cs="Arial"/>
        </w:rPr>
        <w:t xml:space="preserve">If the question </w:t>
      </w:r>
      <w:r w:rsidR="00D76E99" w:rsidRPr="00FE528E">
        <w:rPr>
          <w:rStyle w:val="normaltextrun"/>
          <w:rFonts w:ascii="Arial" w:hAnsi="Arial" w:cs="Arial"/>
        </w:rPr>
        <w:t>(</w:t>
      </w:r>
      <w:r w:rsidRPr="00FE528E">
        <w:rPr>
          <w:rStyle w:val="normaltextrun"/>
          <w:rFonts w:ascii="Arial" w:hAnsi="Arial" w:cs="Arial"/>
        </w:rPr>
        <w:t xml:space="preserve">a) cannot be explained, please make the CT2148 as reconciling item rather than principal adjustment and update the GA </w:t>
      </w:r>
      <w:r w:rsidR="00A7207A">
        <w:rPr>
          <w:rStyle w:val="normaltextrun"/>
          <w:rFonts w:ascii="Arial" w:hAnsi="Arial" w:cs="Arial"/>
        </w:rPr>
        <w:t>A</w:t>
      </w:r>
      <w:r w:rsidRPr="00FE528E">
        <w:rPr>
          <w:rStyle w:val="normaltextrun"/>
          <w:rFonts w:ascii="Arial" w:hAnsi="Arial" w:cs="Arial"/>
        </w:rPr>
        <w:t xml:space="preserve">nalysis </w:t>
      </w:r>
      <w:proofErr w:type="spellStart"/>
      <w:r w:rsidR="00A7207A">
        <w:rPr>
          <w:rStyle w:val="normaltextrun"/>
          <w:rFonts w:ascii="Arial" w:hAnsi="Arial" w:cs="Arial"/>
        </w:rPr>
        <w:t>W</w:t>
      </w:r>
      <w:r w:rsidRPr="00FE528E">
        <w:rPr>
          <w:rStyle w:val="normaltextrun"/>
          <w:rFonts w:ascii="Arial" w:hAnsi="Arial" w:cs="Arial"/>
        </w:rPr>
        <w:t>orkforms</w:t>
      </w:r>
      <w:proofErr w:type="spellEnd"/>
      <w:r w:rsidRPr="00FE528E">
        <w:rPr>
          <w:rStyle w:val="normaltextrun"/>
          <w:rFonts w:ascii="Arial" w:hAnsi="Arial" w:cs="Arial"/>
        </w:rPr>
        <w:t xml:space="preserve"> and principal adjustment tab by removing CT2148 amounts.</w:t>
      </w:r>
      <w:r w:rsidRPr="00FE528E">
        <w:rPr>
          <w:rStyle w:val="eop"/>
          <w:rFonts w:ascii="Arial" w:hAnsi="Arial" w:cs="Arial"/>
        </w:rPr>
        <w:t> </w:t>
      </w:r>
    </w:p>
    <w:p w14:paraId="01C38019" w14:textId="19B42B39" w:rsidR="00FE528E" w:rsidRPr="000E3600" w:rsidRDefault="0043448B" w:rsidP="000E3600">
      <w:pPr>
        <w:pStyle w:val="paragraph"/>
        <w:numPr>
          <w:ilvl w:val="0"/>
          <w:numId w:val="41"/>
        </w:numPr>
        <w:spacing w:before="0" w:beforeAutospacing="0" w:after="240" w:afterAutospacing="0"/>
        <w:ind w:left="810" w:hanging="450"/>
        <w:textAlignment w:val="baseline"/>
        <w:rPr>
          <w:rStyle w:val="normaltextrun"/>
          <w:rFonts w:ascii="Arial" w:hAnsi="Arial" w:cs="Arial"/>
          <w:b/>
        </w:rPr>
      </w:pPr>
      <w:r w:rsidRPr="00FE528E">
        <w:rPr>
          <w:rStyle w:val="normaltextrun"/>
          <w:rFonts w:ascii="Arial" w:hAnsi="Arial" w:cs="Arial"/>
        </w:rPr>
        <w:t>Please make sure that any corrections are reflected in the DVA Continuity Schedule</w:t>
      </w:r>
      <w:r w:rsidR="009A7BB6" w:rsidRPr="00FE528E">
        <w:rPr>
          <w:rStyle w:val="normaltextrun"/>
          <w:rFonts w:ascii="Arial" w:hAnsi="Arial" w:cs="Arial"/>
        </w:rPr>
        <w:t xml:space="preserve"> of </w:t>
      </w:r>
      <w:r w:rsidRPr="00FE528E">
        <w:rPr>
          <w:rStyle w:val="normaltextrun"/>
          <w:rFonts w:ascii="Arial" w:hAnsi="Arial" w:cs="Arial"/>
        </w:rPr>
        <w:t>the Rate Generator Model and ensure that all subsequent tabs are updated accordingly.</w:t>
      </w:r>
    </w:p>
    <w:p w14:paraId="51EF7D8E" w14:textId="47D390A8" w:rsidR="004A57FD" w:rsidRPr="00FE528E" w:rsidRDefault="004A57FD" w:rsidP="004A57FD">
      <w:pPr>
        <w:rPr>
          <w:rFonts w:ascii="Arial" w:hAnsi="Arial" w:cs="Arial"/>
          <w:b/>
          <w:bCs/>
          <w:sz w:val="24"/>
          <w:szCs w:val="24"/>
        </w:rPr>
      </w:pPr>
      <w:r w:rsidRPr="00FE528E">
        <w:rPr>
          <w:rFonts w:ascii="Arial" w:hAnsi="Arial" w:cs="Arial"/>
          <w:b/>
          <w:bCs/>
          <w:sz w:val="24"/>
          <w:szCs w:val="24"/>
        </w:rPr>
        <w:t>Staff Question-13</w:t>
      </w:r>
    </w:p>
    <w:p w14:paraId="32F65C46" w14:textId="77777777" w:rsidR="004A57FD" w:rsidRPr="00FE528E" w:rsidRDefault="004A57FD" w:rsidP="004A57FD">
      <w:pPr>
        <w:rPr>
          <w:rFonts w:ascii="Arial" w:hAnsi="Arial" w:cs="Arial"/>
          <w:b/>
          <w:bCs/>
          <w:sz w:val="24"/>
          <w:szCs w:val="24"/>
        </w:rPr>
      </w:pPr>
      <w:r w:rsidRPr="00FE528E">
        <w:rPr>
          <w:rFonts w:ascii="Arial" w:hAnsi="Arial" w:cs="Arial"/>
          <w:b/>
          <w:bCs/>
          <w:sz w:val="24"/>
          <w:szCs w:val="24"/>
        </w:rPr>
        <w:t>Reference:</w:t>
      </w:r>
    </w:p>
    <w:p w14:paraId="7FE0C387" w14:textId="77777777" w:rsidR="009F408F" w:rsidRPr="00FE528E" w:rsidRDefault="004A57FD" w:rsidP="009F408F">
      <w:pPr>
        <w:pStyle w:val="ListParagraph"/>
        <w:numPr>
          <w:ilvl w:val="0"/>
          <w:numId w:val="47"/>
        </w:numPr>
        <w:ind w:left="720" w:hanging="360"/>
        <w:rPr>
          <w:rFonts w:ascii="Arial" w:hAnsi="Arial" w:cs="Arial"/>
          <w:sz w:val="24"/>
          <w:szCs w:val="24"/>
        </w:rPr>
      </w:pPr>
      <w:r w:rsidRPr="00FE528E">
        <w:rPr>
          <w:rFonts w:ascii="Arial" w:hAnsi="Arial" w:cs="Arial"/>
          <w:sz w:val="24"/>
          <w:szCs w:val="24"/>
        </w:rPr>
        <w:t xml:space="preserve">EB-2024-0060, GA Analysis </w:t>
      </w:r>
      <w:proofErr w:type="spellStart"/>
      <w:r w:rsidRPr="00FE528E">
        <w:rPr>
          <w:rFonts w:ascii="Arial" w:hAnsi="Arial" w:cs="Arial"/>
          <w:sz w:val="24"/>
          <w:szCs w:val="24"/>
        </w:rPr>
        <w:t>Workform</w:t>
      </w:r>
      <w:proofErr w:type="spellEnd"/>
      <w:r w:rsidRPr="00FE528E">
        <w:rPr>
          <w:rFonts w:ascii="Arial" w:hAnsi="Arial" w:cs="Arial"/>
          <w:sz w:val="24"/>
          <w:szCs w:val="24"/>
        </w:rPr>
        <w:t xml:space="preserve"> </w:t>
      </w:r>
    </w:p>
    <w:p w14:paraId="722DC190" w14:textId="4948909D" w:rsidR="004A57FD" w:rsidRPr="00FE528E" w:rsidRDefault="004A57FD" w:rsidP="009F408F">
      <w:pPr>
        <w:pStyle w:val="ListParagraph"/>
        <w:numPr>
          <w:ilvl w:val="0"/>
          <w:numId w:val="47"/>
        </w:numPr>
        <w:ind w:left="720" w:hanging="360"/>
        <w:rPr>
          <w:rFonts w:ascii="Arial" w:hAnsi="Arial" w:cs="Arial"/>
          <w:sz w:val="24"/>
          <w:szCs w:val="24"/>
        </w:rPr>
      </w:pPr>
      <w:r w:rsidRPr="00FE528E">
        <w:rPr>
          <w:rFonts w:ascii="Arial" w:hAnsi="Arial" w:cs="Arial"/>
          <w:sz w:val="24"/>
          <w:szCs w:val="24"/>
        </w:rPr>
        <w:t>Updated Account 1588 reasonability test Excel template</w:t>
      </w:r>
    </w:p>
    <w:p w14:paraId="137476B9" w14:textId="77777777" w:rsidR="00122B95" w:rsidRDefault="00122B95" w:rsidP="00122B95">
      <w:pPr>
        <w:ind w:left="360"/>
        <w:contextualSpacing/>
        <w:rPr>
          <w:rFonts w:ascii="Arial" w:hAnsi="Arial" w:cs="Arial"/>
          <w:sz w:val="24"/>
          <w:szCs w:val="24"/>
        </w:rPr>
      </w:pPr>
      <w:r>
        <w:rPr>
          <w:rFonts w:ascii="Arial" w:hAnsi="Arial" w:cs="Arial"/>
          <w:sz w:val="24"/>
          <w:szCs w:val="24"/>
        </w:rPr>
        <w:t>Preamble:</w:t>
      </w:r>
    </w:p>
    <w:p w14:paraId="12854421" w14:textId="0A010A67" w:rsidR="00A0340B" w:rsidRDefault="004A57FD" w:rsidP="00A0340B">
      <w:pPr>
        <w:ind w:left="360"/>
        <w:contextualSpacing/>
        <w:rPr>
          <w:rFonts w:ascii="Arial" w:hAnsi="Arial" w:cs="Arial"/>
          <w:sz w:val="24"/>
          <w:szCs w:val="24"/>
        </w:rPr>
      </w:pPr>
      <w:r w:rsidRPr="00FE528E">
        <w:rPr>
          <w:rFonts w:ascii="Arial" w:hAnsi="Arial" w:cs="Arial"/>
          <w:sz w:val="24"/>
          <w:szCs w:val="24"/>
        </w:rPr>
        <w:t xml:space="preserve">OEB staff notes that in </w:t>
      </w:r>
      <w:r w:rsidR="009F408F" w:rsidRPr="00FE528E">
        <w:rPr>
          <w:rFonts w:ascii="Arial" w:hAnsi="Arial" w:cs="Arial"/>
          <w:sz w:val="24"/>
          <w:szCs w:val="24"/>
        </w:rPr>
        <w:t>T</w:t>
      </w:r>
      <w:r w:rsidRPr="00FE528E">
        <w:rPr>
          <w:rFonts w:ascii="Arial" w:hAnsi="Arial" w:cs="Arial"/>
          <w:sz w:val="24"/>
          <w:szCs w:val="24"/>
        </w:rPr>
        <w:t xml:space="preserve">ab Account 1588 of </w:t>
      </w:r>
      <w:proofErr w:type="spellStart"/>
      <w:r w:rsidRPr="00FE528E">
        <w:rPr>
          <w:rFonts w:ascii="Arial" w:hAnsi="Arial" w:cs="Arial"/>
          <w:sz w:val="24"/>
          <w:szCs w:val="24"/>
        </w:rPr>
        <w:t>Westario’s</w:t>
      </w:r>
      <w:proofErr w:type="spellEnd"/>
      <w:r w:rsidRPr="00FE528E">
        <w:rPr>
          <w:rFonts w:ascii="Arial" w:hAnsi="Arial" w:cs="Arial"/>
          <w:sz w:val="24"/>
          <w:szCs w:val="24"/>
        </w:rPr>
        <w:t xml:space="preserve"> GA Analysis </w:t>
      </w:r>
      <w:proofErr w:type="spellStart"/>
      <w:r w:rsidRPr="00FE528E">
        <w:rPr>
          <w:rFonts w:ascii="Arial" w:hAnsi="Arial" w:cs="Arial"/>
          <w:sz w:val="24"/>
          <w:szCs w:val="24"/>
        </w:rPr>
        <w:t>Workform</w:t>
      </w:r>
      <w:proofErr w:type="spellEnd"/>
      <w:r w:rsidRPr="00FE528E">
        <w:rPr>
          <w:rFonts w:ascii="Arial" w:hAnsi="Arial" w:cs="Arial"/>
          <w:sz w:val="24"/>
          <w:szCs w:val="24"/>
        </w:rPr>
        <w:t>, the annual Account 1588 balance relative to cost of power is 3.7% for 2023, which is greater than +/-1% reasonability threshold.</w:t>
      </w:r>
    </w:p>
    <w:p w14:paraId="3680F88C" w14:textId="77777777" w:rsidR="00A0340B" w:rsidRPr="00A0340B" w:rsidRDefault="00A0340B" w:rsidP="00A0340B">
      <w:pPr>
        <w:ind w:left="360"/>
        <w:contextualSpacing/>
        <w:rPr>
          <w:rFonts w:ascii="Arial" w:hAnsi="Arial" w:cs="Arial"/>
          <w:sz w:val="24"/>
          <w:szCs w:val="24"/>
        </w:rPr>
      </w:pPr>
    </w:p>
    <w:p w14:paraId="052325EE" w14:textId="2DE3AD8A" w:rsidR="004A57FD" w:rsidRPr="00FE528E" w:rsidRDefault="004A57FD" w:rsidP="004A57FD">
      <w:pPr>
        <w:rPr>
          <w:rFonts w:ascii="Arial" w:hAnsi="Arial" w:cs="Arial"/>
          <w:b/>
          <w:bCs/>
          <w:sz w:val="24"/>
          <w:szCs w:val="24"/>
        </w:rPr>
      </w:pPr>
      <w:r w:rsidRPr="00FE528E">
        <w:rPr>
          <w:rFonts w:ascii="Arial" w:hAnsi="Arial" w:cs="Arial"/>
          <w:b/>
          <w:bCs/>
          <w:sz w:val="24"/>
          <w:szCs w:val="24"/>
        </w:rPr>
        <w:t>Question</w:t>
      </w:r>
      <w:r w:rsidR="009F408F" w:rsidRPr="00FE528E">
        <w:rPr>
          <w:rFonts w:ascii="Arial" w:hAnsi="Arial" w:cs="Arial"/>
          <w:b/>
          <w:bCs/>
          <w:sz w:val="24"/>
          <w:szCs w:val="24"/>
        </w:rPr>
        <w:t>(s</w:t>
      </w:r>
      <w:r w:rsidR="003D1553" w:rsidRPr="00FE528E">
        <w:rPr>
          <w:rFonts w:ascii="Arial" w:hAnsi="Arial" w:cs="Arial"/>
          <w:b/>
          <w:bCs/>
          <w:sz w:val="24"/>
          <w:szCs w:val="24"/>
        </w:rPr>
        <w:t>):</w:t>
      </w:r>
    </w:p>
    <w:p w14:paraId="3072BCBB" w14:textId="77777777" w:rsidR="004A57FD" w:rsidRPr="00FE528E" w:rsidRDefault="004A57FD" w:rsidP="004A57FD">
      <w:pPr>
        <w:pStyle w:val="ListParagraph"/>
        <w:numPr>
          <w:ilvl w:val="0"/>
          <w:numId w:val="45"/>
        </w:numPr>
        <w:spacing w:after="160"/>
        <w:rPr>
          <w:rFonts w:ascii="Arial" w:hAnsi="Arial" w:cs="Arial"/>
          <w:sz w:val="24"/>
          <w:szCs w:val="24"/>
        </w:rPr>
      </w:pPr>
      <w:r w:rsidRPr="00FE528E">
        <w:rPr>
          <w:rFonts w:ascii="Arial" w:hAnsi="Arial" w:cs="Arial"/>
          <w:sz w:val="24"/>
          <w:szCs w:val="24"/>
        </w:rPr>
        <w:t>Please complete an updated Account 1588 reasonability test provided by OEB staff with further details.</w:t>
      </w:r>
    </w:p>
    <w:p w14:paraId="0B3A2D7B" w14:textId="77777777" w:rsidR="004A57FD" w:rsidRPr="00FE528E" w:rsidRDefault="004A57FD" w:rsidP="004A57FD">
      <w:pPr>
        <w:pStyle w:val="paragraph"/>
        <w:spacing w:before="0" w:beforeAutospacing="0" w:after="240" w:afterAutospacing="0"/>
        <w:textAlignment w:val="baseline"/>
        <w:rPr>
          <w:rFonts w:ascii="Arial" w:hAnsi="Arial" w:cs="Arial"/>
          <w:b/>
        </w:rPr>
      </w:pPr>
    </w:p>
    <w:sectPr w:rsidR="004A57FD" w:rsidRPr="00FE528E" w:rsidSect="00EA0919">
      <w:headerReference w:type="default" r:id="rId12"/>
      <w:footerReference w:type="default" r:id="rId1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CC55" w14:textId="77777777" w:rsidR="00E26217" w:rsidRDefault="00E26217" w:rsidP="00D77124">
      <w:pPr>
        <w:spacing w:after="0" w:line="240" w:lineRule="auto"/>
      </w:pPr>
      <w:r>
        <w:separator/>
      </w:r>
    </w:p>
  </w:endnote>
  <w:endnote w:type="continuationSeparator" w:id="0">
    <w:p w14:paraId="4801C0A3" w14:textId="77777777" w:rsidR="00E26217" w:rsidRDefault="00E26217"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63A5" w14:textId="77777777" w:rsidR="00E26217" w:rsidRDefault="00E26217" w:rsidP="00D77124">
      <w:pPr>
        <w:spacing w:after="0" w:line="240" w:lineRule="auto"/>
      </w:pPr>
      <w:r>
        <w:separator/>
      </w:r>
    </w:p>
  </w:footnote>
  <w:footnote w:type="continuationSeparator" w:id="0">
    <w:p w14:paraId="4FA19C9B" w14:textId="77777777" w:rsidR="00E26217" w:rsidRDefault="00E26217"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D2A4" w14:textId="702D1144" w:rsidR="00DC489D" w:rsidRDefault="00DC489D">
    <w:pPr>
      <w:pStyle w:val="Header"/>
    </w:pPr>
    <w:r>
      <w:ptab w:relativeTo="margin" w:alignment="center" w:leader="none"/>
    </w:r>
    <w:r>
      <w:ptab w:relativeTo="margin" w:alignment="right" w:leader="none"/>
    </w:r>
    <w:r w:rsidR="0087253F" w:rsidRPr="0087253F">
      <w:t xml:space="preserve"> </w:t>
    </w:r>
    <w:proofErr w:type="spellStart"/>
    <w:r w:rsidR="0087253F" w:rsidRPr="0087253F">
      <w:t>Westario</w:t>
    </w:r>
    <w:proofErr w:type="spellEnd"/>
    <w:r w:rsidR="0087253F" w:rsidRPr="0087253F">
      <w:t xml:space="preserve"> Power Inc.</w:t>
    </w:r>
    <w:r>
      <w:tab/>
    </w:r>
    <w:r>
      <w:tab/>
      <w:t>OEB Staff Questions</w:t>
    </w:r>
  </w:p>
  <w:p w14:paraId="31F1E28E" w14:textId="4F6F6A1F" w:rsidR="00DC489D" w:rsidRDefault="00DC489D">
    <w:pPr>
      <w:pStyle w:val="Header"/>
    </w:pPr>
    <w:r>
      <w:tab/>
    </w:r>
    <w:r>
      <w:tab/>
      <w:t>EB-20</w:t>
    </w:r>
    <w:r w:rsidR="0012270C">
      <w:t>24</w:t>
    </w:r>
    <w:r>
      <w:t>-</w:t>
    </w:r>
    <w:r w:rsidR="0012270C">
      <w:t>0060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DD3"/>
    <w:multiLevelType w:val="hybridMultilevel"/>
    <w:tmpl w:val="87960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0AB7"/>
    <w:multiLevelType w:val="hybridMultilevel"/>
    <w:tmpl w:val="02C0D7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11C05"/>
    <w:multiLevelType w:val="hybridMultilevel"/>
    <w:tmpl w:val="A0882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E1DAB"/>
    <w:multiLevelType w:val="hybridMultilevel"/>
    <w:tmpl w:val="52C251EE"/>
    <w:lvl w:ilvl="0" w:tplc="FE325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25E27"/>
    <w:multiLevelType w:val="multilevel"/>
    <w:tmpl w:val="71D2D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E76A3"/>
    <w:multiLevelType w:val="multilevel"/>
    <w:tmpl w:val="5CA6B9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55047C"/>
    <w:multiLevelType w:val="hybridMultilevel"/>
    <w:tmpl w:val="7ADCD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D292D"/>
    <w:multiLevelType w:val="hybridMultilevel"/>
    <w:tmpl w:val="8032797A"/>
    <w:lvl w:ilvl="0" w:tplc="AE94F7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074F3"/>
    <w:multiLevelType w:val="multilevel"/>
    <w:tmpl w:val="9F18FF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7641DF"/>
    <w:multiLevelType w:val="hybridMultilevel"/>
    <w:tmpl w:val="36FA6046"/>
    <w:lvl w:ilvl="0" w:tplc="BC4EB5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C6048"/>
    <w:multiLevelType w:val="hybridMultilevel"/>
    <w:tmpl w:val="0560AC1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C6284"/>
    <w:multiLevelType w:val="multilevel"/>
    <w:tmpl w:val="78D63B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177EF7"/>
    <w:multiLevelType w:val="multilevel"/>
    <w:tmpl w:val="5280592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8D9365C"/>
    <w:multiLevelType w:val="multilevel"/>
    <w:tmpl w:val="45181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E6662"/>
    <w:multiLevelType w:val="hybridMultilevel"/>
    <w:tmpl w:val="607E2E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63E3B"/>
    <w:multiLevelType w:val="multilevel"/>
    <w:tmpl w:val="2D1005A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870281"/>
    <w:multiLevelType w:val="hybridMultilevel"/>
    <w:tmpl w:val="3D544F30"/>
    <w:lvl w:ilvl="0" w:tplc="64C42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7599E"/>
    <w:multiLevelType w:val="hybridMultilevel"/>
    <w:tmpl w:val="1F30F584"/>
    <w:lvl w:ilvl="0" w:tplc="6B865E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0930F0"/>
    <w:multiLevelType w:val="hybridMultilevel"/>
    <w:tmpl w:val="68D65972"/>
    <w:lvl w:ilvl="0" w:tplc="03981BEA">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D3A9F"/>
    <w:multiLevelType w:val="hybridMultilevel"/>
    <w:tmpl w:val="BABA24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105EF"/>
    <w:multiLevelType w:val="multilevel"/>
    <w:tmpl w:val="BB789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F887E6B"/>
    <w:multiLevelType w:val="hybridMultilevel"/>
    <w:tmpl w:val="C186E6C6"/>
    <w:lvl w:ilvl="0" w:tplc="CDFCBB2C">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0F621E"/>
    <w:multiLevelType w:val="hybridMultilevel"/>
    <w:tmpl w:val="5B32F3D0"/>
    <w:lvl w:ilvl="0" w:tplc="56A8E2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72489"/>
    <w:multiLevelType w:val="hybridMultilevel"/>
    <w:tmpl w:val="05120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77FE8"/>
    <w:multiLevelType w:val="hybridMultilevel"/>
    <w:tmpl w:val="2460C5F4"/>
    <w:lvl w:ilvl="0" w:tplc="772C5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83707"/>
    <w:multiLevelType w:val="multilevel"/>
    <w:tmpl w:val="A83C8C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3E65589"/>
    <w:multiLevelType w:val="hybridMultilevel"/>
    <w:tmpl w:val="7DDCE328"/>
    <w:lvl w:ilvl="0" w:tplc="8F2E4B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32A48"/>
    <w:multiLevelType w:val="multilevel"/>
    <w:tmpl w:val="69624C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55A30C86"/>
    <w:multiLevelType w:val="hybridMultilevel"/>
    <w:tmpl w:val="5F247684"/>
    <w:lvl w:ilvl="0" w:tplc="16C610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F1D2B"/>
    <w:multiLevelType w:val="multilevel"/>
    <w:tmpl w:val="67827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2E1FE1"/>
    <w:multiLevelType w:val="multilevel"/>
    <w:tmpl w:val="840C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B31D11"/>
    <w:multiLevelType w:val="hybridMultilevel"/>
    <w:tmpl w:val="B0A41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C75F5"/>
    <w:multiLevelType w:val="multilevel"/>
    <w:tmpl w:val="06880F32"/>
    <w:lvl w:ilvl="0">
      <w:start w:val="1"/>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566C68"/>
    <w:multiLevelType w:val="multilevel"/>
    <w:tmpl w:val="505A19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872CAF"/>
    <w:multiLevelType w:val="hybridMultilevel"/>
    <w:tmpl w:val="475E774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D04D76"/>
    <w:multiLevelType w:val="hybridMultilevel"/>
    <w:tmpl w:val="7F242D74"/>
    <w:lvl w:ilvl="0" w:tplc="879CD6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8695F"/>
    <w:multiLevelType w:val="hybridMultilevel"/>
    <w:tmpl w:val="45C89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435A93"/>
    <w:multiLevelType w:val="hybridMultilevel"/>
    <w:tmpl w:val="D9344442"/>
    <w:lvl w:ilvl="0" w:tplc="03FA0372">
      <w:start w:val="1"/>
      <w:numFmt w:val="upperRoman"/>
      <w:lvlText w:val="%1."/>
      <w:lvlJc w:val="left"/>
      <w:pPr>
        <w:ind w:left="108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2F31AD"/>
    <w:multiLevelType w:val="hybridMultilevel"/>
    <w:tmpl w:val="39CEF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702D4"/>
    <w:multiLevelType w:val="multilevel"/>
    <w:tmpl w:val="6CC2B7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DAB00E8"/>
    <w:multiLevelType w:val="multilevel"/>
    <w:tmpl w:val="FFECB7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0D44C5C"/>
    <w:multiLevelType w:val="hybridMultilevel"/>
    <w:tmpl w:val="05E69E5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FB5DE2"/>
    <w:multiLevelType w:val="hybridMultilevel"/>
    <w:tmpl w:val="44165C0E"/>
    <w:lvl w:ilvl="0" w:tplc="768A1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276C92"/>
    <w:multiLevelType w:val="hybridMultilevel"/>
    <w:tmpl w:val="1F30F584"/>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90E6E05"/>
    <w:multiLevelType w:val="hybridMultilevel"/>
    <w:tmpl w:val="5E208976"/>
    <w:lvl w:ilvl="0" w:tplc="257ED628">
      <w:start w:val="1"/>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102D2D"/>
    <w:multiLevelType w:val="multilevel"/>
    <w:tmpl w:val="9490FCA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7D865CE9"/>
    <w:multiLevelType w:val="hybridMultilevel"/>
    <w:tmpl w:val="184699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352183">
    <w:abstractNumId w:val="7"/>
  </w:num>
  <w:num w:numId="2" w16cid:durableId="770853019">
    <w:abstractNumId w:val="14"/>
  </w:num>
  <w:num w:numId="3" w16cid:durableId="1488477207">
    <w:abstractNumId w:val="17"/>
  </w:num>
  <w:num w:numId="4" w16cid:durableId="1742605521">
    <w:abstractNumId w:val="19"/>
  </w:num>
  <w:num w:numId="5" w16cid:durableId="1595940649">
    <w:abstractNumId w:val="43"/>
  </w:num>
  <w:num w:numId="6" w16cid:durableId="298726790">
    <w:abstractNumId w:val="38"/>
  </w:num>
  <w:num w:numId="7" w16cid:durableId="778767477">
    <w:abstractNumId w:val="28"/>
  </w:num>
  <w:num w:numId="8" w16cid:durableId="70398935">
    <w:abstractNumId w:val="46"/>
  </w:num>
  <w:num w:numId="9" w16cid:durableId="516038223">
    <w:abstractNumId w:val="18"/>
  </w:num>
  <w:num w:numId="10" w16cid:durableId="1122531356">
    <w:abstractNumId w:val="36"/>
  </w:num>
  <w:num w:numId="11" w16cid:durableId="1907912262">
    <w:abstractNumId w:val="0"/>
  </w:num>
  <w:num w:numId="12" w16cid:durableId="1125541128">
    <w:abstractNumId w:val="37"/>
  </w:num>
  <w:num w:numId="13" w16cid:durableId="1190335552">
    <w:abstractNumId w:val="23"/>
  </w:num>
  <w:num w:numId="14" w16cid:durableId="1221868668">
    <w:abstractNumId w:val="22"/>
  </w:num>
  <w:num w:numId="15" w16cid:durableId="614949040">
    <w:abstractNumId w:val="1"/>
  </w:num>
  <w:num w:numId="16" w16cid:durableId="1260137481">
    <w:abstractNumId w:val="42"/>
  </w:num>
  <w:num w:numId="17" w16cid:durableId="954363142">
    <w:abstractNumId w:val="6"/>
  </w:num>
  <w:num w:numId="18" w16cid:durableId="1608198723">
    <w:abstractNumId w:val="32"/>
  </w:num>
  <w:num w:numId="19" w16cid:durableId="929122300">
    <w:abstractNumId w:val="39"/>
  </w:num>
  <w:num w:numId="20" w16cid:durableId="1883975692">
    <w:abstractNumId w:val="45"/>
  </w:num>
  <w:num w:numId="21" w16cid:durableId="679814249">
    <w:abstractNumId w:val="25"/>
  </w:num>
  <w:num w:numId="22" w16cid:durableId="851531977">
    <w:abstractNumId w:val="11"/>
  </w:num>
  <w:num w:numId="23" w16cid:durableId="1471943706">
    <w:abstractNumId w:val="30"/>
  </w:num>
  <w:num w:numId="24" w16cid:durableId="899052842">
    <w:abstractNumId w:val="4"/>
  </w:num>
  <w:num w:numId="25" w16cid:durableId="2033604183">
    <w:abstractNumId w:val="27"/>
  </w:num>
  <w:num w:numId="26" w16cid:durableId="539974612">
    <w:abstractNumId w:val="20"/>
  </w:num>
  <w:num w:numId="27" w16cid:durableId="399325353">
    <w:abstractNumId w:val="13"/>
  </w:num>
  <w:num w:numId="28" w16cid:durableId="176627408">
    <w:abstractNumId w:val="29"/>
  </w:num>
  <w:num w:numId="29" w16cid:durableId="981622317">
    <w:abstractNumId w:val="33"/>
  </w:num>
  <w:num w:numId="30" w16cid:durableId="855462448">
    <w:abstractNumId w:val="12"/>
  </w:num>
  <w:num w:numId="31" w16cid:durableId="923337359">
    <w:abstractNumId w:val="15"/>
  </w:num>
  <w:num w:numId="32" w16cid:durableId="916866860">
    <w:abstractNumId w:val="8"/>
  </w:num>
  <w:num w:numId="33" w16cid:durableId="1572739142">
    <w:abstractNumId w:val="5"/>
  </w:num>
  <w:num w:numId="34" w16cid:durableId="1898977832">
    <w:abstractNumId w:val="40"/>
  </w:num>
  <w:num w:numId="35" w16cid:durableId="412312589">
    <w:abstractNumId w:val="10"/>
  </w:num>
  <w:num w:numId="36" w16cid:durableId="793451489">
    <w:abstractNumId w:val="16"/>
  </w:num>
  <w:num w:numId="37" w16cid:durableId="1419398986">
    <w:abstractNumId w:val="44"/>
  </w:num>
  <w:num w:numId="38" w16cid:durableId="690647904">
    <w:abstractNumId w:val="41"/>
  </w:num>
  <w:num w:numId="39" w16cid:durableId="1654330960">
    <w:abstractNumId w:val="34"/>
  </w:num>
  <w:num w:numId="40" w16cid:durableId="1613895189">
    <w:abstractNumId w:val="31"/>
  </w:num>
  <w:num w:numId="41" w16cid:durableId="1553734759">
    <w:abstractNumId w:val="21"/>
  </w:num>
  <w:num w:numId="42" w16cid:durableId="5442389">
    <w:abstractNumId w:val="9"/>
  </w:num>
  <w:num w:numId="43" w16cid:durableId="223419868">
    <w:abstractNumId w:val="35"/>
  </w:num>
  <w:num w:numId="44" w16cid:durableId="490559003">
    <w:abstractNumId w:val="3"/>
  </w:num>
  <w:num w:numId="45" w16cid:durableId="1244415903">
    <w:abstractNumId w:val="2"/>
  </w:num>
  <w:num w:numId="46" w16cid:durableId="1951007141">
    <w:abstractNumId w:val="24"/>
  </w:num>
  <w:num w:numId="47" w16cid:durableId="181883425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163E"/>
    <w:rsid w:val="000147FA"/>
    <w:rsid w:val="000149EE"/>
    <w:rsid w:val="00025FB2"/>
    <w:rsid w:val="0003073C"/>
    <w:rsid w:val="00035337"/>
    <w:rsid w:val="00053A23"/>
    <w:rsid w:val="00054071"/>
    <w:rsid w:val="0006126D"/>
    <w:rsid w:val="00063B82"/>
    <w:rsid w:val="00067F57"/>
    <w:rsid w:val="00071BEC"/>
    <w:rsid w:val="0007231B"/>
    <w:rsid w:val="00074514"/>
    <w:rsid w:val="000773CC"/>
    <w:rsid w:val="00080BC3"/>
    <w:rsid w:val="000810FF"/>
    <w:rsid w:val="000832D4"/>
    <w:rsid w:val="00085A7E"/>
    <w:rsid w:val="00087D85"/>
    <w:rsid w:val="00090160"/>
    <w:rsid w:val="00090A8F"/>
    <w:rsid w:val="00092067"/>
    <w:rsid w:val="000B105B"/>
    <w:rsid w:val="000B3E7E"/>
    <w:rsid w:val="000B518F"/>
    <w:rsid w:val="000B6522"/>
    <w:rsid w:val="000B7AB0"/>
    <w:rsid w:val="000C06B1"/>
    <w:rsid w:val="000C4E62"/>
    <w:rsid w:val="000D223C"/>
    <w:rsid w:val="000D5D52"/>
    <w:rsid w:val="000E3600"/>
    <w:rsid w:val="000E4006"/>
    <w:rsid w:val="000E5621"/>
    <w:rsid w:val="000F0FAF"/>
    <w:rsid w:val="000F1E3A"/>
    <w:rsid w:val="00120B7C"/>
    <w:rsid w:val="0012270C"/>
    <w:rsid w:val="00122B95"/>
    <w:rsid w:val="00123467"/>
    <w:rsid w:val="00127BD8"/>
    <w:rsid w:val="001333FD"/>
    <w:rsid w:val="00133BE1"/>
    <w:rsid w:val="0015211B"/>
    <w:rsid w:val="0015425F"/>
    <w:rsid w:val="00155BDB"/>
    <w:rsid w:val="00156609"/>
    <w:rsid w:val="00161E17"/>
    <w:rsid w:val="00164E99"/>
    <w:rsid w:val="00165574"/>
    <w:rsid w:val="001676F7"/>
    <w:rsid w:val="00176155"/>
    <w:rsid w:val="00183CC8"/>
    <w:rsid w:val="00187E9B"/>
    <w:rsid w:val="00190BBF"/>
    <w:rsid w:val="001927C2"/>
    <w:rsid w:val="001A33F6"/>
    <w:rsid w:val="001A4DCD"/>
    <w:rsid w:val="001B2333"/>
    <w:rsid w:val="001B3F9F"/>
    <w:rsid w:val="001D2D56"/>
    <w:rsid w:val="001D526D"/>
    <w:rsid w:val="001F5175"/>
    <w:rsid w:val="00200F7F"/>
    <w:rsid w:val="00201A5D"/>
    <w:rsid w:val="002024B5"/>
    <w:rsid w:val="00203092"/>
    <w:rsid w:val="00206C2F"/>
    <w:rsid w:val="00207E0D"/>
    <w:rsid w:val="002155F3"/>
    <w:rsid w:val="00220105"/>
    <w:rsid w:val="002208C0"/>
    <w:rsid w:val="00222A98"/>
    <w:rsid w:val="00224C06"/>
    <w:rsid w:val="002320D6"/>
    <w:rsid w:val="00235FB4"/>
    <w:rsid w:val="00244D04"/>
    <w:rsid w:val="0025687C"/>
    <w:rsid w:val="00260503"/>
    <w:rsid w:val="00260EFD"/>
    <w:rsid w:val="00265DC9"/>
    <w:rsid w:val="00273BEF"/>
    <w:rsid w:val="00274A48"/>
    <w:rsid w:val="00291CCC"/>
    <w:rsid w:val="002930F0"/>
    <w:rsid w:val="00295EED"/>
    <w:rsid w:val="002A6415"/>
    <w:rsid w:val="002B7B7C"/>
    <w:rsid w:val="002C2BF2"/>
    <w:rsid w:val="002C5783"/>
    <w:rsid w:val="002C5B8E"/>
    <w:rsid w:val="002C7EF6"/>
    <w:rsid w:val="002D4924"/>
    <w:rsid w:val="002E4656"/>
    <w:rsid w:val="002F4756"/>
    <w:rsid w:val="00302509"/>
    <w:rsid w:val="003049C5"/>
    <w:rsid w:val="00307E45"/>
    <w:rsid w:val="00313788"/>
    <w:rsid w:val="00320057"/>
    <w:rsid w:val="003205B7"/>
    <w:rsid w:val="00323344"/>
    <w:rsid w:val="003303BF"/>
    <w:rsid w:val="00330832"/>
    <w:rsid w:val="00333C99"/>
    <w:rsid w:val="00333D46"/>
    <w:rsid w:val="00340C00"/>
    <w:rsid w:val="00344C55"/>
    <w:rsid w:val="0034704F"/>
    <w:rsid w:val="003533BD"/>
    <w:rsid w:val="00356AAD"/>
    <w:rsid w:val="00367624"/>
    <w:rsid w:val="003702D1"/>
    <w:rsid w:val="0037368D"/>
    <w:rsid w:val="0037398C"/>
    <w:rsid w:val="00373FAD"/>
    <w:rsid w:val="0037754C"/>
    <w:rsid w:val="003777B5"/>
    <w:rsid w:val="003832E7"/>
    <w:rsid w:val="0039575A"/>
    <w:rsid w:val="003A0109"/>
    <w:rsid w:val="003A0839"/>
    <w:rsid w:val="003A20A0"/>
    <w:rsid w:val="003A58B0"/>
    <w:rsid w:val="003C355D"/>
    <w:rsid w:val="003C35E0"/>
    <w:rsid w:val="003C74D6"/>
    <w:rsid w:val="003D1553"/>
    <w:rsid w:val="003D2D30"/>
    <w:rsid w:val="003D73EB"/>
    <w:rsid w:val="003F38E8"/>
    <w:rsid w:val="00400DFC"/>
    <w:rsid w:val="00411D54"/>
    <w:rsid w:val="00412DC6"/>
    <w:rsid w:val="00416970"/>
    <w:rsid w:val="00425009"/>
    <w:rsid w:val="00430E3C"/>
    <w:rsid w:val="0043448B"/>
    <w:rsid w:val="004377B0"/>
    <w:rsid w:val="0044401B"/>
    <w:rsid w:val="004619EC"/>
    <w:rsid w:val="00464160"/>
    <w:rsid w:val="00472C81"/>
    <w:rsid w:val="00475032"/>
    <w:rsid w:val="004825AD"/>
    <w:rsid w:val="00483439"/>
    <w:rsid w:val="004859EF"/>
    <w:rsid w:val="00486707"/>
    <w:rsid w:val="004874F3"/>
    <w:rsid w:val="004975CD"/>
    <w:rsid w:val="00497D08"/>
    <w:rsid w:val="004A2FDE"/>
    <w:rsid w:val="004A57FD"/>
    <w:rsid w:val="004C3156"/>
    <w:rsid w:val="004C35FF"/>
    <w:rsid w:val="004C5E4C"/>
    <w:rsid w:val="004D7E67"/>
    <w:rsid w:val="004E39EF"/>
    <w:rsid w:val="004E4062"/>
    <w:rsid w:val="005028BB"/>
    <w:rsid w:val="005055AF"/>
    <w:rsid w:val="00510C70"/>
    <w:rsid w:val="00511EC2"/>
    <w:rsid w:val="00515038"/>
    <w:rsid w:val="005164F5"/>
    <w:rsid w:val="0052027D"/>
    <w:rsid w:val="00522A0C"/>
    <w:rsid w:val="0052560F"/>
    <w:rsid w:val="005362ED"/>
    <w:rsid w:val="00544B93"/>
    <w:rsid w:val="005477E1"/>
    <w:rsid w:val="00560228"/>
    <w:rsid w:val="00564928"/>
    <w:rsid w:val="005666F2"/>
    <w:rsid w:val="00572064"/>
    <w:rsid w:val="00584369"/>
    <w:rsid w:val="00585168"/>
    <w:rsid w:val="00586291"/>
    <w:rsid w:val="00587A35"/>
    <w:rsid w:val="00587A6B"/>
    <w:rsid w:val="005A3A37"/>
    <w:rsid w:val="005C236E"/>
    <w:rsid w:val="005C4EC4"/>
    <w:rsid w:val="005C7FFB"/>
    <w:rsid w:val="005D2D63"/>
    <w:rsid w:val="005D3303"/>
    <w:rsid w:val="005D3A7A"/>
    <w:rsid w:val="005D5EBF"/>
    <w:rsid w:val="005E00CF"/>
    <w:rsid w:val="005E27C0"/>
    <w:rsid w:val="005E6001"/>
    <w:rsid w:val="005F4693"/>
    <w:rsid w:val="00602A4E"/>
    <w:rsid w:val="00603C84"/>
    <w:rsid w:val="00612102"/>
    <w:rsid w:val="00617437"/>
    <w:rsid w:val="00623602"/>
    <w:rsid w:val="00623C9E"/>
    <w:rsid w:val="00624503"/>
    <w:rsid w:val="006276CE"/>
    <w:rsid w:val="006378DE"/>
    <w:rsid w:val="0064065F"/>
    <w:rsid w:val="0064279A"/>
    <w:rsid w:val="0064641C"/>
    <w:rsid w:val="00651C98"/>
    <w:rsid w:val="00661241"/>
    <w:rsid w:val="0067434A"/>
    <w:rsid w:val="00675472"/>
    <w:rsid w:val="006804AE"/>
    <w:rsid w:val="00684DE8"/>
    <w:rsid w:val="00690592"/>
    <w:rsid w:val="00691636"/>
    <w:rsid w:val="006953B7"/>
    <w:rsid w:val="006A0C13"/>
    <w:rsid w:val="006A1257"/>
    <w:rsid w:val="006A40D2"/>
    <w:rsid w:val="006A5D23"/>
    <w:rsid w:val="006C2C96"/>
    <w:rsid w:val="006D3A87"/>
    <w:rsid w:val="006D5346"/>
    <w:rsid w:val="006E3D58"/>
    <w:rsid w:val="006E49DC"/>
    <w:rsid w:val="006E71FF"/>
    <w:rsid w:val="006F0FA5"/>
    <w:rsid w:val="006F29E4"/>
    <w:rsid w:val="006F7E9D"/>
    <w:rsid w:val="00704EE5"/>
    <w:rsid w:val="007066E2"/>
    <w:rsid w:val="0072241F"/>
    <w:rsid w:val="00722640"/>
    <w:rsid w:val="0073197E"/>
    <w:rsid w:val="007319E1"/>
    <w:rsid w:val="00742624"/>
    <w:rsid w:val="00746080"/>
    <w:rsid w:val="007508EC"/>
    <w:rsid w:val="00752BD5"/>
    <w:rsid w:val="00765ECF"/>
    <w:rsid w:val="00772B57"/>
    <w:rsid w:val="0077304A"/>
    <w:rsid w:val="00773BA4"/>
    <w:rsid w:val="00781602"/>
    <w:rsid w:val="00781D04"/>
    <w:rsid w:val="00786633"/>
    <w:rsid w:val="007A0A69"/>
    <w:rsid w:val="007B222D"/>
    <w:rsid w:val="007C2D45"/>
    <w:rsid w:val="007D76D2"/>
    <w:rsid w:val="007F0D24"/>
    <w:rsid w:val="007F49EB"/>
    <w:rsid w:val="007F65ED"/>
    <w:rsid w:val="007F7F7B"/>
    <w:rsid w:val="008026B8"/>
    <w:rsid w:val="00805FDA"/>
    <w:rsid w:val="00812C1B"/>
    <w:rsid w:val="008173B1"/>
    <w:rsid w:val="0081762E"/>
    <w:rsid w:val="00827191"/>
    <w:rsid w:val="00831D9D"/>
    <w:rsid w:val="00835AD0"/>
    <w:rsid w:val="008413D8"/>
    <w:rsid w:val="00841787"/>
    <w:rsid w:val="00841956"/>
    <w:rsid w:val="00841DE9"/>
    <w:rsid w:val="00846240"/>
    <w:rsid w:val="0085360B"/>
    <w:rsid w:val="00854534"/>
    <w:rsid w:val="00855206"/>
    <w:rsid w:val="00862367"/>
    <w:rsid w:val="00870ABB"/>
    <w:rsid w:val="0087253F"/>
    <w:rsid w:val="008747B3"/>
    <w:rsid w:val="00880619"/>
    <w:rsid w:val="00880DF4"/>
    <w:rsid w:val="008813C3"/>
    <w:rsid w:val="00884556"/>
    <w:rsid w:val="008926F0"/>
    <w:rsid w:val="00893907"/>
    <w:rsid w:val="008964E8"/>
    <w:rsid w:val="00897A01"/>
    <w:rsid w:val="008A48F6"/>
    <w:rsid w:val="008B2A39"/>
    <w:rsid w:val="008B6DA3"/>
    <w:rsid w:val="008D537A"/>
    <w:rsid w:val="008E6045"/>
    <w:rsid w:val="008E637A"/>
    <w:rsid w:val="008F2BEA"/>
    <w:rsid w:val="008F4805"/>
    <w:rsid w:val="0090113B"/>
    <w:rsid w:val="00912E4C"/>
    <w:rsid w:val="00917D62"/>
    <w:rsid w:val="0092340A"/>
    <w:rsid w:val="00927383"/>
    <w:rsid w:val="0093258A"/>
    <w:rsid w:val="00934B0B"/>
    <w:rsid w:val="0094373C"/>
    <w:rsid w:val="00946DEE"/>
    <w:rsid w:val="00951E2B"/>
    <w:rsid w:val="00952939"/>
    <w:rsid w:val="0095566D"/>
    <w:rsid w:val="00961EA0"/>
    <w:rsid w:val="0097263A"/>
    <w:rsid w:val="00974DB8"/>
    <w:rsid w:val="00975631"/>
    <w:rsid w:val="009768B0"/>
    <w:rsid w:val="00977618"/>
    <w:rsid w:val="00987E30"/>
    <w:rsid w:val="00992E9D"/>
    <w:rsid w:val="009A2F8F"/>
    <w:rsid w:val="009A5C44"/>
    <w:rsid w:val="009A7BB6"/>
    <w:rsid w:val="009B03AF"/>
    <w:rsid w:val="009B21C1"/>
    <w:rsid w:val="009C3BDE"/>
    <w:rsid w:val="009C4216"/>
    <w:rsid w:val="009C4688"/>
    <w:rsid w:val="009C5427"/>
    <w:rsid w:val="009D1036"/>
    <w:rsid w:val="009D5F4B"/>
    <w:rsid w:val="009E1235"/>
    <w:rsid w:val="009E626E"/>
    <w:rsid w:val="009E7CBF"/>
    <w:rsid w:val="009F0DEC"/>
    <w:rsid w:val="009F37B6"/>
    <w:rsid w:val="009F3CCD"/>
    <w:rsid w:val="009F408F"/>
    <w:rsid w:val="009F7E2B"/>
    <w:rsid w:val="00A02E38"/>
    <w:rsid w:val="00A0340B"/>
    <w:rsid w:val="00A07077"/>
    <w:rsid w:val="00A11CCD"/>
    <w:rsid w:val="00A13C44"/>
    <w:rsid w:val="00A1746D"/>
    <w:rsid w:val="00A20F27"/>
    <w:rsid w:val="00A31BBC"/>
    <w:rsid w:val="00A34578"/>
    <w:rsid w:val="00A40249"/>
    <w:rsid w:val="00A4142C"/>
    <w:rsid w:val="00A50DD0"/>
    <w:rsid w:val="00A516B0"/>
    <w:rsid w:val="00A5620A"/>
    <w:rsid w:val="00A71AD6"/>
    <w:rsid w:val="00A7207A"/>
    <w:rsid w:val="00AA06D9"/>
    <w:rsid w:val="00AA2205"/>
    <w:rsid w:val="00AA4C98"/>
    <w:rsid w:val="00AB251C"/>
    <w:rsid w:val="00AC18BF"/>
    <w:rsid w:val="00AC2406"/>
    <w:rsid w:val="00AC3F54"/>
    <w:rsid w:val="00AC51DC"/>
    <w:rsid w:val="00AD3FCF"/>
    <w:rsid w:val="00AD53AC"/>
    <w:rsid w:val="00AF4DB0"/>
    <w:rsid w:val="00B03802"/>
    <w:rsid w:val="00B069AA"/>
    <w:rsid w:val="00B10BDF"/>
    <w:rsid w:val="00B17896"/>
    <w:rsid w:val="00B21912"/>
    <w:rsid w:val="00B23A36"/>
    <w:rsid w:val="00B25576"/>
    <w:rsid w:val="00B25EF5"/>
    <w:rsid w:val="00B44A64"/>
    <w:rsid w:val="00B46108"/>
    <w:rsid w:val="00B50EB2"/>
    <w:rsid w:val="00B55046"/>
    <w:rsid w:val="00B57A0E"/>
    <w:rsid w:val="00B63F5A"/>
    <w:rsid w:val="00B64727"/>
    <w:rsid w:val="00B6486A"/>
    <w:rsid w:val="00B6722A"/>
    <w:rsid w:val="00B71033"/>
    <w:rsid w:val="00B7496F"/>
    <w:rsid w:val="00B80B34"/>
    <w:rsid w:val="00B82D78"/>
    <w:rsid w:val="00BA1383"/>
    <w:rsid w:val="00BA2EBC"/>
    <w:rsid w:val="00BA434C"/>
    <w:rsid w:val="00BB149C"/>
    <w:rsid w:val="00BD49CD"/>
    <w:rsid w:val="00BD4F65"/>
    <w:rsid w:val="00BD5E58"/>
    <w:rsid w:val="00BD7607"/>
    <w:rsid w:val="00BF2AD5"/>
    <w:rsid w:val="00C06F9E"/>
    <w:rsid w:val="00C13E6B"/>
    <w:rsid w:val="00C2370B"/>
    <w:rsid w:val="00C24B34"/>
    <w:rsid w:val="00C26F99"/>
    <w:rsid w:val="00C27193"/>
    <w:rsid w:val="00C376F1"/>
    <w:rsid w:val="00C37BF2"/>
    <w:rsid w:val="00C41148"/>
    <w:rsid w:val="00C531FE"/>
    <w:rsid w:val="00C60968"/>
    <w:rsid w:val="00C624D5"/>
    <w:rsid w:val="00C64286"/>
    <w:rsid w:val="00C65FEF"/>
    <w:rsid w:val="00C7318B"/>
    <w:rsid w:val="00C810B3"/>
    <w:rsid w:val="00C83E9A"/>
    <w:rsid w:val="00C848A0"/>
    <w:rsid w:val="00C859E5"/>
    <w:rsid w:val="00C878C5"/>
    <w:rsid w:val="00C92CED"/>
    <w:rsid w:val="00C96AEA"/>
    <w:rsid w:val="00CA295B"/>
    <w:rsid w:val="00CA6DC5"/>
    <w:rsid w:val="00CC0B6D"/>
    <w:rsid w:val="00CC16EE"/>
    <w:rsid w:val="00CC764D"/>
    <w:rsid w:val="00CC7C9B"/>
    <w:rsid w:val="00CD01B4"/>
    <w:rsid w:val="00CD7B9F"/>
    <w:rsid w:val="00CD7FD3"/>
    <w:rsid w:val="00CE1CD3"/>
    <w:rsid w:val="00CE4F01"/>
    <w:rsid w:val="00CF2F1F"/>
    <w:rsid w:val="00CF6132"/>
    <w:rsid w:val="00D17B0D"/>
    <w:rsid w:val="00D23709"/>
    <w:rsid w:val="00D25510"/>
    <w:rsid w:val="00D30F16"/>
    <w:rsid w:val="00D36851"/>
    <w:rsid w:val="00D42D87"/>
    <w:rsid w:val="00D45D67"/>
    <w:rsid w:val="00D5456A"/>
    <w:rsid w:val="00D55352"/>
    <w:rsid w:val="00D55546"/>
    <w:rsid w:val="00D57E8C"/>
    <w:rsid w:val="00D6213C"/>
    <w:rsid w:val="00D647C0"/>
    <w:rsid w:val="00D715AC"/>
    <w:rsid w:val="00D74CFC"/>
    <w:rsid w:val="00D76682"/>
    <w:rsid w:val="00D76E10"/>
    <w:rsid w:val="00D76E91"/>
    <w:rsid w:val="00D76E99"/>
    <w:rsid w:val="00D77124"/>
    <w:rsid w:val="00D77694"/>
    <w:rsid w:val="00D77B0F"/>
    <w:rsid w:val="00D85C07"/>
    <w:rsid w:val="00D87529"/>
    <w:rsid w:val="00D90C04"/>
    <w:rsid w:val="00DA20E7"/>
    <w:rsid w:val="00DA48D3"/>
    <w:rsid w:val="00DB6B52"/>
    <w:rsid w:val="00DC489D"/>
    <w:rsid w:val="00DC54F7"/>
    <w:rsid w:val="00DD3616"/>
    <w:rsid w:val="00DD6D39"/>
    <w:rsid w:val="00DD7A99"/>
    <w:rsid w:val="00DE010D"/>
    <w:rsid w:val="00DE3D02"/>
    <w:rsid w:val="00DE5488"/>
    <w:rsid w:val="00DE6C95"/>
    <w:rsid w:val="00DE75AC"/>
    <w:rsid w:val="00DF3BCE"/>
    <w:rsid w:val="00DF5A52"/>
    <w:rsid w:val="00DF5F2C"/>
    <w:rsid w:val="00E02C05"/>
    <w:rsid w:val="00E17C58"/>
    <w:rsid w:val="00E17D39"/>
    <w:rsid w:val="00E231C2"/>
    <w:rsid w:val="00E2458A"/>
    <w:rsid w:val="00E26217"/>
    <w:rsid w:val="00E34CFC"/>
    <w:rsid w:val="00E404EC"/>
    <w:rsid w:val="00E4144D"/>
    <w:rsid w:val="00E429DA"/>
    <w:rsid w:val="00E45234"/>
    <w:rsid w:val="00E54821"/>
    <w:rsid w:val="00E616AB"/>
    <w:rsid w:val="00E62C2A"/>
    <w:rsid w:val="00E66ACA"/>
    <w:rsid w:val="00E7108D"/>
    <w:rsid w:val="00E76169"/>
    <w:rsid w:val="00E810CD"/>
    <w:rsid w:val="00E81F7D"/>
    <w:rsid w:val="00E8586E"/>
    <w:rsid w:val="00E86F26"/>
    <w:rsid w:val="00E87877"/>
    <w:rsid w:val="00E90BA2"/>
    <w:rsid w:val="00E96A06"/>
    <w:rsid w:val="00EA0919"/>
    <w:rsid w:val="00EA3444"/>
    <w:rsid w:val="00EB5240"/>
    <w:rsid w:val="00EB58CA"/>
    <w:rsid w:val="00EC0B55"/>
    <w:rsid w:val="00EC23D3"/>
    <w:rsid w:val="00ED1A14"/>
    <w:rsid w:val="00ED3109"/>
    <w:rsid w:val="00ED5524"/>
    <w:rsid w:val="00ED7B71"/>
    <w:rsid w:val="00EE2C9B"/>
    <w:rsid w:val="00EE3753"/>
    <w:rsid w:val="00EF4A74"/>
    <w:rsid w:val="00EF5DD8"/>
    <w:rsid w:val="00EF7798"/>
    <w:rsid w:val="00F01997"/>
    <w:rsid w:val="00F034BF"/>
    <w:rsid w:val="00F15DF7"/>
    <w:rsid w:val="00F16AFB"/>
    <w:rsid w:val="00F219B6"/>
    <w:rsid w:val="00F2308B"/>
    <w:rsid w:val="00F233A3"/>
    <w:rsid w:val="00F23D7A"/>
    <w:rsid w:val="00F24F40"/>
    <w:rsid w:val="00F26D30"/>
    <w:rsid w:val="00F320CD"/>
    <w:rsid w:val="00F57152"/>
    <w:rsid w:val="00F619A8"/>
    <w:rsid w:val="00F719E7"/>
    <w:rsid w:val="00F71B9A"/>
    <w:rsid w:val="00F7362C"/>
    <w:rsid w:val="00F819E0"/>
    <w:rsid w:val="00F92F61"/>
    <w:rsid w:val="00F9659C"/>
    <w:rsid w:val="00FA1D66"/>
    <w:rsid w:val="00FA3242"/>
    <w:rsid w:val="00FB3021"/>
    <w:rsid w:val="00FB5132"/>
    <w:rsid w:val="00FB5BFC"/>
    <w:rsid w:val="00FB6F10"/>
    <w:rsid w:val="00FC4CF8"/>
    <w:rsid w:val="00FC5DA7"/>
    <w:rsid w:val="00FC7617"/>
    <w:rsid w:val="00FE528E"/>
    <w:rsid w:val="00FF0F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customStyle="1" w:styleId="normaltextrun">
    <w:name w:val="normaltextrun"/>
    <w:basedOn w:val="DefaultParagraphFont"/>
    <w:rsid w:val="006F0FA5"/>
  </w:style>
  <w:style w:type="character" w:customStyle="1" w:styleId="eop">
    <w:name w:val="eop"/>
    <w:basedOn w:val="DefaultParagraphFont"/>
    <w:rsid w:val="006F0FA5"/>
  </w:style>
  <w:style w:type="character" w:styleId="Mention">
    <w:name w:val="Mention"/>
    <w:basedOn w:val="DefaultParagraphFont"/>
    <w:uiPriority w:val="99"/>
    <w:unhideWhenUsed/>
    <w:rsid w:val="00092067"/>
    <w:rPr>
      <w:color w:val="2B579A"/>
      <w:shd w:val="clear" w:color="auto" w:fill="E1DFDD"/>
    </w:rPr>
  </w:style>
  <w:style w:type="paragraph" w:customStyle="1" w:styleId="paragraph">
    <w:name w:val="paragraph"/>
    <w:basedOn w:val="Normal"/>
    <w:rsid w:val="00FF0F4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920286708">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204252146">
      <w:bodyDiv w:val="1"/>
      <w:marLeft w:val="0"/>
      <w:marRight w:val="0"/>
      <w:marTop w:val="0"/>
      <w:marBottom w:val="0"/>
      <w:divBdr>
        <w:top w:val="none" w:sz="0" w:space="0" w:color="auto"/>
        <w:left w:val="none" w:sz="0" w:space="0" w:color="auto"/>
        <w:bottom w:val="none" w:sz="0" w:space="0" w:color="auto"/>
        <w:right w:val="none" w:sz="0" w:space="0" w:color="auto"/>
      </w:divBdr>
      <w:divsChild>
        <w:div w:id="146213309">
          <w:marLeft w:val="0"/>
          <w:marRight w:val="0"/>
          <w:marTop w:val="0"/>
          <w:marBottom w:val="0"/>
          <w:divBdr>
            <w:top w:val="none" w:sz="0" w:space="0" w:color="auto"/>
            <w:left w:val="none" w:sz="0" w:space="0" w:color="auto"/>
            <w:bottom w:val="none" w:sz="0" w:space="0" w:color="auto"/>
            <w:right w:val="none" w:sz="0" w:space="0" w:color="auto"/>
          </w:divBdr>
          <w:divsChild>
            <w:div w:id="1219198565">
              <w:marLeft w:val="0"/>
              <w:marRight w:val="0"/>
              <w:marTop w:val="0"/>
              <w:marBottom w:val="0"/>
              <w:divBdr>
                <w:top w:val="none" w:sz="0" w:space="0" w:color="auto"/>
                <w:left w:val="none" w:sz="0" w:space="0" w:color="auto"/>
                <w:bottom w:val="none" w:sz="0" w:space="0" w:color="auto"/>
                <w:right w:val="none" w:sz="0" w:space="0" w:color="auto"/>
              </w:divBdr>
            </w:div>
            <w:div w:id="644818644">
              <w:marLeft w:val="0"/>
              <w:marRight w:val="0"/>
              <w:marTop w:val="0"/>
              <w:marBottom w:val="0"/>
              <w:divBdr>
                <w:top w:val="none" w:sz="0" w:space="0" w:color="auto"/>
                <w:left w:val="none" w:sz="0" w:space="0" w:color="auto"/>
                <w:bottom w:val="none" w:sz="0" w:space="0" w:color="auto"/>
                <w:right w:val="none" w:sz="0" w:space="0" w:color="auto"/>
              </w:divBdr>
            </w:div>
            <w:div w:id="813761707">
              <w:marLeft w:val="0"/>
              <w:marRight w:val="0"/>
              <w:marTop w:val="0"/>
              <w:marBottom w:val="0"/>
              <w:divBdr>
                <w:top w:val="none" w:sz="0" w:space="0" w:color="auto"/>
                <w:left w:val="none" w:sz="0" w:space="0" w:color="auto"/>
                <w:bottom w:val="none" w:sz="0" w:space="0" w:color="auto"/>
                <w:right w:val="none" w:sz="0" w:space="0" w:color="auto"/>
              </w:divBdr>
            </w:div>
            <w:div w:id="349451193">
              <w:marLeft w:val="0"/>
              <w:marRight w:val="0"/>
              <w:marTop w:val="0"/>
              <w:marBottom w:val="0"/>
              <w:divBdr>
                <w:top w:val="none" w:sz="0" w:space="0" w:color="auto"/>
                <w:left w:val="none" w:sz="0" w:space="0" w:color="auto"/>
                <w:bottom w:val="none" w:sz="0" w:space="0" w:color="auto"/>
                <w:right w:val="none" w:sz="0" w:space="0" w:color="auto"/>
              </w:divBdr>
            </w:div>
            <w:div w:id="1624917446">
              <w:marLeft w:val="0"/>
              <w:marRight w:val="0"/>
              <w:marTop w:val="0"/>
              <w:marBottom w:val="0"/>
              <w:divBdr>
                <w:top w:val="none" w:sz="0" w:space="0" w:color="auto"/>
                <w:left w:val="none" w:sz="0" w:space="0" w:color="auto"/>
                <w:bottom w:val="none" w:sz="0" w:space="0" w:color="auto"/>
                <w:right w:val="none" w:sz="0" w:space="0" w:color="auto"/>
              </w:divBdr>
            </w:div>
            <w:div w:id="1761830522">
              <w:marLeft w:val="0"/>
              <w:marRight w:val="0"/>
              <w:marTop w:val="0"/>
              <w:marBottom w:val="0"/>
              <w:divBdr>
                <w:top w:val="none" w:sz="0" w:space="0" w:color="auto"/>
                <w:left w:val="none" w:sz="0" w:space="0" w:color="auto"/>
                <w:bottom w:val="none" w:sz="0" w:space="0" w:color="auto"/>
                <w:right w:val="none" w:sz="0" w:space="0" w:color="auto"/>
              </w:divBdr>
            </w:div>
            <w:div w:id="133373049">
              <w:marLeft w:val="0"/>
              <w:marRight w:val="0"/>
              <w:marTop w:val="0"/>
              <w:marBottom w:val="0"/>
              <w:divBdr>
                <w:top w:val="none" w:sz="0" w:space="0" w:color="auto"/>
                <w:left w:val="none" w:sz="0" w:space="0" w:color="auto"/>
                <w:bottom w:val="none" w:sz="0" w:space="0" w:color="auto"/>
                <w:right w:val="none" w:sz="0" w:space="0" w:color="auto"/>
              </w:divBdr>
            </w:div>
            <w:div w:id="1882982615">
              <w:marLeft w:val="0"/>
              <w:marRight w:val="0"/>
              <w:marTop w:val="0"/>
              <w:marBottom w:val="0"/>
              <w:divBdr>
                <w:top w:val="none" w:sz="0" w:space="0" w:color="auto"/>
                <w:left w:val="none" w:sz="0" w:space="0" w:color="auto"/>
                <w:bottom w:val="none" w:sz="0" w:space="0" w:color="auto"/>
                <w:right w:val="none" w:sz="0" w:space="0" w:color="auto"/>
              </w:divBdr>
            </w:div>
            <w:div w:id="842819983">
              <w:marLeft w:val="0"/>
              <w:marRight w:val="0"/>
              <w:marTop w:val="0"/>
              <w:marBottom w:val="0"/>
              <w:divBdr>
                <w:top w:val="none" w:sz="0" w:space="0" w:color="auto"/>
                <w:left w:val="none" w:sz="0" w:space="0" w:color="auto"/>
                <w:bottom w:val="none" w:sz="0" w:space="0" w:color="auto"/>
                <w:right w:val="none" w:sz="0" w:space="0" w:color="auto"/>
              </w:divBdr>
            </w:div>
            <w:div w:id="1283030909">
              <w:marLeft w:val="0"/>
              <w:marRight w:val="0"/>
              <w:marTop w:val="0"/>
              <w:marBottom w:val="0"/>
              <w:divBdr>
                <w:top w:val="none" w:sz="0" w:space="0" w:color="auto"/>
                <w:left w:val="none" w:sz="0" w:space="0" w:color="auto"/>
                <w:bottom w:val="none" w:sz="0" w:space="0" w:color="auto"/>
                <w:right w:val="none" w:sz="0" w:space="0" w:color="auto"/>
              </w:divBdr>
            </w:div>
            <w:div w:id="464391505">
              <w:marLeft w:val="0"/>
              <w:marRight w:val="0"/>
              <w:marTop w:val="0"/>
              <w:marBottom w:val="0"/>
              <w:divBdr>
                <w:top w:val="none" w:sz="0" w:space="0" w:color="auto"/>
                <w:left w:val="none" w:sz="0" w:space="0" w:color="auto"/>
                <w:bottom w:val="none" w:sz="0" w:space="0" w:color="auto"/>
                <w:right w:val="none" w:sz="0" w:space="0" w:color="auto"/>
              </w:divBdr>
            </w:div>
            <w:div w:id="93207239">
              <w:marLeft w:val="0"/>
              <w:marRight w:val="0"/>
              <w:marTop w:val="0"/>
              <w:marBottom w:val="0"/>
              <w:divBdr>
                <w:top w:val="none" w:sz="0" w:space="0" w:color="auto"/>
                <w:left w:val="none" w:sz="0" w:space="0" w:color="auto"/>
                <w:bottom w:val="none" w:sz="0" w:space="0" w:color="auto"/>
                <w:right w:val="none" w:sz="0" w:space="0" w:color="auto"/>
              </w:divBdr>
            </w:div>
            <w:div w:id="1569340579">
              <w:marLeft w:val="0"/>
              <w:marRight w:val="0"/>
              <w:marTop w:val="0"/>
              <w:marBottom w:val="0"/>
              <w:divBdr>
                <w:top w:val="none" w:sz="0" w:space="0" w:color="auto"/>
                <w:left w:val="none" w:sz="0" w:space="0" w:color="auto"/>
                <w:bottom w:val="none" w:sz="0" w:space="0" w:color="auto"/>
                <w:right w:val="none" w:sz="0" w:space="0" w:color="auto"/>
              </w:divBdr>
            </w:div>
            <w:div w:id="1425346109">
              <w:marLeft w:val="0"/>
              <w:marRight w:val="0"/>
              <w:marTop w:val="0"/>
              <w:marBottom w:val="0"/>
              <w:divBdr>
                <w:top w:val="none" w:sz="0" w:space="0" w:color="auto"/>
                <w:left w:val="none" w:sz="0" w:space="0" w:color="auto"/>
                <w:bottom w:val="none" w:sz="0" w:space="0" w:color="auto"/>
                <w:right w:val="none" w:sz="0" w:space="0" w:color="auto"/>
              </w:divBdr>
            </w:div>
            <w:div w:id="920525309">
              <w:marLeft w:val="0"/>
              <w:marRight w:val="0"/>
              <w:marTop w:val="0"/>
              <w:marBottom w:val="0"/>
              <w:divBdr>
                <w:top w:val="none" w:sz="0" w:space="0" w:color="auto"/>
                <w:left w:val="none" w:sz="0" w:space="0" w:color="auto"/>
                <w:bottom w:val="none" w:sz="0" w:space="0" w:color="auto"/>
                <w:right w:val="none" w:sz="0" w:space="0" w:color="auto"/>
              </w:divBdr>
            </w:div>
            <w:div w:id="1925607529">
              <w:marLeft w:val="0"/>
              <w:marRight w:val="0"/>
              <w:marTop w:val="0"/>
              <w:marBottom w:val="0"/>
              <w:divBdr>
                <w:top w:val="none" w:sz="0" w:space="0" w:color="auto"/>
                <w:left w:val="none" w:sz="0" w:space="0" w:color="auto"/>
                <w:bottom w:val="none" w:sz="0" w:space="0" w:color="auto"/>
                <w:right w:val="none" w:sz="0" w:space="0" w:color="auto"/>
              </w:divBdr>
            </w:div>
            <w:div w:id="546648346">
              <w:marLeft w:val="0"/>
              <w:marRight w:val="0"/>
              <w:marTop w:val="0"/>
              <w:marBottom w:val="0"/>
              <w:divBdr>
                <w:top w:val="none" w:sz="0" w:space="0" w:color="auto"/>
                <w:left w:val="none" w:sz="0" w:space="0" w:color="auto"/>
                <w:bottom w:val="none" w:sz="0" w:space="0" w:color="auto"/>
                <w:right w:val="none" w:sz="0" w:space="0" w:color="auto"/>
              </w:divBdr>
            </w:div>
            <w:div w:id="1199391149">
              <w:marLeft w:val="0"/>
              <w:marRight w:val="0"/>
              <w:marTop w:val="0"/>
              <w:marBottom w:val="0"/>
              <w:divBdr>
                <w:top w:val="none" w:sz="0" w:space="0" w:color="auto"/>
                <w:left w:val="none" w:sz="0" w:space="0" w:color="auto"/>
                <w:bottom w:val="none" w:sz="0" w:space="0" w:color="auto"/>
                <w:right w:val="none" w:sz="0" w:space="0" w:color="auto"/>
              </w:divBdr>
            </w:div>
            <w:div w:id="534928137">
              <w:marLeft w:val="0"/>
              <w:marRight w:val="0"/>
              <w:marTop w:val="0"/>
              <w:marBottom w:val="0"/>
              <w:divBdr>
                <w:top w:val="none" w:sz="0" w:space="0" w:color="auto"/>
                <w:left w:val="none" w:sz="0" w:space="0" w:color="auto"/>
                <w:bottom w:val="none" w:sz="0" w:space="0" w:color="auto"/>
                <w:right w:val="none" w:sz="0" w:space="0" w:color="auto"/>
              </w:divBdr>
            </w:div>
            <w:div w:id="233587143">
              <w:marLeft w:val="0"/>
              <w:marRight w:val="0"/>
              <w:marTop w:val="0"/>
              <w:marBottom w:val="0"/>
              <w:divBdr>
                <w:top w:val="none" w:sz="0" w:space="0" w:color="auto"/>
                <w:left w:val="none" w:sz="0" w:space="0" w:color="auto"/>
                <w:bottom w:val="none" w:sz="0" w:space="0" w:color="auto"/>
                <w:right w:val="none" w:sz="0" w:space="0" w:color="auto"/>
              </w:divBdr>
            </w:div>
            <w:div w:id="281039206">
              <w:marLeft w:val="0"/>
              <w:marRight w:val="0"/>
              <w:marTop w:val="0"/>
              <w:marBottom w:val="0"/>
              <w:divBdr>
                <w:top w:val="none" w:sz="0" w:space="0" w:color="auto"/>
                <w:left w:val="none" w:sz="0" w:space="0" w:color="auto"/>
                <w:bottom w:val="none" w:sz="0" w:space="0" w:color="auto"/>
                <w:right w:val="none" w:sz="0" w:space="0" w:color="auto"/>
              </w:divBdr>
            </w:div>
            <w:div w:id="2085833616">
              <w:marLeft w:val="0"/>
              <w:marRight w:val="0"/>
              <w:marTop w:val="0"/>
              <w:marBottom w:val="0"/>
              <w:divBdr>
                <w:top w:val="none" w:sz="0" w:space="0" w:color="auto"/>
                <w:left w:val="none" w:sz="0" w:space="0" w:color="auto"/>
                <w:bottom w:val="none" w:sz="0" w:space="0" w:color="auto"/>
                <w:right w:val="none" w:sz="0" w:space="0" w:color="auto"/>
              </w:divBdr>
            </w:div>
            <w:div w:id="1943342028">
              <w:marLeft w:val="0"/>
              <w:marRight w:val="0"/>
              <w:marTop w:val="0"/>
              <w:marBottom w:val="0"/>
              <w:divBdr>
                <w:top w:val="none" w:sz="0" w:space="0" w:color="auto"/>
                <w:left w:val="none" w:sz="0" w:space="0" w:color="auto"/>
                <w:bottom w:val="none" w:sz="0" w:space="0" w:color="auto"/>
                <w:right w:val="none" w:sz="0" w:space="0" w:color="auto"/>
              </w:divBdr>
            </w:div>
            <w:div w:id="363410987">
              <w:marLeft w:val="0"/>
              <w:marRight w:val="0"/>
              <w:marTop w:val="0"/>
              <w:marBottom w:val="0"/>
              <w:divBdr>
                <w:top w:val="none" w:sz="0" w:space="0" w:color="auto"/>
                <w:left w:val="none" w:sz="0" w:space="0" w:color="auto"/>
                <w:bottom w:val="none" w:sz="0" w:space="0" w:color="auto"/>
                <w:right w:val="none" w:sz="0" w:space="0" w:color="auto"/>
              </w:divBdr>
            </w:div>
            <w:div w:id="782651082">
              <w:marLeft w:val="0"/>
              <w:marRight w:val="0"/>
              <w:marTop w:val="0"/>
              <w:marBottom w:val="0"/>
              <w:divBdr>
                <w:top w:val="none" w:sz="0" w:space="0" w:color="auto"/>
                <w:left w:val="none" w:sz="0" w:space="0" w:color="auto"/>
                <w:bottom w:val="none" w:sz="0" w:space="0" w:color="auto"/>
                <w:right w:val="none" w:sz="0" w:space="0" w:color="auto"/>
              </w:divBdr>
            </w:div>
            <w:div w:id="1219128935">
              <w:marLeft w:val="0"/>
              <w:marRight w:val="0"/>
              <w:marTop w:val="0"/>
              <w:marBottom w:val="0"/>
              <w:divBdr>
                <w:top w:val="none" w:sz="0" w:space="0" w:color="auto"/>
                <w:left w:val="none" w:sz="0" w:space="0" w:color="auto"/>
                <w:bottom w:val="none" w:sz="0" w:space="0" w:color="auto"/>
                <w:right w:val="none" w:sz="0" w:space="0" w:color="auto"/>
              </w:divBdr>
            </w:div>
            <w:div w:id="111753259">
              <w:marLeft w:val="0"/>
              <w:marRight w:val="0"/>
              <w:marTop w:val="0"/>
              <w:marBottom w:val="0"/>
              <w:divBdr>
                <w:top w:val="none" w:sz="0" w:space="0" w:color="auto"/>
                <w:left w:val="none" w:sz="0" w:space="0" w:color="auto"/>
                <w:bottom w:val="none" w:sz="0" w:space="0" w:color="auto"/>
                <w:right w:val="none" w:sz="0" w:space="0" w:color="auto"/>
              </w:divBdr>
            </w:div>
            <w:div w:id="1954902251">
              <w:marLeft w:val="0"/>
              <w:marRight w:val="0"/>
              <w:marTop w:val="0"/>
              <w:marBottom w:val="0"/>
              <w:divBdr>
                <w:top w:val="none" w:sz="0" w:space="0" w:color="auto"/>
                <w:left w:val="none" w:sz="0" w:space="0" w:color="auto"/>
                <w:bottom w:val="none" w:sz="0" w:space="0" w:color="auto"/>
                <w:right w:val="none" w:sz="0" w:space="0" w:color="auto"/>
              </w:divBdr>
            </w:div>
            <w:div w:id="95759252">
              <w:marLeft w:val="0"/>
              <w:marRight w:val="0"/>
              <w:marTop w:val="0"/>
              <w:marBottom w:val="0"/>
              <w:divBdr>
                <w:top w:val="none" w:sz="0" w:space="0" w:color="auto"/>
                <w:left w:val="none" w:sz="0" w:space="0" w:color="auto"/>
                <w:bottom w:val="none" w:sz="0" w:space="0" w:color="auto"/>
                <w:right w:val="none" w:sz="0" w:space="0" w:color="auto"/>
              </w:divBdr>
            </w:div>
            <w:div w:id="1819954115">
              <w:marLeft w:val="0"/>
              <w:marRight w:val="0"/>
              <w:marTop w:val="0"/>
              <w:marBottom w:val="0"/>
              <w:divBdr>
                <w:top w:val="none" w:sz="0" w:space="0" w:color="auto"/>
                <w:left w:val="none" w:sz="0" w:space="0" w:color="auto"/>
                <w:bottom w:val="none" w:sz="0" w:space="0" w:color="auto"/>
                <w:right w:val="none" w:sz="0" w:space="0" w:color="auto"/>
              </w:divBdr>
            </w:div>
            <w:div w:id="399449847">
              <w:marLeft w:val="0"/>
              <w:marRight w:val="0"/>
              <w:marTop w:val="0"/>
              <w:marBottom w:val="0"/>
              <w:divBdr>
                <w:top w:val="none" w:sz="0" w:space="0" w:color="auto"/>
                <w:left w:val="none" w:sz="0" w:space="0" w:color="auto"/>
                <w:bottom w:val="none" w:sz="0" w:space="0" w:color="auto"/>
                <w:right w:val="none" w:sz="0" w:space="0" w:color="auto"/>
              </w:divBdr>
            </w:div>
            <w:div w:id="226915579">
              <w:marLeft w:val="0"/>
              <w:marRight w:val="0"/>
              <w:marTop w:val="0"/>
              <w:marBottom w:val="0"/>
              <w:divBdr>
                <w:top w:val="none" w:sz="0" w:space="0" w:color="auto"/>
                <w:left w:val="none" w:sz="0" w:space="0" w:color="auto"/>
                <w:bottom w:val="none" w:sz="0" w:space="0" w:color="auto"/>
                <w:right w:val="none" w:sz="0" w:space="0" w:color="auto"/>
              </w:divBdr>
            </w:div>
            <w:div w:id="1730299332">
              <w:marLeft w:val="0"/>
              <w:marRight w:val="0"/>
              <w:marTop w:val="0"/>
              <w:marBottom w:val="0"/>
              <w:divBdr>
                <w:top w:val="none" w:sz="0" w:space="0" w:color="auto"/>
                <w:left w:val="none" w:sz="0" w:space="0" w:color="auto"/>
                <w:bottom w:val="none" w:sz="0" w:space="0" w:color="auto"/>
                <w:right w:val="none" w:sz="0" w:space="0" w:color="auto"/>
              </w:divBdr>
            </w:div>
            <w:div w:id="230777476">
              <w:marLeft w:val="0"/>
              <w:marRight w:val="0"/>
              <w:marTop w:val="0"/>
              <w:marBottom w:val="0"/>
              <w:divBdr>
                <w:top w:val="none" w:sz="0" w:space="0" w:color="auto"/>
                <w:left w:val="none" w:sz="0" w:space="0" w:color="auto"/>
                <w:bottom w:val="none" w:sz="0" w:space="0" w:color="auto"/>
                <w:right w:val="none" w:sz="0" w:space="0" w:color="auto"/>
              </w:divBdr>
            </w:div>
          </w:divsChild>
        </w:div>
        <w:div w:id="859591713">
          <w:marLeft w:val="0"/>
          <w:marRight w:val="0"/>
          <w:marTop w:val="0"/>
          <w:marBottom w:val="0"/>
          <w:divBdr>
            <w:top w:val="none" w:sz="0" w:space="0" w:color="auto"/>
            <w:left w:val="none" w:sz="0" w:space="0" w:color="auto"/>
            <w:bottom w:val="none" w:sz="0" w:space="0" w:color="auto"/>
            <w:right w:val="none" w:sz="0" w:space="0" w:color="auto"/>
          </w:divBdr>
          <w:divsChild>
            <w:div w:id="1320966376">
              <w:marLeft w:val="0"/>
              <w:marRight w:val="0"/>
              <w:marTop w:val="0"/>
              <w:marBottom w:val="0"/>
              <w:divBdr>
                <w:top w:val="none" w:sz="0" w:space="0" w:color="auto"/>
                <w:left w:val="none" w:sz="0" w:space="0" w:color="auto"/>
                <w:bottom w:val="none" w:sz="0" w:space="0" w:color="auto"/>
                <w:right w:val="none" w:sz="0" w:space="0" w:color="auto"/>
              </w:divBdr>
            </w:div>
            <w:div w:id="1389494886">
              <w:marLeft w:val="0"/>
              <w:marRight w:val="0"/>
              <w:marTop w:val="0"/>
              <w:marBottom w:val="0"/>
              <w:divBdr>
                <w:top w:val="none" w:sz="0" w:space="0" w:color="auto"/>
                <w:left w:val="none" w:sz="0" w:space="0" w:color="auto"/>
                <w:bottom w:val="none" w:sz="0" w:space="0" w:color="auto"/>
                <w:right w:val="none" w:sz="0" w:space="0" w:color="auto"/>
              </w:divBdr>
            </w:div>
            <w:div w:id="346105284">
              <w:marLeft w:val="0"/>
              <w:marRight w:val="0"/>
              <w:marTop w:val="0"/>
              <w:marBottom w:val="0"/>
              <w:divBdr>
                <w:top w:val="none" w:sz="0" w:space="0" w:color="auto"/>
                <w:left w:val="none" w:sz="0" w:space="0" w:color="auto"/>
                <w:bottom w:val="none" w:sz="0" w:space="0" w:color="auto"/>
                <w:right w:val="none" w:sz="0" w:space="0" w:color="auto"/>
              </w:divBdr>
            </w:div>
            <w:div w:id="1812862460">
              <w:marLeft w:val="0"/>
              <w:marRight w:val="0"/>
              <w:marTop w:val="0"/>
              <w:marBottom w:val="0"/>
              <w:divBdr>
                <w:top w:val="none" w:sz="0" w:space="0" w:color="auto"/>
                <w:left w:val="none" w:sz="0" w:space="0" w:color="auto"/>
                <w:bottom w:val="none" w:sz="0" w:space="0" w:color="auto"/>
                <w:right w:val="none" w:sz="0" w:space="0" w:color="auto"/>
              </w:divBdr>
            </w:div>
            <w:div w:id="1951474628">
              <w:marLeft w:val="0"/>
              <w:marRight w:val="0"/>
              <w:marTop w:val="0"/>
              <w:marBottom w:val="0"/>
              <w:divBdr>
                <w:top w:val="none" w:sz="0" w:space="0" w:color="auto"/>
                <w:left w:val="none" w:sz="0" w:space="0" w:color="auto"/>
                <w:bottom w:val="none" w:sz="0" w:space="0" w:color="auto"/>
                <w:right w:val="none" w:sz="0" w:space="0" w:color="auto"/>
              </w:divBdr>
            </w:div>
            <w:div w:id="568884882">
              <w:marLeft w:val="0"/>
              <w:marRight w:val="0"/>
              <w:marTop w:val="0"/>
              <w:marBottom w:val="0"/>
              <w:divBdr>
                <w:top w:val="none" w:sz="0" w:space="0" w:color="auto"/>
                <w:left w:val="none" w:sz="0" w:space="0" w:color="auto"/>
                <w:bottom w:val="none" w:sz="0" w:space="0" w:color="auto"/>
                <w:right w:val="none" w:sz="0" w:space="0" w:color="auto"/>
              </w:divBdr>
            </w:div>
            <w:div w:id="538469217">
              <w:marLeft w:val="0"/>
              <w:marRight w:val="0"/>
              <w:marTop w:val="0"/>
              <w:marBottom w:val="0"/>
              <w:divBdr>
                <w:top w:val="none" w:sz="0" w:space="0" w:color="auto"/>
                <w:left w:val="none" w:sz="0" w:space="0" w:color="auto"/>
                <w:bottom w:val="none" w:sz="0" w:space="0" w:color="auto"/>
                <w:right w:val="none" w:sz="0" w:space="0" w:color="auto"/>
              </w:divBdr>
            </w:div>
            <w:div w:id="912279973">
              <w:marLeft w:val="0"/>
              <w:marRight w:val="0"/>
              <w:marTop w:val="0"/>
              <w:marBottom w:val="0"/>
              <w:divBdr>
                <w:top w:val="none" w:sz="0" w:space="0" w:color="auto"/>
                <w:left w:val="none" w:sz="0" w:space="0" w:color="auto"/>
                <w:bottom w:val="none" w:sz="0" w:space="0" w:color="auto"/>
                <w:right w:val="none" w:sz="0" w:space="0" w:color="auto"/>
              </w:divBdr>
            </w:div>
            <w:div w:id="1834371549">
              <w:marLeft w:val="0"/>
              <w:marRight w:val="0"/>
              <w:marTop w:val="0"/>
              <w:marBottom w:val="0"/>
              <w:divBdr>
                <w:top w:val="none" w:sz="0" w:space="0" w:color="auto"/>
                <w:left w:val="none" w:sz="0" w:space="0" w:color="auto"/>
                <w:bottom w:val="none" w:sz="0" w:space="0" w:color="auto"/>
                <w:right w:val="none" w:sz="0" w:space="0" w:color="auto"/>
              </w:divBdr>
            </w:div>
            <w:div w:id="255090472">
              <w:marLeft w:val="0"/>
              <w:marRight w:val="0"/>
              <w:marTop w:val="0"/>
              <w:marBottom w:val="0"/>
              <w:divBdr>
                <w:top w:val="none" w:sz="0" w:space="0" w:color="auto"/>
                <w:left w:val="none" w:sz="0" w:space="0" w:color="auto"/>
                <w:bottom w:val="none" w:sz="0" w:space="0" w:color="auto"/>
                <w:right w:val="none" w:sz="0" w:space="0" w:color="auto"/>
              </w:divBdr>
            </w:div>
            <w:div w:id="2079941198">
              <w:marLeft w:val="0"/>
              <w:marRight w:val="0"/>
              <w:marTop w:val="0"/>
              <w:marBottom w:val="0"/>
              <w:divBdr>
                <w:top w:val="none" w:sz="0" w:space="0" w:color="auto"/>
                <w:left w:val="none" w:sz="0" w:space="0" w:color="auto"/>
                <w:bottom w:val="none" w:sz="0" w:space="0" w:color="auto"/>
                <w:right w:val="none" w:sz="0" w:space="0" w:color="auto"/>
              </w:divBdr>
            </w:div>
            <w:div w:id="1515340197">
              <w:marLeft w:val="0"/>
              <w:marRight w:val="0"/>
              <w:marTop w:val="0"/>
              <w:marBottom w:val="0"/>
              <w:divBdr>
                <w:top w:val="none" w:sz="0" w:space="0" w:color="auto"/>
                <w:left w:val="none" w:sz="0" w:space="0" w:color="auto"/>
                <w:bottom w:val="none" w:sz="0" w:space="0" w:color="auto"/>
                <w:right w:val="none" w:sz="0" w:space="0" w:color="auto"/>
              </w:divBdr>
            </w:div>
            <w:div w:id="878123476">
              <w:marLeft w:val="0"/>
              <w:marRight w:val="0"/>
              <w:marTop w:val="0"/>
              <w:marBottom w:val="0"/>
              <w:divBdr>
                <w:top w:val="none" w:sz="0" w:space="0" w:color="auto"/>
                <w:left w:val="none" w:sz="0" w:space="0" w:color="auto"/>
                <w:bottom w:val="none" w:sz="0" w:space="0" w:color="auto"/>
                <w:right w:val="none" w:sz="0" w:space="0" w:color="auto"/>
              </w:divBdr>
            </w:div>
            <w:div w:id="1674914313">
              <w:marLeft w:val="0"/>
              <w:marRight w:val="0"/>
              <w:marTop w:val="0"/>
              <w:marBottom w:val="0"/>
              <w:divBdr>
                <w:top w:val="none" w:sz="0" w:space="0" w:color="auto"/>
                <w:left w:val="none" w:sz="0" w:space="0" w:color="auto"/>
                <w:bottom w:val="none" w:sz="0" w:space="0" w:color="auto"/>
                <w:right w:val="none" w:sz="0" w:space="0" w:color="auto"/>
              </w:divBdr>
            </w:div>
            <w:div w:id="636111741">
              <w:marLeft w:val="0"/>
              <w:marRight w:val="0"/>
              <w:marTop w:val="0"/>
              <w:marBottom w:val="0"/>
              <w:divBdr>
                <w:top w:val="none" w:sz="0" w:space="0" w:color="auto"/>
                <w:left w:val="none" w:sz="0" w:space="0" w:color="auto"/>
                <w:bottom w:val="none" w:sz="0" w:space="0" w:color="auto"/>
                <w:right w:val="none" w:sz="0" w:space="0" w:color="auto"/>
              </w:divBdr>
            </w:div>
            <w:div w:id="1082265028">
              <w:marLeft w:val="0"/>
              <w:marRight w:val="0"/>
              <w:marTop w:val="0"/>
              <w:marBottom w:val="0"/>
              <w:divBdr>
                <w:top w:val="none" w:sz="0" w:space="0" w:color="auto"/>
                <w:left w:val="none" w:sz="0" w:space="0" w:color="auto"/>
                <w:bottom w:val="none" w:sz="0" w:space="0" w:color="auto"/>
                <w:right w:val="none" w:sz="0" w:space="0" w:color="auto"/>
              </w:divBdr>
            </w:div>
            <w:div w:id="1375694509">
              <w:marLeft w:val="0"/>
              <w:marRight w:val="0"/>
              <w:marTop w:val="0"/>
              <w:marBottom w:val="0"/>
              <w:divBdr>
                <w:top w:val="none" w:sz="0" w:space="0" w:color="auto"/>
                <w:left w:val="none" w:sz="0" w:space="0" w:color="auto"/>
                <w:bottom w:val="none" w:sz="0" w:space="0" w:color="auto"/>
                <w:right w:val="none" w:sz="0" w:space="0" w:color="auto"/>
              </w:divBdr>
            </w:div>
            <w:div w:id="194973368">
              <w:marLeft w:val="0"/>
              <w:marRight w:val="0"/>
              <w:marTop w:val="0"/>
              <w:marBottom w:val="0"/>
              <w:divBdr>
                <w:top w:val="none" w:sz="0" w:space="0" w:color="auto"/>
                <w:left w:val="none" w:sz="0" w:space="0" w:color="auto"/>
                <w:bottom w:val="none" w:sz="0" w:space="0" w:color="auto"/>
                <w:right w:val="none" w:sz="0" w:space="0" w:color="auto"/>
              </w:divBdr>
            </w:div>
            <w:div w:id="1194270311">
              <w:marLeft w:val="0"/>
              <w:marRight w:val="0"/>
              <w:marTop w:val="0"/>
              <w:marBottom w:val="0"/>
              <w:divBdr>
                <w:top w:val="none" w:sz="0" w:space="0" w:color="auto"/>
                <w:left w:val="none" w:sz="0" w:space="0" w:color="auto"/>
                <w:bottom w:val="none" w:sz="0" w:space="0" w:color="auto"/>
                <w:right w:val="none" w:sz="0" w:space="0" w:color="auto"/>
              </w:divBdr>
            </w:div>
            <w:div w:id="1508978373">
              <w:marLeft w:val="0"/>
              <w:marRight w:val="0"/>
              <w:marTop w:val="0"/>
              <w:marBottom w:val="0"/>
              <w:divBdr>
                <w:top w:val="none" w:sz="0" w:space="0" w:color="auto"/>
                <w:left w:val="none" w:sz="0" w:space="0" w:color="auto"/>
                <w:bottom w:val="none" w:sz="0" w:space="0" w:color="auto"/>
                <w:right w:val="none" w:sz="0" w:space="0" w:color="auto"/>
              </w:divBdr>
            </w:div>
            <w:div w:id="1331256945">
              <w:marLeft w:val="0"/>
              <w:marRight w:val="0"/>
              <w:marTop w:val="0"/>
              <w:marBottom w:val="0"/>
              <w:divBdr>
                <w:top w:val="none" w:sz="0" w:space="0" w:color="auto"/>
                <w:left w:val="none" w:sz="0" w:space="0" w:color="auto"/>
                <w:bottom w:val="none" w:sz="0" w:space="0" w:color="auto"/>
                <w:right w:val="none" w:sz="0" w:space="0" w:color="auto"/>
              </w:divBdr>
            </w:div>
            <w:div w:id="1259405405">
              <w:marLeft w:val="0"/>
              <w:marRight w:val="0"/>
              <w:marTop w:val="0"/>
              <w:marBottom w:val="0"/>
              <w:divBdr>
                <w:top w:val="none" w:sz="0" w:space="0" w:color="auto"/>
                <w:left w:val="none" w:sz="0" w:space="0" w:color="auto"/>
                <w:bottom w:val="none" w:sz="0" w:space="0" w:color="auto"/>
                <w:right w:val="none" w:sz="0" w:space="0" w:color="auto"/>
              </w:divBdr>
            </w:div>
            <w:div w:id="1857041384">
              <w:marLeft w:val="0"/>
              <w:marRight w:val="0"/>
              <w:marTop w:val="0"/>
              <w:marBottom w:val="0"/>
              <w:divBdr>
                <w:top w:val="none" w:sz="0" w:space="0" w:color="auto"/>
                <w:left w:val="none" w:sz="0" w:space="0" w:color="auto"/>
                <w:bottom w:val="none" w:sz="0" w:space="0" w:color="auto"/>
                <w:right w:val="none" w:sz="0" w:space="0" w:color="auto"/>
              </w:divBdr>
            </w:div>
            <w:div w:id="1877309279">
              <w:marLeft w:val="0"/>
              <w:marRight w:val="0"/>
              <w:marTop w:val="0"/>
              <w:marBottom w:val="0"/>
              <w:divBdr>
                <w:top w:val="none" w:sz="0" w:space="0" w:color="auto"/>
                <w:left w:val="none" w:sz="0" w:space="0" w:color="auto"/>
                <w:bottom w:val="none" w:sz="0" w:space="0" w:color="auto"/>
                <w:right w:val="none" w:sz="0" w:space="0" w:color="auto"/>
              </w:divBdr>
            </w:div>
            <w:div w:id="698167860">
              <w:marLeft w:val="0"/>
              <w:marRight w:val="0"/>
              <w:marTop w:val="0"/>
              <w:marBottom w:val="0"/>
              <w:divBdr>
                <w:top w:val="none" w:sz="0" w:space="0" w:color="auto"/>
                <w:left w:val="none" w:sz="0" w:space="0" w:color="auto"/>
                <w:bottom w:val="none" w:sz="0" w:space="0" w:color="auto"/>
                <w:right w:val="none" w:sz="0" w:space="0" w:color="auto"/>
              </w:divBdr>
            </w:div>
            <w:div w:id="725295124">
              <w:marLeft w:val="0"/>
              <w:marRight w:val="0"/>
              <w:marTop w:val="0"/>
              <w:marBottom w:val="0"/>
              <w:divBdr>
                <w:top w:val="none" w:sz="0" w:space="0" w:color="auto"/>
                <w:left w:val="none" w:sz="0" w:space="0" w:color="auto"/>
                <w:bottom w:val="none" w:sz="0" w:space="0" w:color="auto"/>
                <w:right w:val="none" w:sz="0" w:space="0" w:color="auto"/>
              </w:divBdr>
            </w:div>
          </w:divsChild>
        </w:div>
        <w:div w:id="1312753723">
          <w:marLeft w:val="0"/>
          <w:marRight w:val="0"/>
          <w:marTop w:val="0"/>
          <w:marBottom w:val="0"/>
          <w:divBdr>
            <w:top w:val="none" w:sz="0" w:space="0" w:color="auto"/>
            <w:left w:val="none" w:sz="0" w:space="0" w:color="auto"/>
            <w:bottom w:val="none" w:sz="0" w:space="0" w:color="auto"/>
            <w:right w:val="none" w:sz="0" w:space="0" w:color="auto"/>
          </w:divBdr>
          <w:divsChild>
            <w:div w:id="1856964067">
              <w:marLeft w:val="0"/>
              <w:marRight w:val="0"/>
              <w:marTop w:val="0"/>
              <w:marBottom w:val="0"/>
              <w:divBdr>
                <w:top w:val="none" w:sz="0" w:space="0" w:color="auto"/>
                <w:left w:val="none" w:sz="0" w:space="0" w:color="auto"/>
                <w:bottom w:val="none" w:sz="0" w:space="0" w:color="auto"/>
                <w:right w:val="none" w:sz="0" w:space="0" w:color="auto"/>
              </w:divBdr>
            </w:div>
            <w:div w:id="9618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179381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918858096">
      <w:bodyDiv w:val="1"/>
      <w:marLeft w:val="0"/>
      <w:marRight w:val="0"/>
      <w:marTop w:val="0"/>
      <w:marBottom w:val="0"/>
      <w:divBdr>
        <w:top w:val="none" w:sz="0" w:space="0" w:color="auto"/>
        <w:left w:val="none" w:sz="0" w:space="0" w:color="auto"/>
        <w:bottom w:val="none" w:sz="0" w:space="0" w:color="auto"/>
        <w:right w:val="none" w:sz="0" w:space="0" w:color="auto"/>
      </w:divBdr>
    </w:div>
    <w:div w:id="21431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_x002e_ xmlns="135af73b-165d-49a8-a0c6-a1ff58b9cb2d" xsi:nil="true"/>
    <Owner xmlns="135af73b-165d-49a8-a0c6-a1ff58b9cb2d" xsi:nil="true"/>
    <Order0 xmlns="135af73b-165d-49a8-a0c6-a1ff58b9cb2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41252D04EB244E8A13BE976871780F" ma:contentTypeVersion="8" ma:contentTypeDescription="Create a new document." ma:contentTypeScope="" ma:versionID="88d059754213eb660d625c53ecd9cd5d">
  <xsd:schema xmlns:xsd="http://www.w3.org/2001/XMLSchema" xmlns:xs="http://www.w3.org/2001/XMLSchema" xmlns:p="http://schemas.microsoft.com/office/2006/metadata/properties" xmlns:ns2="135af73b-165d-49a8-a0c6-a1ff58b9cb2d" targetNamespace="http://schemas.microsoft.com/office/2006/metadata/properties" ma:root="true" ma:fieldsID="a3946edffef2b869ddaba7d008d35ee6" ns2:_="">
    <xsd:import namespace="135af73b-165d-49a8-a0c6-a1ff58b9cb2d"/>
    <xsd:element name="properties">
      <xsd:complexType>
        <xsd:sequence>
          <xsd:element name="documentManagement">
            <xsd:complexType>
              <xsd:all>
                <xsd:element ref="ns2:Owner" minOccurs="0"/>
                <xsd:element ref="ns2:Descrip_x002e_" minOccurs="0"/>
                <xsd:element ref="ns2:MediaServiceMetadata" minOccurs="0"/>
                <xsd:element ref="ns2:MediaServiceFastMetadata"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af73b-165d-49a8-a0c6-a1ff58b9cb2d"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pplications"/>
          <xsd:enumeration value="Registrar's Office"/>
          <xsd:enumeration value="Consumer Protection &amp; Industry Performance"/>
          <xsd:enumeration value="Public Affairs"/>
          <xsd:enumeration value="Executive Office"/>
        </xsd:restriction>
      </xsd:simpleType>
    </xsd:element>
    <xsd:element name="Descrip_x002e_" ma:index="9" nillable="true" ma:displayName="Descrip." ma:format="Dropdown" ma:internalName="Descrip_x002e_">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135af73b-165d-49a8-a0c6-a1ff58b9cb2d"/>
  </ds:schemaRefs>
</ds:datastoreItem>
</file>

<file path=customXml/itemProps2.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3.xml><?xml version="1.0" encoding="utf-8"?>
<ds:datastoreItem xmlns:ds="http://schemas.openxmlformats.org/officeDocument/2006/customXml" ds:itemID="{0F795003-A123-47B0-8634-A210404E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af73b-165d-49a8-a0c6-a1ff58b9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FD318-E47C-4F5B-9EEC-F73DF3D93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2004</Words>
  <Characters>10767</Characters>
  <Application>Microsoft Office Word</Application>
  <DocSecurity>0</DocSecurity>
  <Lines>291</Lines>
  <Paragraphs>146</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Urooj Iqbal</cp:lastModifiedBy>
  <cp:revision>3</cp:revision>
  <cp:lastPrinted>2014-09-29T14:43:00Z</cp:lastPrinted>
  <dcterms:created xsi:type="dcterms:W3CDTF">2024-10-02T17:45:00Z</dcterms:created>
  <dcterms:modified xsi:type="dcterms:W3CDTF">2024-10-02T17:50:00Z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0x0101007A41252D04EB244E8A13BE976871780F</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