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0D6" w14:textId="70A0F9A1" w:rsidR="00A07077" w:rsidRPr="00D57E8C" w:rsidRDefault="00B761D8" w:rsidP="007D7F2C">
      <w:pPr>
        <w:pStyle w:val="Default"/>
        <w:spacing w:line="276" w:lineRule="auto"/>
        <w:jc w:val="center"/>
        <w:rPr>
          <w:rFonts w:ascii="Arial" w:hAnsi="Arial" w:cs="Arial"/>
          <w:sz w:val="28"/>
          <w:szCs w:val="28"/>
        </w:rPr>
      </w:pPr>
      <w:r>
        <w:rPr>
          <w:rFonts w:ascii="Arial" w:hAnsi="Arial" w:cs="Arial"/>
          <w:b/>
          <w:bCs/>
          <w:sz w:val="28"/>
          <w:szCs w:val="28"/>
        </w:rPr>
        <w:t>London Hydro Inc.</w:t>
      </w:r>
    </w:p>
    <w:p w14:paraId="33D6510D" w14:textId="14388DBF" w:rsidR="00A07077" w:rsidRDefault="00623602" w:rsidP="007D7F2C">
      <w:pPr>
        <w:pStyle w:val="Default"/>
        <w:spacing w:after="360" w:line="276" w:lineRule="auto"/>
        <w:contextualSpacing/>
        <w:jc w:val="center"/>
        <w:rPr>
          <w:rFonts w:ascii="Arial" w:hAnsi="Arial" w:cs="Arial"/>
          <w:b/>
          <w:bCs/>
          <w:sz w:val="28"/>
          <w:szCs w:val="28"/>
        </w:rPr>
      </w:pPr>
      <w:r>
        <w:rPr>
          <w:rFonts w:ascii="Arial" w:hAnsi="Arial" w:cs="Arial"/>
          <w:b/>
          <w:bCs/>
          <w:sz w:val="28"/>
          <w:szCs w:val="28"/>
        </w:rPr>
        <w:t>EB-20</w:t>
      </w:r>
      <w:r w:rsidR="005F483F">
        <w:rPr>
          <w:rFonts w:ascii="Arial" w:hAnsi="Arial" w:cs="Arial"/>
          <w:b/>
          <w:bCs/>
          <w:sz w:val="28"/>
          <w:szCs w:val="28"/>
        </w:rPr>
        <w:t>2</w:t>
      </w:r>
      <w:r w:rsidR="00537DD2">
        <w:rPr>
          <w:rFonts w:ascii="Arial" w:hAnsi="Arial" w:cs="Arial"/>
          <w:b/>
          <w:bCs/>
          <w:sz w:val="28"/>
          <w:szCs w:val="28"/>
        </w:rPr>
        <w:t>4-00</w:t>
      </w:r>
      <w:r w:rsidR="00B761D8">
        <w:rPr>
          <w:rFonts w:ascii="Arial" w:hAnsi="Arial" w:cs="Arial"/>
          <w:b/>
          <w:bCs/>
          <w:sz w:val="28"/>
          <w:szCs w:val="28"/>
        </w:rPr>
        <w:t>40</w:t>
      </w:r>
    </w:p>
    <w:p w14:paraId="5999C199" w14:textId="729F63A1" w:rsidR="00D77124" w:rsidRDefault="005F483F" w:rsidP="007D7F2C">
      <w:pPr>
        <w:pStyle w:val="Default"/>
        <w:spacing w:after="360" w:line="276" w:lineRule="auto"/>
        <w:contextualSpacing/>
        <w:jc w:val="center"/>
        <w:rPr>
          <w:rFonts w:ascii="Arial" w:hAnsi="Arial" w:cs="Arial"/>
          <w:b/>
          <w:bCs/>
          <w:sz w:val="28"/>
          <w:szCs w:val="28"/>
        </w:rPr>
      </w:pPr>
      <w:r w:rsidRPr="003D4F58">
        <w:rPr>
          <w:rFonts w:ascii="Arial" w:hAnsi="Arial" w:cs="Arial"/>
          <w:b/>
          <w:bCs/>
          <w:sz w:val="28"/>
          <w:szCs w:val="28"/>
        </w:rPr>
        <w:t xml:space="preserve">December </w:t>
      </w:r>
      <w:r w:rsidR="003D4F58" w:rsidRPr="003D4F58">
        <w:rPr>
          <w:rFonts w:ascii="Arial" w:hAnsi="Arial" w:cs="Arial"/>
          <w:b/>
          <w:bCs/>
          <w:sz w:val="28"/>
          <w:szCs w:val="28"/>
        </w:rPr>
        <w:t>1</w:t>
      </w:r>
      <w:r w:rsidR="00B761D8">
        <w:rPr>
          <w:rFonts w:ascii="Arial" w:hAnsi="Arial" w:cs="Arial"/>
          <w:b/>
          <w:bCs/>
          <w:sz w:val="28"/>
          <w:szCs w:val="28"/>
        </w:rPr>
        <w:t>3</w:t>
      </w:r>
      <w:r w:rsidRPr="003D4F58">
        <w:rPr>
          <w:rFonts w:ascii="Arial" w:hAnsi="Arial" w:cs="Arial"/>
          <w:b/>
          <w:bCs/>
          <w:sz w:val="28"/>
          <w:szCs w:val="28"/>
        </w:rPr>
        <w:t>,</w:t>
      </w:r>
      <w:r>
        <w:rPr>
          <w:rFonts w:ascii="Arial" w:hAnsi="Arial" w:cs="Arial"/>
          <w:b/>
          <w:bCs/>
          <w:sz w:val="28"/>
          <w:szCs w:val="28"/>
        </w:rPr>
        <w:t xml:space="preserve"> 202</w:t>
      </w:r>
      <w:r w:rsidR="00537DD2">
        <w:rPr>
          <w:rFonts w:ascii="Arial" w:hAnsi="Arial" w:cs="Arial"/>
          <w:b/>
          <w:bCs/>
          <w:sz w:val="28"/>
          <w:szCs w:val="28"/>
        </w:rPr>
        <w:t>4</w:t>
      </w:r>
    </w:p>
    <w:p w14:paraId="2A0CB1B0" w14:textId="17CAC5AE" w:rsidR="00E86F26" w:rsidRPr="00E86F26" w:rsidRDefault="00E86F26" w:rsidP="007D7F2C">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B761D8">
        <w:rPr>
          <w:rFonts w:ascii="Arial" w:eastAsia="Calibri" w:hAnsi="Arial" w:cs="Arial"/>
          <w:sz w:val="24"/>
          <w:szCs w:val="24"/>
        </w:rPr>
        <w:t xml:space="preserve">London Hydro Inc. </w:t>
      </w:r>
      <w:r w:rsidR="00D77124">
        <w:rPr>
          <w:rFonts w:ascii="Arial" w:eastAsia="Calibri" w:hAnsi="Arial" w:cs="Arial"/>
          <w:sz w:val="24"/>
          <w:szCs w:val="24"/>
        </w:rPr>
        <w:t>(</w:t>
      </w:r>
      <w:r w:rsidR="00B761D8">
        <w:rPr>
          <w:rFonts w:ascii="Arial" w:eastAsia="Calibri" w:hAnsi="Arial" w:cs="Arial"/>
          <w:sz w:val="24"/>
          <w:szCs w:val="24"/>
        </w:rPr>
        <w:t>London Hydro</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3902A143" w14:textId="77777777" w:rsidR="00B761D8" w:rsidRDefault="00B761D8" w:rsidP="00B761D8">
      <w:pPr>
        <w:spacing w:after="0"/>
        <w:rPr>
          <w:rFonts w:ascii="Arial" w:hAnsi="Arial" w:cs="Arial"/>
          <w:b/>
          <w:sz w:val="24"/>
          <w:szCs w:val="24"/>
        </w:rPr>
      </w:pPr>
      <w:r>
        <w:rPr>
          <w:rFonts w:ascii="Arial" w:hAnsi="Arial" w:cs="Arial"/>
          <w:b/>
          <w:sz w:val="24"/>
          <w:szCs w:val="24"/>
        </w:rPr>
        <w:t>Staff Question-1</w:t>
      </w:r>
    </w:p>
    <w:p w14:paraId="34F14A54" w14:textId="77777777" w:rsidR="00B761D8" w:rsidRDefault="00B761D8" w:rsidP="00B761D8">
      <w:pPr>
        <w:spacing w:after="0"/>
        <w:rPr>
          <w:rFonts w:ascii="Arial" w:hAnsi="Arial" w:cs="Arial"/>
          <w:b/>
          <w:sz w:val="24"/>
          <w:szCs w:val="24"/>
        </w:rPr>
      </w:pPr>
      <w:r>
        <w:rPr>
          <w:rFonts w:ascii="Arial" w:hAnsi="Arial" w:cs="Arial"/>
          <w:b/>
          <w:sz w:val="24"/>
          <w:szCs w:val="24"/>
        </w:rPr>
        <w:t>Account 1595 (2021)</w:t>
      </w:r>
    </w:p>
    <w:p w14:paraId="27BD3AD4" w14:textId="77777777" w:rsidR="00B761D8" w:rsidRDefault="00B761D8" w:rsidP="00B761D8">
      <w:pPr>
        <w:spacing w:after="0"/>
        <w:rPr>
          <w:rFonts w:ascii="Arial" w:hAnsi="Arial" w:cs="Arial"/>
          <w:b/>
          <w:sz w:val="24"/>
          <w:szCs w:val="24"/>
        </w:rPr>
      </w:pPr>
      <w:r>
        <w:rPr>
          <w:rFonts w:ascii="Arial" w:hAnsi="Arial" w:cs="Arial"/>
          <w:b/>
          <w:sz w:val="24"/>
          <w:szCs w:val="24"/>
        </w:rPr>
        <w:t xml:space="preserve">Ref 1: </w:t>
      </w:r>
      <w:hyperlink r:id="rId8" w:history="1">
        <w:r w:rsidRPr="00730DD2">
          <w:rPr>
            <w:rStyle w:val="Hyperlink"/>
            <w:rFonts w:ascii="Arial" w:hAnsi="Arial" w:cs="Arial"/>
            <w:b/>
            <w:sz w:val="24"/>
            <w:szCs w:val="24"/>
          </w:rPr>
          <w:t>2024 IRM rate model</w:t>
        </w:r>
      </w:hyperlink>
      <w:r>
        <w:rPr>
          <w:rFonts w:ascii="Arial" w:hAnsi="Arial" w:cs="Arial"/>
          <w:b/>
          <w:sz w:val="24"/>
          <w:szCs w:val="24"/>
        </w:rPr>
        <w:t>, DVA continuity, Tab 3</w:t>
      </w:r>
    </w:p>
    <w:p w14:paraId="2186A757" w14:textId="77777777" w:rsidR="00B761D8" w:rsidRDefault="00B761D8" w:rsidP="00B761D8">
      <w:pPr>
        <w:spacing w:after="0"/>
        <w:rPr>
          <w:rFonts w:ascii="Arial" w:hAnsi="Arial" w:cs="Arial"/>
          <w:b/>
          <w:sz w:val="24"/>
          <w:szCs w:val="24"/>
        </w:rPr>
      </w:pPr>
      <w:r>
        <w:rPr>
          <w:rFonts w:ascii="Arial" w:hAnsi="Arial" w:cs="Arial"/>
          <w:b/>
          <w:sz w:val="24"/>
          <w:szCs w:val="24"/>
        </w:rPr>
        <w:t>Ref 2: 2025 IRM rate model, DVA continuity, Tab 3</w:t>
      </w:r>
    </w:p>
    <w:p w14:paraId="45CE83A8" w14:textId="77777777" w:rsidR="00B761D8" w:rsidRDefault="00B761D8" w:rsidP="00B761D8">
      <w:pPr>
        <w:spacing w:after="0"/>
        <w:rPr>
          <w:rFonts w:ascii="Arial" w:hAnsi="Arial" w:cs="Arial"/>
          <w:b/>
          <w:sz w:val="24"/>
          <w:szCs w:val="24"/>
        </w:rPr>
      </w:pPr>
    </w:p>
    <w:p w14:paraId="1E9D8FB6" w14:textId="77777777" w:rsidR="00B761D8" w:rsidRPr="009753FE" w:rsidRDefault="00B761D8" w:rsidP="00B761D8">
      <w:pPr>
        <w:spacing w:after="0"/>
        <w:rPr>
          <w:rFonts w:ascii="Arial" w:hAnsi="Arial" w:cs="Arial"/>
          <w:b/>
          <w:bCs/>
          <w:sz w:val="24"/>
          <w:szCs w:val="24"/>
        </w:rPr>
      </w:pPr>
      <w:r w:rsidRPr="009753FE">
        <w:rPr>
          <w:rFonts w:ascii="Arial" w:hAnsi="Arial" w:cs="Arial"/>
          <w:b/>
          <w:bCs/>
          <w:sz w:val="24"/>
          <w:szCs w:val="24"/>
        </w:rPr>
        <w:t xml:space="preserve">Preamble: </w:t>
      </w:r>
    </w:p>
    <w:p w14:paraId="41BE1488" w14:textId="77777777" w:rsidR="009E10C6" w:rsidRDefault="009E10C6" w:rsidP="00B761D8">
      <w:pPr>
        <w:spacing w:after="0"/>
        <w:rPr>
          <w:rFonts w:ascii="Arial" w:hAnsi="Arial" w:cs="Arial"/>
          <w:sz w:val="24"/>
          <w:szCs w:val="24"/>
        </w:rPr>
      </w:pPr>
    </w:p>
    <w:p w14:paraId="1D9EFE21" w14:textId="7319D99B" w:rsidR="00B761D8" w:rsidRDefault="00B761D8" w:rsidP="00B761D8">
      <w:pPr>
        <w:spacing w:after="0"/>
        <w:rPr>
          <w:rFonts w:ascii="Arial" w:hAnsi="Arial" w:cs="Arial"/>
          <w:bCs/>
          <w:sz w:val="24"/>
          <w:szCs w:val="24"/>
        </w:rPr>
      </w:pPr>
      <w:r>
        <w:rPr>
          <w:rFonts w:ascii="Arial" w:hAnsi="Arial" w:cs="Arial"/>
          <w:sz w:val="24"/>
          <w:szCs w:val="24"/>
        </w:rPr>
        <w:t xml:space="preserve">Per Ref 1, the closing principal balance of Account </w:t>
      </w:r>
      <w:r w:rsidRPr="00CD4C5B">
        <w:rPr>
          <w:rFonts w:ascii="Arial" w:hAnsi="Arial" w:cs="Arial"/>
          <w:bCs/>
          <w:sz w:val="24"/>
          <w:szCs w:val="24"/>
        </w:rPr>
        <w:t xml:space="preserve">1595 </w:t>
      </w:r>
      <w:r>
        <w:rPr>
          <w:rFonts w:ascii="Arial" w:hAnsi="Arial" w:cs="Arial"/>
          <w:bCs/>
          <w:sz w:val="24"/>
          <w:szCs w:val="24"/>
        </w:rPr>
        <w:t xml:space="preserve">Sub account </w:t>
      </w:r>
      <w:r w:rsidRPr="00CD4C5B">
        <w:rPr>
          <w:rFonts w:ascii="Arial" w:hAnsi="Arial" w:cs="Arial"/>
          <w:bCs/>
          <w:sz w:val="24"/>
          <w:szCs w:val="24"/>
        </w:rPr>
        <w:t xml:space="preserve">(2021) </w:t>
      </w:r>
      <w:r>
        <w:rPr>
          <w:rFonts w:ascii="Arial" w:hAnsi="Arial" w:cs="Arial"/>
          <w:bCs/>
          <w:sz w:val="24"/>
          <w:szCs w:val="24"/>
        </w:rPr>
        <w:t xml:space="preserve">as of Dec 31, </w:t>
      </w:r>
      <w:proofErr w:type="gramStart"/>
      <w:r>
        <w:rPr>
          <w:rFonts w:ascii="Arial" w:hAnsi="Arial" w:cs="Arial"/>
          <w:bCs/>
          <w:sz w:val="24"/>
          <w:szCs w:val="24"/>
        </w:rPr>
        <w:t>2022</w:t>
      </w:r>
      <w:proofErr w:type="gramEnd"/>
      <w:r>
        <w:rPr>
          <w:rFonts w:ascii="Arial" w:hAnsi="Arial" w:cs="Arial"/>
          <w:bCs/>
          <w:sz w:val="24"/>
          <w:szCs w:val="24"/>
        </w:rPr>
        <w:t xml:space="preserve"> is $240,547 and the </w:t>
      </w:r>
      <w:r>
        <w:rPr>
          <w:rFonts w:ascii="Arial" w:hAnsi="Arial" w:cs="Arial"/>
          <w:sz w:val="24"/>
          <w:szCs w:val="24"/>
        </w:rPr>
        <w:t xml:space="preserve">closing interest amount of Account </w:t>
      </w:r>
      <w:r w:rsidRPr="00CD4C5B">
        <w:rPr>
          <w:rFonts w:ascii="Arial" w:hAnsi="Arial" w:cs="Arial"/>
          <w:bCs/>
          <w:sz w:val="24"/>
          <w:szCs w:val="24"/>
        </w:rPr>
        <w:t xml:space="preserve">1595 </w:t>
      </w:r>
      <w:r>
        <w:rPr>
          <w:rFonts w:ascii="Arial" w:hAnsi="Arial" w:cs="Arial"/>
          <w:bCs/>
          <w:sz w:val="24"/>
          <w:szCs w:val="24"/>
        </w:rPr>
        <w:t xml:space="preserve">Sub account </w:t>
      </w:r>
      <w:r w:rsidRPr="00CD4C5B">
        <w:rPr>
          <w:rFonts w:ascii="Arial" w:hAnsi="Arial" w:cs="Arial"/>
          <w:bCs/>
          <w:sz w:val="24"/>
          <w:szCs w:val="24"/>
        </w:rPr>
        <w:t xml:space="preserve">(2021) </w:t>
      </w:r>
      <w:r>
        <w:rPr>
          <w:rFonts w:ascii="Arial" w:hAnsi="Arial" w:cs="Arial"/>
          <w:bCs/>
          <w:sz w:val="24"/>
          <w:szCs w:val="24"/>
        </w:rPr>
        <w:t>as of Dec 31, 2022 is $92,430.</w:t>
      </w:r>
    </w:p>
    <w:p w14:paraId="7787F6A0" w14:textId="77777777" w:rsidR="00B761D8" w:rsidRDefault="00B761D8" w:rsidP="00B761D8">
      <w:pPr>
        <w:spacing w:after="0"/>
        <w:rPr>
          <w:rFonts w:ascii="Arial" w:hAnsi="Arial" w:cs="Arial"/>
          <w:bCs/>
          <w:sz w:val="24"/>
          <w:szCs w:val="24"/>
        </w:rPr>
      </w:pPr>
    </w:p>
    <w:p w14:paraId="360D52A2" w14:textId="77777777" w:rsidR="00B761D8" w:rsidRDefault="00B761D8" w:rsidP="00B761D8">
      <w:pPr>
        <w:spacing w:after="0"/>
        <w:rPr>
          <w:rFonts w:ascii="Arial" w:hAnsi="Arial" w:cs="Arial"/>
          <w:bCs/>
          <w:sz w:val="24"/>
          <w:szCs w:val="24"/>
        </w:rPr>
      </w:pPr>
      <w:r>
        <w:rPr>
          <w:rFonts w:ascii="Arial" w:hAnsi="Arial" w:cs="Arial"/>
          <w:bCs/>
          <w:sz w:val="24"/>
          <w:szCs w:val="24"/>
        </w:rPr>
        <w:t xml:space="preserve">Per Ref 2, </w:t>
      </w:r>
      <w:r>
        <w:rPr>
          <w:rFonts w:ascii="Arial" w:hAnsi="Arial" w:cs="Arial"/>
          <w:sz w:val="24"/>
          <w:szCs w:val="24"/>
        </w:rPr>
        <w:t xml:space="preserve">the opening principal balance of Account </w:t>
      </w:r>
      <w:r w:rsidRPr="00CD4C5B">
        <w:rPr>
          <w:rFonts w:ascii="Arial" w:hAnsi="Arial" w:cs="Arial"/>
          <w:bCs/>
          <w:sz w:val="24"/>
          <w:szCs w:val="24"/>
        </w:rPr>
        <w:t xml:space="preserve">1595 </w:t>
      </w:r>
      <w:r>
        <w:rPr>
          <w:rFonts w:ascii="Arial" w:hAnsi="Arial" w:cs="Arial"/>
          <w:bCs/>
          <w:sz w:val="24"/>
          <w:szCs w:val="24"/>
        </w:rPr>
        <w:t xml:space="preserve">Sub account </w:t>
      </w:r>
      <w:r w:rsidRPr="00CD4C5B">
        <w:rPr>
          <w:rFonts w:ascii="Arial" w:hAnsi="Arial" w:cs="Arial"/>
          <w:bCs/>
          <w:sz w:val="24"/>
          <w:szCs w:val="24"/>
        </w:rPr>
        <w:t xml:space="preserve">(2021) </w:t>
      </w:r>
      <w:r>
        <w:rPr>
          <w:rFonts w:ascii="Arial" w:hAnsi="Arial" w:cs="Arial"/>
          <w:bCs/>
          <w:sz w:val="24"/>
          <w:szCs w:val="24"/>
        </w:rPr>
        <w:t xml:space="preserve">as of Jan 1, </w:t>
      </w:r>
      <w:proofErr w:type="gramStart"/>
      <w:r>
        <w:rPr>
          <w:rFonts w:ascii="Arial" w:hAnsi="Arial" w:cs="Arial"/>
          <w:bCs/>
          <w:sz w:val="24"/>
          <w:szCs w:val="24"/>
        </w:rPr>
        <w:t>2023</w:t>
      </w:r>
      <w:proofErr w:type="gramEnd"/>
      <w:r>
        <w:rPr>
          <w:rFonts w:ascii="Arial" w:hAnsi="Arial" w:cs="Arial"/>
          <w:bCs/>
          <w:sz w:val="24"/>
          <w:szCs w:val="24"/>
        </w:rPr>
        <w:t xml:space="preserve"> is $252,652 and the </w:t>
      </w:r>
      <w:r>
        <w:rPr>
          <w:rFonts w:ascii="Arial" w:hAnsi="Arial" w:cs="Arial"/>
          <w:sz w:val="24"/>
          <w:szCs w:val="24"/>
        </w:rPr>
        <w:t xml:space="preserve">opening interest amount of Account </w:t>
      </w:r>
      <w:r w:rsidRPr="00CD4C5B">
        <w:rPr>
          <w:rFonts w:ascii="Arial" w:hAnsi="Arial" w:cs="Arial"/>
          <w:bCs/>
          <w:sz w:val="24"/>
          <w:szCs w:val="24"/>
        </w:rPr>
        <w:t xml:space="preserve">1595 </w:t>
      </w:r>
      <w:r>
        <w:rPr>
          <w:rFonts w:ascii="Arial" w:hAnsi="Arial" w:cs="Arial"/>
          <w:bCs/>
          <w:sz w:val="24"/>
          <w:szCs w:val="24"/>
        </w:rPr>
        <w:t xml:space="preserve">Sub account </w:t>
      </w:r>
      <w:r w:rsidRPr="00CD4C5B">
        <w:rPr>
          <w:rFonts w:ascii="Arial" w:hAnsi="Arial" w:cs="Arial"/>
          <w:bCs/>
          <w:sz w:val="24"/>
          <w:szCs w:val="24"/>
        </w:rPr>
        <w:t xml:space="preserve">(2021) </w:t>
      </w:r>
      <w:r>
        <w:rPr>
          <w:rFonts w:ascii="Arial" w:hAnsi="Arial" w:cs="Arial"/>
          <w:bCs/>
          <w:sz w:val="24"/>
          <w:szCs w:val="24"/>
        </w:rPr>
        <w:t>as of Jan 1, 2023 is $80,325.</w:t>
      </w:r>
    </w:p>
    <w:p w14:paraId="3827EA18" w14:textId="77777777" w:rsidR="00B761D8" w:rsidRDefault="00B761D8" w:rsidP="00B761D8">
      <w:pPr>
        <w:spacing w:after="0"/>
        <w:rPr>
          <w:rFonts w:ascii="Arial" w:hAnsi="Arial" w:cs="Arial"/>
          <w:bCs/>
          <w:sz w:val="24"/>
          <w:szCs w:val="24"/>
        </w:rPr>
      </w:pPr>
    </w:p>
    <w:p w14:paraId="6E4C5B01" w14:textId="77777777" w:rsidR="00B761D8" w:rsidRDefault="00B761D8" w:rsidP="00B761D8">
      <w:pPr>
        <w:spacing w:after="0"/>
        <w:rPr>
          <w:rFonts w:ascii="Arial" w:hAnsi="Arial" w:cs="Arial"/>
          <w:bCs/>
          <w:sz w:val="24"/>
          <w:szCs w:val="24"/>
        </w:rPr>
      </w:pPr>
      <w:r>
        <w:rPr>
          <w:rFonts w:ascii="Arial" w:hAnsi="Arial" w:cs="Arial"/>
          <w:bCs/>
          <w:sz w:val="24"/>
          <w:szCs w:val="24"/>
        </w:rPr>
        <w:t>OEB staff notes that the above 2022 closing balance does not match the 2023 opening balance.</w:t>
      </w:r>
    </w:p>
    <w:p w14:paraId="024C2FBA" w14:textId="77777777" w:rsidR="00B761D8" w:rsidRDefault="00B761D8" w:rsidP="00B761D8">
      <w:pPr>
        <w:spacing w:after="0"/>
        <w:rPr>
          <w:rFonts w:ascii="Arial" w:hAnsi="Arial" w:cs="Arial"/>
          <w:bCs/>
          <w:sz w:val="24"/>
          <w:szCs w:val="24"/>
        </w:rPr>
      </w:pPr>
    </w:p>
    <w:p w14:paraId="3FCF9783" w14:textId="77777777" w:rsidR="00B761D8" w:rsidRDefault="00B761D8" w:rsidP="00B761D8">
      <w:pPr>
        <w:spacing w:after="0"/>
        <w:rPr>
          <w:rFonts w:ascii="Arial" w:hAnsi="Arial" w:cs="Arial"/>
          <w:b/>
          <w:sz w:val="24"/>
          <w:szCs w:val="24"/>
        </w:rPr>
      </w:pPr>
      <w:r w:rsidRPr="009753FE">
        <w:rPr>
          <w:rFonts w:ascii="Arial" w:hAnsi="Arial" w:cs="Arial"/>
          <w:b/>
          <w:sz w:val="24"/>
          <w:szCs w:val="24"/>
        </w:rPr>
        <w:t>Question(s):</w:t>
      </w:r>
    </w:p>
    <w:p w14:paraId="5BA69487" w14:textId="77777777" w:rsidR="009E10C6" w:rsidRPr="009753FE" w:rsidRDefault="009E10C6" w:rsidP="00B761D8">
      <w:pPr>
        <w:spacing w:after="0"/>
        <w:rPr>
          <w:rFonts w:ascii="Arial" w:hAnsi="Arial" w:cs="Arial"/>
          <w:b/>
          <w:sz w:val="24"/>
          <w:szCs w:val="24"/>
        </w:rPr>
      </w:pPr>
    </w:p>
    <w:p w14:paraId="19F44520" w14:textId="77777777" w:rsidR="00B761D8" w:rsidRDefault="00B761D8" w:rsidP="00B761D8">
      <w:pPr>
        <w:pStyle w:val="ListParagraph"/>
        <w:numPr>
          <w:ilvl w:val="0"/>
          <w:numId w:val="35"/>
        </w:numPr>
        <w:spacing w:after="0"/>
        <w:rPr>
          <w:rFonts w:ascii="Arial" w:hAnsi="Arial" w:cs="Arial"/>
          <w:bCs/>
          <w:sz w:val="24"/>
          <w:szCs w:val="24"/>
        </w:rPr>
      </w:pPr>
      <w:r>
        <w:rPr>
          <w:rFonts w:ascii="Arial" w:hAnsi="Arial" w:cs="Arial"/>
          <w:bCs/>
          <w:sz w:val="24"/>
          <w:szCs w:val="24"/>
        </w:rPr>
        <w:t>Please explain/reconcile the noted difference above.</w:t>
      </w:r>
    </w:p>
    <w:p w14:paraId="4B0CA082" w14:textId="77777777" w:rsidR="00B761D8" w:rsidRDefault="00B761D8" w:rsidP="00B761D8">
      <w:pPr>
        <w:spacing w:after="0"/>
        <w:rPr>
          <w:rFonts w:ascii="Arial" w:hAnsi="Arial" w:cs="Arial"/>
          <w:bCs/>
          <w:sz w:val="24"/>
          <w:szCs w:val="24"/>
        </w:rPr>
      </w:pPr>
    </w:p>
    <w:p w14:paraId="3E768ACC" w14:textId="77777777" w:rsidR="00B761D8" w:rsidRDefault="00B761D8" w:rsidP="00B761D8">
      <w:pPr>
        <w:spacing w:after="0"/>
        <w:rPr>
          <w:rFonts w:ascii="Arial" w:hAnsi="Arial" w:cs="Arial"/>
          <w:b/>
          <w:sz w:val="24"/>
          <w:szCs w:val="24"/>
        </w:rPr>
      </w:pPr>
      <w:r>
        <w:rPr>
          <w:rFonts w:ascii="Arial" w:hAnsi="Arial" w:cs="Arial"/>
          <w:b/>
          <w:sz w:val="24"/>
          <w:szCs w:val="24"/>
        </w:rPr>
        <w:t>Staff Question-2</w:t>
      </w:r>
    </w:p>
    <w:p w14:paraId="64B77957" w14:textId="77777777" w:rsidR="00B761D8" w:rsidRDefault="00B761D8" w:rsidP="00B761D8">
      <w:pPr>
        <w:spacing w:after="0"/>
        <w:rPr>
          <w:rFonts w:ascii="Arial" w:hAnsi="Arial" w:cs="Arial"/>
          <w:b/>
          <w:sz w:val="24"/>
          <w:szCs w:val="24"/>
        </w:rPr>
      </w:pPr>
      <w:r>
        <w:rPr>
          <w:rFonts w:ascii="Arial" w:hAnsi="Arial" w:cs="Arial"/>
          <w:b/>
          <w:sz w:val="24"/>
          <w:szCs w:val="24"/>
        </w:rPr>
        <w:t>Interest adjustment</w:t>
      </w:r>
    </w:p>
    <w:p w14:paraId="6DB6F883" w14:textId="77777777" w:rsidR="00B761D8" w:rsidRDefault="00B761D8" w:rsidP="00B761D8">
      <w:pPr>
        <w:spacing w:after="0"/>
        <w:rPr>
          <w:rFonts w:ascii="Arial" w:hAnsi="Arial" w:cs="Arial"/>
          <w:b/>
          <w:sz w:val="24"/>
          <w:szCs w:val="24"/>
        </w:rPr>
      </w:pPr>
      <w:r>
        <w:rPr>
          <w:rFonts w:ascii="Arial" w:hAnsi="Arial" w:cs="Arial"/>
          <w:b/>
          <w:sz w:val="24"/>
          <w:szCs w:val="24"/>
        </w:rPr>
        <w:t xml:space="preserve">Ref 1: </w:t>
      </w:r>
      <w:hyperlink r:id="rId9" w:history="1">
        <w:r w:rsidRPr="00730DD2">
          <w:rPr>
            <w:rStyle w:val="Hyperlink"/>
            <w:rFonts w:ascii="Arial" w:hAnsi="Arial" w:cs="Arial"/>
            <w:b/>
            <w:sz w:val="24"/>
            <w:szCs w:val="24"/>
          </w:rPr>
          <w:t>2024 IRM rate model</w:t>
        </w:r>
      </w:hyperlink>
      <w:r>
        <w:rPr>
          <w:rFonts w:ascii="Arial" w:hAnsi="Arial" w:cs="Arial"/>
          <w:b/>
          <w:sz w:val="24"/>
          <w:szCs w:val="24"/>
        </w:rPr>
        <w:t>, DVA continuity, Tab 3</w:t>
      </w:r>
    </w:p>
    <w:p w14:paraId="1F68A7BD" w14:textId="77777777" w:rsidR="00B761D8" w:rsidRDefault="00B761D8" w:rsidP="00B761D8">
      <w:pPr>
        <w:spacing w:after="0"/>
        <w:rPr>
          <w:rFonts w:ascii="Arial" w:hAnsi="Arial" w:cs="Arial"/>
          <w:b/>
          <w:sz w:val="24"/>
          <w:szCs w:val="24"/>
        </w:rPr>
      </w:pPr>
      <w:r>
        <w:rPr>
          <w:rFonts w:ascii="Arial" w:hAnsi="Arial" w:cs="Arial"/>
          <w:b/>
          <w:sz w:val="24"/>
          <w:szCs w:val="24"/>
        </w:rPr>
        <w:t>Ref 2: 2025 IRM rate model, DVA continuity, Tab 3</w:t>
      </w:r>
    </w:p>
    <w:p w14:paraId="0CF7B1BD" w14:textId="77777777" w:rsidR="00B761D8" w:rsidRDefault="00B761D8" w:rsidP="00B761D8">
      <w:pPr>
        <w:spacing w:after="0"/>
        <w:rPr>
          <w:rFonts w:ascii="Arial" w:hAnsi="Arial" w:cs="Arial"/>
          <w:b/>
          <w:sz w:val="24"/>
          <w:szCs w:val="24"/>
        </w:rPr>
      </w:pPr>
    </w:p>
    <w:p w14:paraId="156A5C5B" w14:textId="77777777" w:rsidR="00B761D8" w:rsidRDefault="00B761D8" w:rsidP="00B761D8">
      <w:pPr>
        <w:spacing w:after="0"/>
        <w:rPr>
          <w:rFonts w:ascii="Arial" w:hAnsi="Arial" w:cs="Arial"/>
          <w:b/>
          <w:bCs/>
          <w:sz w:val="24"/>
          <w:szCs w:val="24"/>
        </w:rPr>
      </w:pPr>
      <w:r w:rsidRPr="009753FE">
        <w:rPr>
          <w:rFonts w:ascii="Arial" w:hAnsi="Arial" w:cs="Arial"/>
          <w:b/>
          <w:bCs/>
          <w:sz w:val="24"/>
          <w:szCs w:val="24"/>
        </w:rPr>
        <w:t xml:space="preserve">Preamble: </w:t>
      </w:r>
    </w:p>
    <w:p w14:paraId="5865C520" w14:textId="77777777" w:rsidR="009E10C6" w:rsidRPr="009753FE" w:rsidRDefault="009E10C6" w:rsidP="00B761D8">
      <w:pPr>
        <w:spacing w:after="0"/>
        <w:rPr>
          <w:rFonts w:ascii="Arial" w:hAnsi="Arial" w:cs="Arial"/>
          <w:b/>
          <w:bCs/>
          <w:sz w:val="24"/>
          <w:szCs w:val="24"/>
        </w:rPr>
      </w:pPr>
    </w:p>
    <w:p w14:paraId="2C65C77B" w14:textId="56DF8273" w:rsidR="00B761D8" w:rsidRDefault="00B761D8" w:rsidP="00B761D8">
      <w:pPr>
        <w:spacing w:after="0"/>
        <w:rPr>
          <w:rFonts w:ascii="Arial" w:hAnsi="Arial" w:cs="Arial"/>
          <w:bCs/>
          <w:sz w:val="24"/>
          <w:szCs w:val="24"/>
        </w:rPr>
      </w:pPr>
      <w:r w:rsidRPr="00FA6129">
        <w:rPr>
          <w:rFonts w:ascii="Arial" w:hAnsi="Arial" w:cs="Arial"/>
          <w:bCs/>
          <w:sz w:val="24"/>
          <w:szCs w:val="24"/>
        </w:rPr>
        <w:t xml:space="preserve">Per </w:t>
      </w:r>
      <w:r>
        <w:rPr>
          <w:rFonts w:ascii="Arial" w:hAnsi="Arial" w:cs="Arial"/>
          <w:bCs/>
          <w:sz w:val="24"/>
          <w:szCs w:val="24"/>
        </w:rPr>
        <w:t xml:space="preserve">Ref 1 &amp; Ref 2 above, OEB staff has </w:t>
      </w:r>
      <w:r w:rsidR="00BA4321">
        <w:rPr>
          <w:rFonts w:ascii="Arial" w:hAnsi="Arial" w:cs="Arial"/>
          <w:bCs/>
          <w:sz w:val="24"/>
          <w:szCs w:val="24"/>
        </w:rPr>
        <w:t>compiled</w:t>
      </w:r>
      <w:r>
        <w:rPr>
          <w:rFonts w:ascii="Arial" w:hAnsi="Arial" w:cs="Arial"/>
          <w:bCs/>
          <w:sz w:val="24"/>
          <w:szCs w:val="24"/>
        </w:rPr>
        <w:t xml:space="preserve"> the following table:</w:t>
      </w:r>
    </w:p>
    <w:p w14:paraId="719C4CB6" w14:textId="77777777" w:rsidR="00BA4321" w:rsidRDefault="00BA4321" w:rsidP="00B761D8">
      <w:pPr>
        <w:spacing w:after="0"/>
        <w:rPr>
          <w:rFonts w:ascii="Arial" w:hAnsi="Arial" w:cs="Arial"/>
          <w:bCs/>
          <w:sz w:val="24"/>
          <w:szCs w:val="24"/>
        </w:rPr>
      </w:pPr>
    </w:p>
    <w:p w14:paraId="077359B6" w14:textId="77777777" w:rsidR="00BA4321" w:rsidRPr="00FA6129" w:rsidRDefault="00BA4321" w:rsidP="00B761D8">
      <w:pPr>
        <w:spacing w:after="0"/>
        <w:rPr>
          <w:rFonts w:ascii="Arial" w:hAnsi="Arial" w:cs="Arial"/>
          <w:bCs/>
          <w:sz w:val="24"/>
          <w:szCs w:val="24"/>
        </w:rPr>
      </w:pPr>
    </w:p>
    <w:tbl>
      <w:tblPr>
        <w:tblStyle w:val="TableGrid"/>
        <w:tblW w:w="9535" w:type="dxa"/>
        <w:tblLook w:val="04A0" w:firstRow="1" w:lastRow="0" w:firstColumn="1" w:lastColumn="0" w:noHBand="0" w:noVBand="1"/>
      </w:tblPr>
      <w:tblGrid>
        <w:gridCol w:w="2245"/>
        <w:gridCol w:w="3690"/>
        <w:gridCol w:w="3600"/>
      </w:tblGrid>
      <w:tr w:rsidR="00B761D8" w14:paraId="73C4C5E5" w14:textId="77777777" w:rsidTr="00793263">
        <w:tc>
          <w:tcPr>
            <w:tcW w:w="2245" w:type="dxa"/>
          </w:tcPr>
          <w:p w14:paraId="57A28AE8" w14:textId="77777777" w:rsidR="00B761D8" w:rsidRPr="00276633" w:rsidRDefault="00B761D8" w:rsidP="00793263">
            <w:pPr>
              <w:rPr>
                <w:rFonts w:ascii="Arial" w:hAnsi="Arial" w:cs="Arial"/>
                <w:bCs/>
                <w:sz w:val="24"/>
                <w:szCs w:val="24"/>
              </w:rPr>
            </w:pPr>
          </w:p>
        </w:tc>
        <w:tc>
          <w:tcPr>
            <w:tcW w:w="3690" w:type="dxa"/>
          </w:tcPr>
          <w:p w14:paraId="11B7BC3A" w14:textId="77777777" w:rsidR="00B761D8" w:rsidRPr="00276633" w:rsidRDefault="00B761D8" w:rsidP="00793263">
            <w:pPr>
              <w:rPr>
                <w:rFonts w:ascii="Arial" w:hAnsi="Arial" w:cs="Arial"/>
                <w:bCs/>
                <w:sz w:val="24"/>
                <w:szCs w:val="24"/>
              </w:rPr>
            </w:pPr>
            <w:r w:rsidRPr="00276633">
              <w:rPr>
                <w:rFonts w:ascii="Arial" w:hAnsi="Arial" w:cs="Arial"/>
                <w:bCs/>
                <w:sz w:val="24"/>
                <w:szCs w:val="24"/>
              </w:rPr>
              <w:t xml:space="preserve">Interest adjustment </w:t>
            </w:r>
            <w:r>
              <w:rPr>
                <w:rFonts w:ascii="Arial" w:hAnsi="Arial" w:cs="Arial"/>
                <w:bCs/>
                <w:sz w:val="24"/>
                <w:szCs w:val="24"/>
              </w:rPr>
              <w:t>during 2022 (Ref 1)</w:t>
            </w:r>
          </w:p>
        </w:tc>
        <w:tc>
          <w:tcPr>
            <w:tcW w:w="3600" w:type="dxa"/>
          </w:tcPr>
          <w:p w14:paraId="50BCBDA8" w14:textId="77777777" w:rsidR="00B761D8" w:rsidRPr="00276633" w:rsidRDefault="00B761D8" w:rsidP="00793263">
            <w:pPr>
              <w:rPr>
                <w:rFonts w:ascii="Arial" w:hAnsi="Arial" w:cs="Arial"/>
                <w:bCs/>
                <w:sz w:val="24"/>
                <w:szCs w:val="24"/>
              </w:rPr>
            </w:pPr>
            <w:r w:rsidRPr="00276633">
              <w:rPr>
                <w:rFonts w:ascii="Arial" w:hAnsi="Arial" w:cs="Arial"/>
                <w:bCs/>
                <w:sz w:val="24"/>
                <w:szCs w:val="24"/>
              </w:rPr>
              <w:t xml:space="preserve">Interest adjustment </w:t>
            </w:r>
            <w:r>
              <w:rPr>
                <w:rFonts w:ascii="Arial" w:hAnsi="Arial" w:cs="Arial"/>
                <w:bCs/>
                <w:sz w:val="24"/>
                <w:szCs w:val="24"/>
              </w:rPr>
              <w:t>during 2023 (Ref 2)</w:t>
            </w:r>
          </w:p>
        </w:tc>
      </w:tr>
      <w:tr w:rsidR="00B761D8" w14:paraId="36C1F33E" w14:textId="77777777" w:rsidTr="00793263">
        <w:tc>
          <w:tcPr>
            <w:tcW w:w="2245" w:type="dxa"/>
          </w:tcPr>
          <w:p w14:paraId="5EE8E9A9" w14:textId="77777777" w:rsidR="00B761D8" w:rsidRPr="00276633" w:rsidRDefault="00B761D8" w:rsidP="00793263">
            <w:pPr>
              <w:rPr>
                <w:rFonts w:ascii="Arial" w:hAnsi="Arial" w:cs="Arial"/>
                <w:bCs/>
                <w:sz w:val="24"/>
                <w:szCs w:val="24"/>
              </w:rPr>
            </w:pPr>
            <w:r>
              <w:rPr>
                <w:rFonts w:ascii="Arial" w:hAnsi="Arial" w:cs="Arial"/>
                <w:bCs/>
                <w:sz w:val="24"/>
                <w:szCs w:val="24"/>
              </w:rPr>
              <w:t>1580 RSVA WMS</w:t>
            </w:r>
          </w:p>
        </w:tc>
        <w:tc>
          <w:tcPr>
            <w:tcW w:w="3690" w:type="dxa"/>
          </w:tcPr>
          <w:p w14:paraId="2858E1D2" w14:textId="77777777" w:rsidR="00B761D8" w:rsidRPr="006E44C4" w:rsidRDefault="00B761D8" w:rsidP="00793263">
            <w:pPr>
              <w:jc w:val="right"/>
              <w:rPr>
                <w:rFonts w:ascii="Arial" w:hAnsi="Arial" w:cs="Arial"/>
                <w:bCs/>
                <w:color w:val="FF0000"/>
                <w:sz w:val="24"/>
                <w:szCs w:val="24"/>
              </w:rPr>
            </w:pPr>
            <w:r w:rsidRPr="006E44C4">
              <w:rPr>
                <w:rFonts w:ascii="Arial" w:hAnsi="Arial" w:cs="Arial"/>
                <w:bCs/>
                <w:color w:val="FF0000"/>
                <w:sz w:val="24"/>
                <w:szCs w:val="24"/>
              </w:rPr>
              <w:t>($5,948)</w:t>
            </w:r>
          </w:p>
        </w:tc>
        <w:tc>
          <w:tcPr>
            <w:tcW w:w="3600" w:type="dxa"/>
          </w:tcPr>
          <w:p w14:paraId="74DBFE91" w14:textId="77777777" w:rsidR="00B761D8" w:rsidRPr="006E44C4" w:rsidRDefault="00B761D8" w:rsidP="00793263">
            <w:pPr>
              <w:jc w:val="right"/>
              <w:rPr>
                <w:rFonts w:ascii="Arial" w:hAnsi="Arial" w:cs="Arial"/>
                <w:bCs/>
                <w:sz w:val="24"/>
                <w:szCs w:val="24"/>
              </w:rPr>
            </w:pPr>
            <w:r w:rsidRPr="006E44C4">
              <w:rPr>
                <w:rFonts w:ascii="Arial" w:hAnsi="Arial" w:cs="Arial"/>
                <w:bCs/>
                <w:sz w:val="24"/>
                <w:szCs w:val="24"/>
              </w:rPr>
              <w:t>$5,948</w:t>
            </w:r>
          </w:p>
        </w:tc>
      </w:tr>
      <w:tr w:rsidR="00B761D8" w14:paraId="54A4C06F" w14:textId="77777777" w:rsidTr="00793263">
        <w:tc>
          <w:tcPr>
            <w:tcW w:w="2245" w:type="dxa"/>
          </w:tcPr>
          <w:p w14:paraId="499D6106" w14:textId="77777777" w:rsidR="00B761D8" w:rsidRPr="00276633" w:rsidRDefault="00B761D8" w:rsidP="00793263">
            <w:pPr>
              <w:rPr>
                <w:rFonts w:ascii="Arial" w:hAnsi="Arial" w:cs="Arial"/>
                <w:bCs/>
                <w:sz w:val="24"/>
                <w:szCs w:val="24"/>
              </w:rPr>
            </w:pPr>
            <w:r>
              <w:rPr>
                <w:rFonts w:ascii="Arial" w:hAnsi="Arial" w:cs="Arial"/>
                <w:bCs/>
                <w:sz w:val="24"/>
                <w:szCs w:val="24"/>
              </w:rPr>
              <w:t>1580 CBR Class B</w:t>
            </w:r>
          </w:p>
        </w:tc>
        <w:tc>
          <w:tcPr>
            <w:tcW w:w="3690" w:type="dxa"/>
          </w:tcPr>
          <w:p w14:paraId="359FF24E" w14:textId="77777777" w:rsidR="00B761D8" w:rsidRPr="006E44C4" w:rsidRDefault="00B761D8" w:rsidP="00793263">
            <w:pPr>
              <w:jc w:val="right"/>
              <w:rPr>
                <w:rFonts w:ascii="Arial" w:hAnsi="Arial" w:cs="Arial"/>
                <w:bCs/>
                <w:color w:val="FF0000"/>
                <w:sz w:val="24"/>
                <w:szCs w:val="24"/>
              </w:rPr>
            </w:pPr>
            <w:r w:rsidRPr="006E44C4">
              <w:rPr>
                <w:rFonts w:ascii="Arial" w:hAnsi="Arial" w:cs="Arial"/>
                <w:bCs/>
                <w:color w:val="FF0000"/>
                <w:sz w:val="24"/>
                <w:szCs w:val="24"/>
              </w:rPr>
              <w:t>($1,780)</w:t>
            </w:r>
          </w:p>
        </w:tc>
        <w:tc>
          <w:tcPr>
            <w:tcW w:w="3600" w:type="dxa"/>
          </w:tcPr>
          <w:p w14:paraId="541F6CFB" w14:textId="77777777" w:rsidR="00B761D8" w:rsidRPr="006E44C4" w:rsidRDefault="00B761D8" w:rsidP="00793263">
            <w:pPr>
              <w:jc w:val="right"/>
              <w:rPr>
                <w:rFonts w:ascii="Arial" w:hAnsi="Arial" w:cs="Arial"/>
                <w:bCs/>
                <w:sz w:val="24"/>
                <w:szCs w:val="24"/>
              </w:rPr>
            </w:pPr>
            <w:r w:rsidRPr="006E44C4">
              <w:rPr>
                <w:rFonts w:ascii="Arial" w:hAnsi="Arial" w:cs="Arial"/>
                <w:bCs/>
                <w:sz w:val="24"/>
                <w:szCs w:val="24"/>
              </w:rPr>
              <w:t>$1,780</w:t>
            </w:r>
          </w:p>
        </w:tc>
      </w:tr>
      <w:tr w:rsidR="00B761D8" w14:paraId="150877A6" w14:textId="77777777" w:rsidTr="00793263">
        <w:tc>
          <w:tcPr>
            <w:tcW w:w="2245" w:type="dxa"/>
          </w:tcPr>
          <w:p w14:paraId="4F7747B4" w14:textId="77777777" w:rsidR="00B761D8" w:rsidRPr="00276633" w:rsidRDefault="00B761D8" w:rsidP="00793263">
            <w:pPr>
              <w:rPr>
                <w:rFonts w:ascii="Arial" w:hAnsi="Arial" w:cs="Arial"/>
                <w:bCs/>
                <w:sz w:val="24"/>
                <w:szCs w:val="24"/>
              </w:rPr>
            </w:pPr>
            <w:r>
              <w:rPr>
                <w:rFonts w:ascii="Arial" w:hAnsi="Arial" w:cs="Arial"/>
                <w:bCs/>
                <w:sz w:val="24"/>
                <w:szCs w:val="24"/>
              </w:rPr>
              <w:t>1588 RSVA-Power</w:t>
            </w:r>
          </w:p>
        </w:tc>
        <w:tc>
          <w:tcPr>
            <w:tcW w:w="3690" w:type="dxa"/>
          </w:tcPr>
          <w:p w14:paraId="2E069504" w14:textId="77777777" w:rsidR="00B761D8" w:rsidRPr="00276633" w:rsidRDefault="00B761D8" w:rsidP="00793263">
            <w:pPr>
              <w:jc w:val="right"/>
              <w:rPr>
                <w:rFonts w:ascii="Arial" w:hAnsi="Arial" w:cs="Arial"/>
                <w:bCs/>
                <w:sz w:val="24"/>
                <w:szCs w:val="24"/>
              </w:rPr>
            </w:pPr>
            <w:r>
              <w:rPr>
                <w:rFonts w:ascii="Arial" w:hAnsi="Arial" w:cs="Arial"/>
                <w:bCs/>
                <w:sz w:val="24"/>
                <w:szCs w:val="24"/>
              </w:rPr>
              <w:t>$6,249</w:t>
            </w:r>
          </w:p>
        </w:tc>
        <w:tc>
          <w:tcPr>
            <w:tcW w:w="3600" w:type="dxa"/>
          </w:tcPr>
          <w:p w14:paraId="4D8F7F03" w14:textId="77777777" w:rsidR="00B761D8" w:rsidRPr="00276633" w:rsidRDefault="00B761D8" w:rsidP="00793263">
            <w:pPr>
              <w:jc w:val="right"/>
              <w:rPr>
                <w:rFonts w:ascii="Arial" w:hAnsi="Arial" w:cs="Arial"/>
                <w:bCs/>
                <w:sz w:val="24"/>
                <w:szCs w:val="24"/>
              </w:rPr>
            </w:pPr>
            <w:r w:rsidRPr="00FA6129">
              <w:rPr>
                <w:rFonts w:ascii="Arial" w:hAnsi="Arial" w:cs="Arial"/>
                <w:bCs/>
                <w:color w:val="FF0000"/>
                <w:sz w:val="24"/>
                <w:szCs w:val="24"/>
              </w:rPr>
              <w:t>($6,249)</w:t>
            </w:r>
          </w:p>
        </w:tc>
      </w:tr>
      <w:tr w:rsidR="00B761D8" w14:paraId="20B72483" w14:textId="77777777" w:rsidTr="00793263">
        <w:tc>
          <w:tcPr>
            <w:tcW w:w="2245" w:type="dxa"/>
          </w:tcPr>
          <w:p w14:paraId="00E2E1D1" w14:textId="77777777" w:rsidR="00B761D8" w:rsidRPr="00276633" w:rsidRDefault="00B761D8" w:rsidP="00793263">
            <w:pPr>
              <w:rPr>
                <w:rFonts w:ascii="Arial" w:hAnsi="Arial" w:cs="Arial"/>
                <w:bCs/>
                <w:sz w:val="24"/>
                <w:szCs w:val="24"/>
              </w:rPr>
            </w:pPr>
            <w:r>
              <w:rPr>
                <w:rFonts w:ascii="Arial" w:hAnsi="Arial" w:cs="Arial"/>
                <w:bCs/>
                <w:sz w:val="24"/>
                <w:szCs w:val="24"/>
              </w:rPr>
              <w:t>1589 RSVA-GA</w:t>
            </w:r>
          </w:p>
        </w:tc>
        <w:tc>
          <w:tcPr>
            <w:tcW w:w="3690" w:type="dxa"/>
          </w:tcPr>
          <w:p w14:paraId="1AFDBF7B" w14:textId="77777777" w:rsidR="00B761D8" w:rsidRPr="00276633" w:rsidRDefault="00B761D8" w:rsidP="00793263">
            <w:pPr>
              <w:jc w:val="right"/>
              <w:rPr>
                <w:rFonts w:ascii="Arial" w:hAnsi="Arial" w:cs="Arial"/>
                <w:bCs/>
                <w:sz w:val="24"/>
                <w:szCs w:val="24"/>
              </w:rPr>
            </w:pPr>
            <w:r w:rsidRPr="00FA6129">
              <w:rPr>
                <w:rFonts w:ascii="Arial" w:hAnsi="Arial" w:cs="Arial"/>
                <w:bCs/>
                <w:color w:val="FF0000"/>
                <w:sz w:val="24"/>
                <w:szCs w:val="24"/>
              </w:rPr>
              <w:t>($323,867)</w:t>
            </w:r>
          </w:p>
        </w:tc>
        <w:tc>
          <w:tcPr>
            <w:tcW w:w="3600" w:type="dxa"/>
          </w:tcPr>
          <w:p w14:paraId="13A7A023" w14:textId="77777777" w:rsidR="00B761D8" w:rsidRPr="00276633" w:rsidRDefault="00B761D8" w:rsidP="00793263">
            <w:pPr>
              <w:jc w:val="right"/>
              <w:rPr>
                <w:rFonts w:ascii="Arial" w:hAnsi="Arial" w:cs="Arial"/>
                <w:bCs/>
                <w:sz w:val="24"/>
                <w:szCs w:val="24"/>
              </w:rPr>
            </w:pPr>
            <w:r>
              <w:rPr>
                <w:rFonts w:ascii="Arial" w:hAnsi="Arial" w:cs="Arial"/>
                <w:bCs/>
                <w:sz w:val="24"/>
                <w:szCs w:val="24"/>
              </w:rPr>
              <w:t>$323,867</w:t>
            </w:r>
          </w:p>
        </w:tc>
      </w:tr>
    </w:tbl>
    <w:p w14:paraId="2D0083DB" w14:textId="77777777" w:rsidR="00B761D8" w:rsidRDefault="00B761D8" w:rsidP="00B761D8">
      <w:pPr>
        <w:spacing w:after="0"/>
        <w:rPr>
          <w:rFonts w:ascii="Arial" w:hAnsi="Arial" w:cs="Arial"/>
          <w:b/>
          <w:sz w:val="24"/>
          <w:szCs w:val="24"/>
        </w:rPr>
      </w:pPr>
    </w:p>
    <w:p w14:paraId="07CF249E" w14:textId="77777777" w:rsidR="00B761D8" w:rsidRDefault="00B761D8" w:rsidP="00B761D8">
      <w:pPr>
        <w:spacing w:after="0"/>
        <w:rPr>
          <w:rFonts w:ascii="Arial" w:hAnsi="Arial" w:cs="Arial"/>
          <w:bCs/>
          <w:sz w:val="24"/>
          <w:szCs w:val="24"/>
        </w:rPr>
      </w:pPr>
      <w:r w:rsidRPr="006866E2">
        <w:rPr>
          <w:rFonts w:ascii="Arial" w:hAnsi="Arial" w:cs="Arial"/>
          <w:bCs/>
          <w:sz w:val="24"/>
          <w:szCs w:val="24"/>
        </w:rPr>
        <w:t xml:space="preserve">OEB staff notes from the above table that the 2022 interest adjustments </w:t>
      </w:r>
      <w:r>
        <w:rPr>
          <w:rFonts w:ascii="Arial" w:hAnsi="Arial" w:cs="Arial"/>
          <w:bCs/>
          <w:sz w:val="24"/>
          <w:szCs w:val="24"/>
        </w:rPr>
        <w:t>of</w:t>
      </w:r>
      <w:r w:rsidRPr="006866E2">
        <w:rPr>
          <w:rFonts w:ascii="Arial" w:hAnsi="Arial" w:cs="Arial"/>
          <w:bCs/>
          <w:sz w:val="24"/>
          <w:szCs w:val="24"/>
        </w:rPr>
        <w:t xml:space="preserve"> the above accounts are reversed in 2023 in this year’s DVA continuity schedule of the IRM rate generator model. </w:t>
      </w:r>
    </w:p>
    <w:p w14:paraId="11E8A53C" w14:textId="77777777" w:rsidR="00BA4321" w:rsidRPr="006866E2" w:rsidRDefault="00BA4321" w:rsidP="00B761D8">
      <w:pPr>
        <w:spacing w:after="0"/>
        <w:rPr>
          <w:rFonts w:ascii="Arial" w:hAnsi="Arial" w:cs="Arial"/>
          <w:bCs/>
          <w:sz w:val="24"/>
          <w:szCs w:val="24"/>
        </w:rPr>
      </w:pPr>
    </w:p>
    <w:p w14:paraId="30BC7823" w14:textId="77777777" w:rsidR="00B761D8" w:rsidRDefault="00B761D8" w:rsidP="00B761D8">
      <w:pPr>
        <w:spacing w:after="0"/>
        <w:rPr>
          <w:rFonts w:ascii="Arial" w:hAnsi="Arial" w:cs="Arial"/>
          <w:b/>
          <w:sz w:val="24"/>
          <w:szCs w:val="24"/>
        </w:rPr>
      </w:pPr>
      <w:r w:rsidRPr="009753FE">
        <w:rPr>
          <w:rFonts w:ascii="Arial" w:hAnsi="Arial" w:cs="Arial"/>
          <w:b/>
          <w:sz w:val="24"/>
          <w:szCs w:val="24"/>
        </w:rPr>
        <w:t>Question(s):</w:t>
      </w:r>
    </w:p>
    <w:p w14:paraId="174562DE" w14:textId="77777777" w:rsidR="009E10C6" w:rsidRPr="009753FE" w:rsidRDefault="009E10C6" w:rsidP="00B761D8">
      <w:pPr>
        <w:spacing w:after="0"/>
        <w:rPr>
          <w:rFonts w:ascii="Arial" w:hAnsi="Arial" w:cs="Arial"/>
          <w:b/>
          <w:sz w:val="24"/>
          <w:szCs w:val="24"/>
        </w:rPr>
      </w:pPr>
    </w:p>
    <w:p w14:paraId="4959916C" w14:textId="77777777" w:rsidR="00B761D8" w:rsidRPr="00CA1064" w:rsidRDefault="00B761D8" w:rsidP="00B761D8">
      <w:pPr>
        <w:pStyle w:val="ListParagraph"/>
        <w:numPr>
          <w:ilvl w:val="0"/>
          <w:numId w:val="36"/>
        </w:numPr>
        <w:spacing w:after="0"/>
        <w:rPr>
          <w:rFonts w:ascii="Arial" w:hAnsi="Arial" w:cs="Arial"/>
          <w:sz w:val="24"/>
          <w:szCs w:val="24"/>
        </w:rPr>
      </w:pPr>
      <w:r w:rsidRPr="00CA1064">
        <w:rPr>
          <w:rFonts w:ascii="Arial" w:hAnsi="Arial" w:cs="Arial"/>
          <w:bCs/>
          <w:sz w:val="24"/>
          <w:szCs w:val="24"/>
        </w:rPr>
        <w:t xml:space="preserve">Please </w:t>
      </w:r>
      <w:r>
        <w:rPr>
          <w:rFonts w:ascii="Arial" w:hAnsi="Arial" w:cs="Arial"/>
          <w:bCs/>
          <w:sz w:val="24"/>
          <w:szCs w:val="24"/>
        </w:rPr>
        <w:t>explain why the 2022 interest adjustments are reversed in 2023 as noted in the table above.</w:t>
      </w:r>
    </w:p>
    <w:p w14:paraId="0C2CAEFF" w14:textId="77777777" w:rsidR="00B761D8" w:rsidRDefault="00B761D8" w:rsidP="00B761D8">
      <w:pPr>
        <w:spacing w:after="0"/>
        <w:rPr>
          <w:rFonts w:ascii="Arial" w:hAnsi="Arial" w:cs="Arial"/>
          <w:bCs/>
          <w:sz w:val="24"/>
          <w:szCs w:val="24"/>
        </w:rPr>
      </w:pPr>
    </w:p>
    <w:p w14:paraId="294224D6" w14:textId="77777777" w:rsidR="00B761D8" w:rsidRDefault="00B761D8" w:rsidP="00B761D8">
      <w:pPr>
        <w:spacing w:after="0"/>
        <w:rPr>
          <w:rFonts w:ascii="Arial" w:hAnsi="Arial" w:cs="Arial"/>
          <w:b/>
          <w:sz w:val="24"/>
          <w:szCs w:val="24"/>
        </w:rPr>
      </w:pPr>
      <w:r>
        <w:rPr>
          <w:rFonts w:ascii="Arial" w:hAnsi="Arial" w:cs="Arial"/>
          <w:b/>
          <w:sz w:val="24"/>
          <w:szCs w:val="24"/>
        </w:rPr>
        <w:t>Staff Question-3</w:t>
      </w:r>
    </w:p>
    <w:p w14:paraId="698BE20F" w14:textId="77777777" w:rsidR="00B761D8" w:rsidRDefault="00B761D8" w:rsidP="00B761D8">
      <w:pPr>
        <w:spacing w:after="0"/>
        <w:rPr>
          <w:rFonts w:ascii="Arial" w:hAnsi="Arial" w:cs="Arial"/>
          <w:b/>
          <w:sz w:val="24"/>
          <w:szCs w:val="24"/>
        </w:rPr>
      </w:pPr>
      <w:r>
        <w:rPr>
          <w:rFonts w:ascii="Arial" w:hAnsi="Arial" w:cs="Arial"/>
          <w:b/>
          <w:sz w:val="24"/>
          <w:szCs w:val="24"/>
        </w:rPr>
        <w:t>Class A volume</w:t>
      </w:r>
    </w:p>
    <w:p w14:paraId="366C3BC2" w14:textId="77777777" w:rsidR="00B761D8" w:rsidRDefault="00B761D8" w:rsidP="00B761D8">
      <w:pPr>
        <w:spacing w:after="0"/>
        <w:rPr>
          <w:rFonts w:ascii="Arial" w:hAnsi="Arial" w:cs="Arial"/>
          <w:b/>
          <w:sz w:val="24"/>
          <w:szCs w:val="24"/>
        </w:rPr>
      </w:pPr>
      <w:r>
        <w:rPr>
          <w:rFonts w:ascii="Arial" w:hAnsi="Arial" w:cs="Arial"/>
          <w:b/>
          <w:sz w:val="24"/>
          <w:szCs w:val="24"/>
        </w:rPr>
        <w:t>Ref 1: 2025 IRM rate model, Tab 6, Table 3b</w:t>
      </w:r>
    </w:p>
    <w:p w14:paraId="713D40F0" w14:textId="77777777" w:rsidR="00B761D8" w:rsidRDefault="00B761D8" w:rsidP="00B761D8">
      <w:pPr>
        <w:spacing w:after="0"/>
        <w:rPr>
          <w:rFonts w:ascii="Arial" w:hAnsi="Arial" w:cs="Arial"/>
          <w:b/>
          <w:sz w:val="24"/>
          <w:szCs w:val="24"/>
        </w:rPr>
      </w:pPr>
      <w:r>
        <w:rPr>
          <w:rFonts w:ascii="Arial" w:hAnsi="Arial" w:cs="Arial"/>
          <w:b/>
          <w:sz w:val="24"/>
          <w:szCs w:val="24"/>
        </w:rPr>
        <w:t>Ref 2: 2025 GA Analysis Form, Tab GA 2023, Note 2</w:t>
      </w:r>
    </w:p>
    <w:p w14:paraId="55F1319F" w14:textId="77777777" w:rsidR="00B761D8" w:rsidRDefault="00B761D8" w:rsidP="00B761D8">
      <w:pPr>
        <w:spacing w:after="0"/>
        <w:rPr>
          <w:rFonts w:ascii="Arial" w:hAnsi="Arial" w:cs="Arial"/>
          <w:b/>
          <w:sz w:val="24"/>
          <w:szCs w:val="24"/>
        </w:rPr>
      </w:pPr>
    </w:p>
    <w:p w14:paraId="2109731C" w14:textId="77777777" w:rsidR="00B761D8" w:rsidRDefault="00B761D8" w:rsidP="00B761D8">
      <w:pPr>
        <w:spacing w:after="0"/>
        <w:rPr>
          <w:rFonts w:ascii="Arial" w:hAnsi="Arial" w:cs="Arial"/>
          <w:b/>
          <w:bCs/>
          <w:sz w:val="24"/>
          <w:szCs w:val="24"/>
        </w:rPr>
      </w:pPr>
      <w:r w:rsidRPr="009753FE">
        <w:rPr>
          <w:rFonts w:ascii="Arial" w:hAnsi="Arial" w:cs="Arial"/>
          <w:b/>
          <w:bCs/>
          <w:sz w:val="24"/>
          <w:szCs w:val="24"/>
        </w:rPr>
        <w:t xml:space="preserve">Preamble: </w:t>
      </w:r>
    </w:p>
    <w:p w14:paraId="6A0E20D2" w14:textId="77777777" w:rsidR="009E10C6" w:rsidRPr="009753FE" w:rsidRDefault="009E10C6" w:rsidP="00B761D8">
      <w:pPr>
        <w:spacing w:after="0"/>
        <w:rPr>
          <w:rFonts w:ascii="Arial" w:hAnsi="Arial" w:cs="Arial"/>
          <w:b/>
          <w:bCs/>
          <w:sz w:val="24"/>
          <w:szCs w:val="24"/>
        </w:rPr>
      </w:pPr>
    </w:p>
    <w:p w14:paraId="0291C48E" w14:textId="77777777" w:rsidR="00B761D8" w:rsidRDefault="00B761D8" w:rsidP="00B761D8">
      <w:pPr>
        <w:spacing w:after="0"/>
        <w:rPr>
          <w:rFonts w:ascii="Arial" w:hAnsi="Arial" w:cs="Arial"/>
          <w:bCs/>
          <w:sz w:val="24"/>
          <w:szCs w:val="24"/>
        </w:rPr>
      </w:pPr>
      <w:r>
        <w:rPr>
          <w:rFonts w:ascii="Arial" w:hAnsi="Arial" w:cs="Arial"/>
          <w:bCs/>
          <w:sz w:val="24"/>
          <w:szCs w:val="24"/>
        </w:rPr>
        <w:t>Per Ref 1, the total volume of Class A customers in 2023 is 605,836,357 kWh.</w:t>
      </w:r>
    </w:p>
    <w:p w14:paraId="2D2E24B9" w14:textId="77777777" w:rsidR="00B761D8" w:rsidRDefault="00B761D8" w:rsidP="00B761D8">
      <w:pPr>
        <w:spacing w:after="0"/>
        <w:rPr>
          <w:rFonts w:ascii="Arial" w:hAnsi="Arial" w:cs="Arial"/>
          <w:bCs/>
          <w:sz w:val="24"/>
          <w:szCs w:val="24"/>
        </w:rPr>
      </w:pPr>
      <w:r>
        <w:rPr>
          <w:rFonts w:ascii="Arial" w:hAnsi="Arial" w:cs="Arial"/>
          <w:bCs/>
          <w:sz w:val="24"/>
          <w:szCs w:val="24"/>
        </w:rPr>
        <w:t>Per Ref 2, the volume of Non-RPP Class A is 614,995,314 kWh.</w:t>
      </w:r>
    </w:p>
    <w:p w14:paraId="5E439C55" w14:textId="77777777" w:rsidR="00B761D8" w:rsidRDefault="00B761D8" w:rsidP="00B761D8">
      <w:pPr>
        <w:spacing w:after="0"/>
        <w:rPr>
          <w:rFonts w:ascii="Arial" w:hAnsi="Arial" w:cs="Arial"/>
          <w:bCs/>
          <w:sz w:val="24"/>
          <w:szCs w:val="24"/>
        </w:rPr>
      </w:pPr>
    </w:p>
    <w:p w14:paraId="62D15287" w14:textId="77777777" w:rsidR="00B761D8" w:rsidRDefault="00B761D8" w:rsidP="00B761D8">
      <w:pPr>
        <w:spacing w:after="0"/>
        <w:rPr>
          <w:rFonts w:ascii="Arial" w:hAnsi="Arial" w:cs="Arial"/>
          <w:bCs/>
          <w:sz w:val="24"/>
          <w:szCs w:val="24"/>
        </w:rPr>
      </w:pPr>
      <w:r>
        <w:rPr>
          <w:rFonts w:ascii="Arial" w:hAnsi="Arial" w:cs="Arial"/>
          <w:bCs/>
          <w:sz w:val="24"/>
          <w:szCs w:val="24"/>
        </w:rPr>
        <w:t>The volume difference of Class A in 2023 between Ref 1 and Ref 2 is 9,158,957 kWh.</w:t>
      </w:r>
    </w:p>
    <w:p w14:paraId="1357E33B" w14:textId="77777777" w:rsidR="00B761D8" w:rsidRDefault="00B761D8" w:rsidP="00B761D8">
      <w:pPr>
        <w:spacing w:after="0"/>
        <w:rPr>
          <w:rFonts w:ascii="Arial" w:hAnsi="Arial" w:cs="Arial"/>
          <w:bCs/>
          <w:sz w:val="24"/>
          <w:szCs w:val="24"/>
        </w:rPr>
      </w:pPr>
    </w:p>
    <w:p w14:paraId="2DB50E46" w14:textId="77777777" w:rsidR="00B761D8" w:rsidRDefault="00B761D8" w:rsidP="00B761D8">
      <w:pPr>
        <w:spacing w:after="0"/>
        <w:rPr>
          <w:rFonts w:ascii="Arial" w:hAnsi="Arial" w:cs="Arial"/>
          <w:b/>
          <w:sz w:val="24"/>
          <w:szCs w:val="24"/>
        </w:rPr>
      </w:pPr>
      <w:r w:rsidRPr="009753FE">
        <w:rPr>
          <w:rFonts w:ascii="Arial" w:hAnsi="Arial" w:cs="Arial"/>
          <w:b/>
          <w:sz w:val="24"/>
          <w:szCs w:val="24"/>
        </w:rPr>
        <w:t>Question(s):</w:t>
      </w:r>
    </w:p>
    <w:p w14:paraId="7097B671" w14:textId="77777777" w:rsidR="009E10C6" w:rsidRPr="009753FE" w:rsidRDefault="009E10C6" w:rsidP="00B761D8">
      <w:pPr>
        <w:spacing w:after="0"/>
        <w:rPr>
          <w:rFonts w:ascii="Arial" w:hAnsi="Arial" w:cs="Arial"/>
          <w:b/>
          <w:sz w:val="24"/>
          <w:szCs w:val="24"/>
        </w:rPr>
      </w:pPr>
    </w:p>
    <w:p w14:paraId="15F163FB" w14:textId="77777777" w:rsidR="00B761D8" w:rsidRDefault="00B761D8" w:rsidP="00B761D8">
      <w:pPr>
        <w:pStyle w:val="ListParagraph"/>
        <w:numPr>
          <w:ilvl w:val="0"/>
          <w:numId w:val="37"/>
        </w:numPr>
        <w:spacing w:after="0"/>
        <w:rPr>
          <w:rFonts w:ascii="Arial" w:hAnsi="Arial" w:cs="Arial"/>
          <w:bCs/>
          <w:sz w:val="24"/>
          <w:szCs w:val="24"/>
        </w:rPr>
      </w:pPr>
      <w:r>
        <w:rPr>
          <w:rFonts w:ascii="Arial" w:hAnsi="Arial" w:cs="Arial"/>
          <w:bCs/>
          <w:sz w:val="24"/>
          <w:szCs w:val="24"/>
        </w:rPr>
        <w:t xml:space="preserve">Please explain/reconcile the noted difference above and update the evidence as applicable. </w:t>
      </w:r>
    </w:p>
    <w:p w14:paraId="6666659B" w14:textId="77777777" w:rsidR="00B761D8" w:rsidRDefault="00B761D8" w:rsidP="00B761D8">
      <w:pPr>
        <w:spacing w:after="0"/>
        <w:rPr>
          <w:rFonts w:ascii="Arial" w:hAnsi="Arial" w:cs="Arial"/>
          <w:b/>
          <w:bCs/>
          <w:sz w:val="24"/>
          <w:szCs w:val="24"/>
        </w:rPr>
      </w:pPr>
    </w:p>
    <w:p w14:paraId="06244F75" w14:textId="5232925E" w:rsidR="00B761D8" w:rsidRDefault="00B761D8" w:rsidP="00B761D8">
      <w:pPr>
        <w:spacing w:after="0"/>
        <w:rPr>
          <w:rFonts w:ascii="Arial" w:hAnsi="Arial" w:cs="Arial"/>
          <w:b/>
          <w:bCs/>
          <w:sz w:val="24"/>
          <w:szCs w:val="24"/>
        </w:rPr>
      </w:pPr>
      <w:r>
        <w:rPr>
          <w:rFonts w:ascii="Arial" w:hAnsi="Arial" w:cs="Arial"/>
          <w:b/>
          <w:bCs/>
          <w:sz w:val="24"/>
          <w:szCs w:val="24"/>
        </w:rPr>
        <w:t>Staff</w:t>
      </w:r>
      <w:r w:rsidR="00EA45F8">
        <w:rPr>
          <w:rFonts w:ascii="Arial" w:hAnsi="Arial" w:cs="Arial"/>
          <w:b/>
          <w:bCs/>
          <w:sz w:val="24"/>
          <w:szCs w:val="24"/>
        </w:rPr>
        <w:t xml:space="preserve"> Question</w:t>
      </w:r>
      <w:r>
        <w:rPr>
          <w:rFonts w:ascii="Arial" w:hAnsi="Arial" w:cs="Arial"/>
          <w:b/>
          <w:bCs/>
          <w:sz w:val="24"/>
          <w:szCs w:val="24"/>
        </w:rPr>
        <w:t>-4</w:t>
      </w:r>
    </w:p>
    <w:p w14:paraId="053EE3DA" w14:textId="77777777" w:rsidR="00B761D8" w:rsidRDefault="00B761D8" w:rsidP="00B761D8">
      <w:pPr>
        <w:spacing w:after="0"/>
        <w:rPr>
          <w:rFonts w:ascii="Arial" w:hAnsi="Arial" w:cs="Arial"/>
          <w:b/>
          <w:bCs/>
          <w:sz w:val="24"/>
          <w:szCs w:val="24"/>
        </w:rPr>
      </w:pPr>
      <w:r>
        <w:rPr>
          <w:rFonts w:ascii="Arial" w:hAnsi="Arial" w:cs="Arial"/>
          <w:b/>
          <w:bCs/>
          <w:sz w:val="24"/>
          <w:szCs w:val="24"/>
        </w:rPr>
        <w:t>Ref 1: IRM Rate Generator Model, Tab 3, Continuity Schedule</w:t>
      </w:r>
    </w:p>
    <w:p w14:paraId="58B7E388" w14:textId="77777777" w:rsidR="00B761D8" w:rsidRDefault="00B761D8" w:rsidP="00B761D8">
      <w:pPr>
        <w:spacing w:after="0"/>
        <w:rPr>
          <w:rFonts w:ascii="Arial" w:hAnsi="Arial" w:cs="Arial"/>
          <w:b/>
          <w:bCs/>
          <w:sz w:val="24"/>
          <w:szCs w:val="24"/>
        </w:rPr>
      </w:pPr>
    </w:p>
    <w:p w14:paraId="21A0C13C" w14:textId="77777777" w:rsidR="00B761D8" w:rsidRDefault="00B761D8" w:rsidP="00B761D8">
      <w:pPr>
        <w:spacing w:after="0"/>
        <w:rPr>
          <w:rFonts w:ascii="Arial" w:hAnsi="Arial" w:cs="Arial"/>
          <w:b/>
          <w:bCs/>
          <w:sz w:val="24"/>
          <w:szCs w:val="24"/>
        </w:rPr>
      </w:pPr>
      <w:r>
        <w:rPr>
          <w:rFonts w:ascii="Arial" w:hAnsi="Arial" w:cs="Arial"/>
          <w:b/>
          <w:bCs/>
          <w:sz w:val="24"/>
          <w:szCs w:val="24"/>
        </w:rPr>
        <w:t>Preamble:</w:t>
      </w:r>
    </w:p>
    <w:p w14:paraId="2F21D2B2" w14:textId="77777777" w:rsidR="00B761D8" w:rsidRDefault="00B761D8" w:rsidP="00B761D8">
      <w:pPr>
        <w:spacing w:after="0"/>
        <w:rPr>
          <w:rFonts w:ascii="Arial" w:hAnsi="Arial" w:cs="Arial"/>
          <w:b/>
          <w:bCs/>
          <w:sz w:val="24"/>
          <w:szCs w:val="24"/>
        </w:rPr>
      </w:pPr>
    </w:p>
    <w:p w14:paraId="3F9CBD79" w14:textId="77777777" w:rsidR="00B761D8" w:rsidRDefault="00B761D8" w:rsidP="00B761D8">
      <w:pPr>
        <w:spacing w:after="0"/>
        <w:rPr>
          <w:rFonts w:ascii="Arial" w:hAnsi="Arial" w:cs="Arial"/>
          <w:sz w:val="24"/>
          <w:szCs w:val="24"/>
        </w:rPr>
      </w:pPr>
      <w:r>
        <w:rPr>
          <w:rFonts w:ascii="Arial" w:hAnsi="Arial" w:cs="Arial"/>
          <w:sz w:val="24"/>
          <w:szCs w:val="24"/>
        </w:rPr>
        <w:lastRenderedPageBreak/>
        <w:t>On September 13, 2024, the OEB published the 2024 Quarter 4 (Q4) prescribed accounting interest rates applicable to the carrying charges of deferral, variance and construction work in progress (CWIP) accounts of natural gas utilities, electricity distributors and other rate-regulated entities.</w:t>
      </w:r>
    </w:p>
    <w:p w14:paraId="7B1D9761" w14:textId="77777777" w:rsidR="00B761D8" w:rsidRDefault="00B761D8" w:rsidP="00B761D8">
      <w:pPr>
        <w:spacing w:after="0"/>
        <w:rPr>
          <w:rFonts w:ascii="Arial" w:hAnsi="Arial" w:cs="Arial"/>
          <w:sz w:val="24"/>
          <w:szCs w:val="24"/>
        </w:rPr>
      </w:pPr>
    </w:p>
    <w:p w14:paraId="39456EEE" w14:textId="77777777" w:rsidR="00B761D8" w:rsidRDefault="00B761D8" w:rsidP="00B761D8">
      <w:pPr>
        <w:spacing w:after="0"/>
        <w:rPr>
          <w:rFonts w:ascii="Arial" w:hAnsi="Arial" w:cs="Arial"/>
          <w:b/>
          <w:bCs/>
          <w:sz w:val="24"/>
          <w:szCs w:val="24"/>
        </w:rPr>
      </w:pPr>
      <w:r>
        <w:rPr>
          <w:rFonts w:ascii="Arial" w:hAnsi="Arial" w:cs="Arial"/>
          <w:b/>
          <w:bCs/>
          <w:sz w:val="24"/>
          <w:szCs w:val="24"/>
        </w:rPr>
        <w:t>Question(s):</w:t>
      </w:r>
    </w:p>
    <w:p w14:paraId="37BD82B1" w14:textId="77777777" w:rsidR="00B761D8" w:rsidRDefault="00B761D8" w:rsidP="00B761D8">
      <w:pPr>
        <w:spacing w:after="0"/>
        <w:rPr>
          <w:rFonts w:ascii="Arial" w:hAnsi="Arial" w:cs="Arial"/>
          <w:sz w:val="24"/>
          <w:szCs w:val="24"/>
        </w:rPr>
      </w:pPr>
    </w:p>
    <w:p w14:paraId="7C4B9F28" w14:textId="77777777" w:rsidR="00B761D8" w:rsidRDefault="00B761D8" w:rsidP="00B761D8">
      <w:pPr>
        <w:pStyle w:val="ListParagraph"/>
        <w:numPr>
          <w:ilvl w:val="0"/>
          <w:numId w:val="33"/>
        </w:numPr>
        <w:spacing w:after="0"/>
        <w:rPr>
          <w:rFonts w:ascii="Arial" w:hAnsi="Arial" w:cs="Arial"/>
          <w:sz w:val="24"/>
          <w:szCs w:val="24"/>
        </w:rPr>
      </w:pPr>
      <w:r>
        <w:rPr>
          <w:rFonts w:ascii="Arial" w:hAnsi="Arial" w:cs="Arial"/>
          <w:sz w:val="24"/>
          <w:szCs w:val="24"/>
        </w:rPr>
        <w:t>Please confirm if Tab 3 (Continuity Schedule) accounts for the Q4 prescribed interest rate. If not, please reflect the Q4 2024 OEB-prescribed interest rate of 4.40% in Tab 3, as appropriate.</w:t>
      </w:r>
    </w:p>
    <w:p w14:paraId="683A9314" w14:textId="77777777" w:rsidR="00B761D8" w:rsidRDefault="00B761D8" w:rsidP="007D7F2C">
      <w:pPr>
        <w:spacing w:after="0"/>
        <w:rPr>
          <w:rFonts w:ascii="Arial" w:hAnsi="Arial" w:cs="Arial"/>
          <w:b/>
          <w:sz w:val="24"/>
          <w:szCs w:val="24"/>
        </w:rPr>
      </w:pPr>
    </w:p>
    <w:p w14:paraId="0F0275A7" w14:textId="77777777" w:rsidR="00B761D8" w:rsidRDefault="00B761D8" w:rsidP="007D7F2C">
      <w:pPr>
        <w:spacing w:after="0"/>
        <w:rPr>
          <w:rFonts w:ascii="Arial" w:hAnsi="Arial" w:cs="Arial"/>
          <w:b/>
          <w:sz w:val="24"/>
          <w:szCs w:val="24"/>
        </w:rPr>
      </w:pPr>
    </w:p>
    <w:p w14:paraId="3C410D17" w14:textId="4937B6F7" w:rsidR="005F483F" w:rsidRDefault="00D57E8C" w:rsidP="007D7F2C">
      <w:pPr>
        <w:spacing w:after="0"/>
        <w:rPr>
          <w:rFonts w:ascii="Arial" w:hAnsi="Arial" w:cs="Arial"/>
          <w:b/>
          <w:sz w:val="24"/>
          <w:szCs w:val="24"/>
        </w:rPr>
      </w:pPr>
      <w:r>
        <w:rPr>
          <w:rFonts w:ascii="Arial" w:hAnsi="Arial" w:cs="Arial"/>
          <w:b/>
          <w:sz w:val="24"/>
          <w:szCs w:val="24"/>
        </w:rPr>
        <w:t>Staff Question-</w:t>
      </w:r>
      <w:r w:rsidR="00B761D8">
        <w:rPr>
          <w:rFonts w:ascii="Arial" w:hAnsi="Arial" w:cs="Arial"/>
          <w:b/>
          <w:sz w:val="24"/>
          <w:szCs w:val="24"/>
        </w:rPr>
        <w:t>5</w:t>
      </w:r>
    </w:p>
    <w:p w14:paraId="7371890C" w14:textId="5118E76C" w:rsidR="00DD2E38" w:rsidRPr="00566D90" w:rsidRDefault="005F483F" w:rsidP="007D7F2C">
      <w:pPr>
        <w:spacing w:after="0"/>
        <w:ind w:left="720" w:hanging="720"/>
        <w:rPr>
          <w:rFonts w:ascii="Arial" w:eastAsia="Times New Roman" w:hAnsi="Arial" w:cs="Arial"/>
          <w:b/>
          <w:sz w:val="24"/>
          <w:szCs w:val="24"/>
          <w:lang w:val="en-US"/>
        </w:rPr>
      </w:pPr>
      <w:r w:rsidRPr="00566D90">
        <w:rPr>
          <w:rFonts w:ascii="Arial" w:hAnsi="Arial" w:cs="Arial"/>
          <w:b/>
          <w:sz w:val="24"/>
          <w:szCs w:val="24"/>
        </w:rPr>
        <w:t>Ref</w:t>
      </w:r>
      <w:r w:rsidR="0075360A" w:rsidRPr="00566D90">
        <w:rPr>
          <w:rFonts w:ascii="Arial" w:hAnsi="Arial" w:cs="Arial"/>
          <w:b/>
          <w:sz w:val="24"/>
          <w:szCs w:val="24"/>
        </w:rPr>
        <w:t xml:space="preserve"> 1</w:t>
      </w:r>
      <w:r w:rsidRPr="00566D90">
        <w:rPr>
          <w:rFonts w:ascii="Arial" w:hAnsi="Arial" w:cs="Arial"/>
          <w:b/>
          <w:sz w:val="24"/>
          <w:szCs w:val="24"/>
        </w:rPr>
        <w:t xml:space="preserve">: IRM Rate Generator </w:t>
      </w:r>
      <w:r w:rsidR="002925EE">
        <w:rPr>
          <w:rFonts w:ascii="Arial" w:hAnsi="Arial" w:cs="Arial"/>
          <w:b/>
          <w:sz w:val="24"/>
          <w:szCs w:val="24"/>
        </w:rPr>
        <w:t xml:space="preserve">Model, </w:t>
      </w:r>
      <w:r w:rsidRPr="00566D90">
        <w:rPr>
          <w:rFonts w:ascii="Arial" w:hAnsi="Arial" w:cs="Arial"/>
          <w:b/>
          <w:sz w:val="24"/>
          <w:szCs w:val="24"/>
        </w:rPr>
        <w:t xml:space="preserve">Tab </w:t>
      </w:r>
      <w:bookmarkStart w:id="1" w:name="_Hlk184295459"/>
      <w:r w:rsidRPr="00566D90">
        <w:rPr>
          <w:rFonts w:ascii="Arial" w:hAnsi="Arial" w:cs="Arial"/>
          <w:b/>
          <w:sz w:val="24"/>
          <w:szCs w:val="24"/>
        </w:rPr>
        <w:t>1</w:t>
      </w:r>
      <w:r w:rsidR="0075360A" w:rsidRPr="00566D90">
        <w:rPr>
          <w:rFonts w:ascii="Arial" w:hAnsi="Arial" w:cs="Arial"/>
          <w:b/>
          <w:sz w:val="24"/>
          <w:szCs w:val="24"/>
        </w:rPr>
        <w:t>1 RTSR – UTRs &amp; Sub Tx</w:t>
      </w:r>
      <w:r w:rsidRPr="00566D90">
        <w:rPr>
          <w:rFonts w:ascii="Arial" w:hAnsi="Arial" w:cs="Arial"/>
          <w:b/>
          <w:sz w:val="24"/>
          <w:szCs w:val="24"/>
        </w:rPr>
        <w:t xml:space="preserve"> </w:t>
      </w:r>
      <w:bookmarkEnd w:id="1"/>
      <w:r w:rsidR="0075360A" w:rsidRPr="00566D90">
        <w:rPr>
          <w:rFonts w:ascii="Arial" w:hAnsi="Arial" w:cs="Arial"/>
          <w:b/>
          <w:sz w:val="24"/>
          <w:szCs w:val="24"/>
        </w:rPr>
        <w:t xml:space="preserve">and </w:t>
      </w:r>
      <w:r w:rsidR="00DD2E38" w:rsidRPr="00DD2E38">
        <w:rPr>
          <w:rFonts w:ascii="Arial" w:eastAsia="Times New Roman" w:hAnsi="Arial" w:cs="Arial"/>
          <w:b/>
          <w:sz w:val="24"/>
          <w:szCs w:val="24"/>
          <w:lang w:val="en-US"/>
        </w:rPr>
        <w:t>EB-2024-0244</w:t>
      </w:r>
      <w:r w:rsidR="0075360A" w:rsidRPr="00566D90">
        <w:rPr>
          <w:rFonts w:ascii="Arial" w:eastAsia="Times New Roman" w:hAnsi="Arial" w:cs="Arial"/>
          <w:b/>
          <w:sz w:val="24"/>
          <w:szCs w:val="24"/>
          <w:lang w:val="en-US"/>
        </w:rPr>
        <w:t xml:space="preserve">, </w:t>
      </w:r>
      <w:r w:rsidR="00DD2E38" w:rsidRPr="00DD2E38">
        <w:rPr>
          <w:rFonts w:ascii="Arial" w:eastAsia="Times New Roman" w:hAnsi="Arial" w:cs="Arial"/>
          <w:b/>
          <w:sz w:val="24"/>
          <w:szCs w:val="24"/>
          <w:lang w:val="en-US"/>
        </w:rPr>
        <w:t>Letter for 2025 Preliminary Uniform Transmission Rates and Hydro One Sub-Transmission Rates</w:t>
      </w:r>
      <w:r w:rsidR="0075360A" w:rsidRPr="00566D90">
        <w:rPr>
          <w:rFonts w:ascii="Arial" w:eastAsia="Times New Roman" w:hAnsi="Arial" w:cs="Arial"/>
          <w:b/>
          <w:sz w:val="24"/>
          <w:szCs w:val="24"/>
          <w:lang w:val="en-US"/>
        </w:rPr>
        <w:t>,</w:t>
      </w:r>
      <w:r w:rsidR="00DD2E38" w:rsidRPr="00DD2E38">
        <w:rPr>
          <w:rFonts w:ascii="Arial" w:eastAsia="Times New Roman" w:hAnsi="Arial" w:cs="Arial"/>
          <w:b/>
          <w:sz w:val="24"/>
          <w:szCs w:val="24"/>
          <w:lang w:val="en-US"/>
        </w:rPr>
        <w:t xml:space="preserve"> November 1, 2024</w:t>
      </w:r>
      <w:r w:rsidR="0075360A" w:rsidRPr="00566D90">
        <w:rPr>
          <w:rFonts w:ascii="Arial" w:eastAsia="Times New Roman" w:hAnsi="Arial" w:cs="Arial"/>
          <w:b/>
          <w:sz w:val="24"/>
          <w:szCs w:val="24"/>
          <w:lang w:val="en-US"/>
        </w:rPr>
        <w:t>,</w:t>
      </w:r>
      <w:r w:rsidR="00DD2E38" w:rsidRPr="00DD2E38">
        <w:rPr>
          <w:rFonts w:ascii="Arial" w:eastAsia="Times New Roman" w:hAnsi="Arial" w:cs="Arial"/>
          <w:b/>
          <w:sz w:val="24"/>
          <w:szCs w:val="24"/>
          <w:lang w:val="en-US"/>
        </w:rPr>
        <w:t xml:space="preserve"> p. 2</w:t>
      </w:r>
      <w:r w:rsidR="0075360A" w:rsidRPr="00566D90">
        <w:rPr>
          <w:rFonts w:ascii="Arial" w:eastAsia="Times New Roman" w:hAnsi="Arial" w:cs="Arial"/>
          <w:b/>
          <w:sz w:val="24"/>
          <w:szCs w:val="24"/>
          <w:lang w:val="en-US"/>
        </w:rPr>
        <w:t xml:space="preserve">, </w:t>
      </w:r>
      <w:r w:rsidR="00DD2E38" w:rsidRPr="00DD2E38">
        <w:rPr>
          <w:rFonts w:ascii="Arial" w:eastAsia="Times New Roman" w:hAnsi="Arial" w:cs="Arial"/>
          <w:b/>
          <w:sz w:val="24"/>
          <w:szCs w:val="24"/>
          <w:lang w:val="en-US"/>
        </w:rPr>
        <w:t>Appendix B  </w:t>
      </w:r>
    </w:p>
    <w:p w14:paraId="6C759BE1" w14:textId="46FA7454" w:rsidR="00F75401" w:rsidRPr="00DD2E38" w:rsidRDefault="0075360A" w:rsidP="007D7F2C">
      <w:pPr>
        <w:spacing w:before="100" w:beforeAutospacing="1" w:after="100" w:afterAutospacing="1"/>
        <w:ind w:left="720" w:hanging="720"/>
        <w:rPr>
          <w:rFonts w:ascii="Arial" w:eastAsia="Times New Roman" w:hAnsi="Arial" w:cs="Arial"/>
          <w:b/>
          <w:sz w:val="24"/>
          <w:szCs w:val="24"/>
          <w:lang w:val="en-US"/>
        </w:rPr>
      </w:pPr>
      <w:r w:rsidRPr="00566D90">
        <w:rPr>
          <w:rFonts w:ascii="Arial" w:eastAsia="Times New Roman" w:hAnsi="Arial" w:cs="Arial"/>
          <w:b/>
          <w:sz w:val="24"/>
          <w:szCs w:val="24"/>
          <w:lang w:val="en-US"/>
        </w:rPr>
        <w:t xml:space="preserve">Ref 2: IRM Rate Generator </w:t>
      </w:r>
      <w:r w:rsidR="002925EE">
        <w:rPr>
          <w:rFonts w:ascii="Arial" w:eastAsia="Times New Roman" w:hAnsi="Arial" w:cs="Arial"/>
          <w:b/>
          <w:sz w:val="24"/>
          <w:szCs w:val="24"/>
          <w:lang w:val="en-US"/>
        </w:rPr>
        <w:t xml:space="preserve">Model, </w:t>
      </w:r>
      <w:r w:rsidRPr="00566D90">
        <w:rPr>
          <w:rFonts w:ascii="Arial" w:eastAsia="Times New Roman" w:hAnsi="Arial" w:cs="Arial"/>
          <w:b/>
          <w:sz w:val="24"/>
          <w:szCs w:val="24"/>
          <w:lang w:val="en-US"/>
        </w:rPr>
        <w:t>Tab 1</w:t>
      </w:r>
      <w:r w:rsidR="00267DF1" w:rsidRPr="00566D90">
        <w:rPr>
          <w:rFonts w:ascii="Arial" w:eastAsia="Times New Roman" w:hAnsi="Arial" w:cs="Arial"/>
          <w:b/>
          <w:sz w:val="24"/>
          <w:szCs w:val="24"/>
          <w:lang w:val="en-US"/>
        </w:rPr>
        <w:t>8</w:t>
      </w:r>
      <w:r w:rsidRPr="00566D90">
        <w:rPr>
          <w:rFonts w:ascii="Arial" w:eastAsia="Times New Roman" w:hAnsi="Arial" w:cs="Arial"/>
          <w:b/>
          <w:sz w:val="24"/>
          <w:szCs w:val="24"/>
          <w:lang w:val="en-US"/>
        </w:rPr>
        <w:t xml:space="preserve"> </w:t>
      </w:r>
      <w:r w:rsidR="00267DF1" w:rsidRPr="00566D90">
        <w:rPr>
          <w:rFonts w:ascii="Arial" w:eastAsia="Times New Roman" w:hAnsi="Arial" w:cs="Arial"/>
          <w:b/>
          <w:sz w:val="24"/>
          <w:szCs w:val="24"/>
          <w:lang w:val="en-US"/>
        </w:rPr>
        <w:t>Regulatory Charges</w:t>
      </w:r>
      <w:r w:rsidRPr="00566D90">
        <w:rPr>
          <w:rFonts w:ascii="Arial" w:eastAsia="Times New Roman" w:hAnsi="Arial" w:cs="Arial"/>
          <w:b/>
          <w:sz w:val="24"/>
          <w:szCs w:val="24"/>
          <w:lang w:val="en-US"/>
        </w:rPr>
        <w:t>, Tab 21 Bill Impacts</w:t>
      </w:r>
      <w:r w:rsidR="00F75401" w:rsidRPr="00566D90">
        <w:rPr>
          <w:rFonts w:ascii="Arial" w:eastAsia="Times New Roman" w:hAnsi="Arial" w:cs="Arial"/>
          <w:b/>
          <w:sz w:val="24"/>
          <w:szCs w:val="24"/>
          <w:lang w:val="en-US"/>
        </w:rPr>
        <w:t xml:space="preserve"> and </w:t>
      </w:r>
      <w:r w:rsidR="00F75401" w:rsidRPr="00DD2E38">
        <w:rPr>
          <w:rFonts w:ascii="Arial" w:eastAsia="Times New Roman" w:hAnsi="Arial" w:cs="Arial"/>
          <w:b/>
          <w:sz w:val="24"/>
          <w:szCs w:val="24"/>
          <w:lang w:val="en-US"/>
        </w:rPr>
        <w:t xml:space="preserve">Time of Use (TOU) prices set by the OEB for </w:t>
      </w:r>
      <w:hyperlink r:id="rId10" w:history="1">
        <w:r w:rsidR="00F75401" w:rsidRPr="00FC7B38">
          <w:rPr>
            <w:rStyle w:val="Hyperlink"/>
            <w:rFonts w:ascii="Arial" w:eastAsia="Times New Roman" w:hAnsi="Arial" w:cs="Arial"/>
            <w:b/>
            <w:sz w:val="24"/>
            <w:szCs w:val="24"/>
            <w:lang w:val="en-US"/>
          </w:rPr>
          <w:t>November 1, 2024</w:t>
        </w:r>
      </w:hyperlink>
      <w:r w:rsidR="00F75401" w:rsidRPr="00DD2E38">
        <w:rPr>
          <w:rFonts w:ascii="Arial" w:eastAsia="Times New Roman" w:hAnsi="Arial" w:cs="Arial"/>
          <w:b/>
          <w:sz w:val="24"/>
          <w:szCs w:val="24"/>
          <w:lang w:val="en-US"/>
        </w:rPr>
        <w:t xml:space="preserve"> </w:t>
      </w:r>
    </w:p>
    <w:p w14:paraId="01AA1E1E" w14:textId="4A09CFCA" w:rsidR="00DD2E38" w:rsidRDefault="0075360A" w:rsidP="007D7F2C">
      <w:pPr>
        <w:spacing w:before="100" w:beforeAutospacing="1" w:after="100" w:afterAutospacing="1"/>
        <w:ind w:left="720" w:hanging="720"/>
        <w:rPr>
          <w:rFonts w:ascii="Times New Roman" w:eastAsia="Times New Roman" w:hAnsi="Times New Roman" w:cs="Times New Roman"/>
          <w:sz w:val="24"/>
          <w:szCs w:val="24"/>
          <w:lang w:val="en-US"/>
        </w:rPr>
      </w:pPr>
      <w:r w:rsidRPr="00566D90">
        <w:rPr>
          <w:rFonts w:ascii="Arial" w:eastAsia="Times New Roman" w:hAnsi="Arial" w:cs="Arial"/>
          <w:b/>
          <w:sz w:val="24"/>
          <w:szCs w:val="24"/>
          <w:lang w:val="en-US"/>
        </w:rPr>
        <w:t xml:space="preserve">Ref 3: </w:t>
      </w:r>
      <w:r w:rsidRPr="00566D90">
        <w:rPr>
          <w:rFonts w:ascii="Arial" w:hAnsi="Arial" w:cs="Arial"/>
          <w:b/>
          <w:sz w:val="24"/>
          <w:szCs w:val="24"/>
        </w:rPr>
        <w:t xml:space="preserve">IRM Rate Generator </w:t>
      </w:r>
      <w:r w:rsidR="002925EE">
        <w:rPr>
          <w:rFonts w:ascii="Arial" w:hAnsi="Arial" w:cs="Arial"/>
          <w:b/>
          <w:sz w:val="24"/>
          <w:szCs w:val="24"/>
        </w:rPr>
        <w:t xml:space="preserve">Model, </w:t>
      </w:r>
      <w:r w:rsidRPr="00566D90">
        <w:rPr>
          <w:rFonts w:ascii="Arial" w:hAnsi="Arial" w:cs="Arial"/>
          <w:b/>
          <w:sz w:val="24"/>
          <w:szCs w:val="24"/>
        </w:rPr>
        <w:t xml:space="preserve">Tab 20 Final Tariff Schedule and </w:t>
      </w:r>
      <w:r w:rsidRPr="00DD2E38">
        <w:rPr>
          <w:rFonts w:ascii="Arial" w:eastAsia="Times New Roman" w:hAnsi="Arial" w:cs="Arial"/>
          <w:b/>
          <w:sz w:val="24"/>
          <w:szCs w:val="24"/>
          <w:lang w:val="en-US"/>
        </w:rPr>
        <w:t>Letter regarding Review of Fixed Monthly Charge for microFIT Generator Service Classification</w:t>
      </w:r>
      <w:r w:rsidRPr="00566D90">
        <w:rPr>
          <w:rFonts w:ascii="Arial" w:eastAsia="Times New Roman" w:hAnsi="Arial" w:cs="Arial"/>
          <w:b/>
          <w:sz w:val="24"/>
          <w:szCs w:val="24"/>
          <w:lang w:val="en-US"/>
        </w:rPr>
        <w:t>,</w:t>
      </w:r>
      <w:r w:rsidRPr="00DD2E38">
        <w:rPr>
          <w:rFonts w:ascii="Arial" w:eastAsia="Times New Roman" w:hAnsi="Arial" w:cs="Arial"/>
          <w:b/>
          <w:sz w:val="24"/>
          <w:szCs w:val="24"/>
          <w:lang w:val="en-US"/>
        </w:rPr>
        <w:t xml:space="preserve"> November 19, 2024  </w:t>
      </w:r>
      <w:r w:rsidR="00DD2E38" w:rsidRPr="00DD2E38">
        <w:rPr>
          <w:rFonts w:ascii="Times New Roman" w:eastAsia="Times New Roman" w:hAnsi="Times New Roman" w:cs="Times New Roman"/>
          <w:sz w:val="24"/>
          <w:szCs w:val="24"/>
          <w:lang w:val="en-US"/>
        </w:rPr>
        <w:t> </w:t>
      </w:r>
    </w:p>
    <w:p w14:paraId="31B08ABC" w14:textId="7C33DD02" w:rsidR="00267DF1" w:rsidRPr="00267DF1" w:rsidRDefault="00267DF1" w:rsidP="007D7F2C">
      <w:pPr>
        <w:spacing w:before="100" w:beforeAutospacing="1" w:after="100" w:afterAutospacing="1"/>
        <w:ind w:left="720" w:hanging="720"/>
        <w:rPr>
          <w:rFonts w:ascii="Times New Roman" w:eastAsia="Times New Roman" w:hAnsi="Times New Roman" w:cs="Times New Roman"/>
          <w:b/>
          <w:sz w:val="24"/>
          <w:szCs w:val="24"/>
          <w:lang w:val="en-US"/>
        </w:rPr>
      </w:pPr>
      <w:r w:rsidRPr="00267DF1">
        <w:rPr>
          <w:rFonts w:ascii="Arial" w:eastAsia="Times New Roman" w:hAnsi="Arial" w:cs="Arial"/>
          <w:b/>
          <w:bCs/>
          <w:sz w:val="24"/>
          <w:szCs w:val="24"/>
          <w:lang w:val="en-US"/>
        </w:rPr>
        <w:t xml:space="preserve">Ref 4: </w:t>
      </w:r>
      <w:r w:rsidRPr="00267DF1">
        <w:rPr>
          <w:rFonts w:ascii="Arial" w:hAnsi="Arial" w:cs="Arial"/>
          <w:b/>
          <w:bCs/>
          <w:sz w:val="24"/>
          <w:szCs w:val="24"/>
        </w:rPr>
        <w:t>IRM</w:t>
      </w:r>
      <w:r w:rsidRPr="0075360A">
        <w:rPr>
          <w:rFonts w:ascii="Arial" w:hAnsi="Arial" w:cs="Arial"/>
          <w:b/>
          <w:sz w:val="24"/>
          <w:szCs w:val="24"/>
        </w:rPr>
        <w:t xml:space="preserve"> Rate Generator </w:t>
      </w:r>
      <w:r w:rsidR="002925EE">
        <w:rPr>
          <w:rFonts w:ascii="Arial" w:hAnsi="Arial" w:cs="Arial"/>
          <w:b/>
          <w:sz w:val="24"/>
          <w:szCs w:val="24"/>
        </w:rPr>
        <w:t xml:space="preserve">Model, </w:t>
      </w:r>
      <w:r>
        <w:rPr>
          <w:rFonts w:ascii="Arial" w:hAnsi="Arial" w:cs="Arial"/>
          <w:b/>
          <w:sz w:val="24"/>
          <w:szCs w:val="24"/>
        </w:rPr>
        <w:t>Tab 1</w:t>
      </w:r>
      <w:r w:rsidR="0025495C">
        <w:rPr>
          <w:rFonts w:ascii="Arial" w:hAnsi="Arial" w:cs="Arial"/>
          <w:b/>
          <w:sz w:val="24"/>
          <w:szCs w:val="24"/>
        </w:rPr>
        <w:t>8</w:t>
      </w:r>
      <w:r>
        <w:rPr>
          <w:rFonts w:ascii="Arial" w:hAnsi="Arial" w:cs="Arial"/>
          <w:b/>
          <w:sz w:val="24"/>
          <w:szCs w:val="24"/>
        </w:rPr>
        <w:t xml:space="preserve"> Regulatory Charges, Tab 21 Bill Impacts and Decision and </w:t>
      </w:r>
      <w:r w:rsidRPr="00267DF1">
        <w:rPr>
          <w:rFonts w:ascii="Arial" w:hAnsi="Arial" w:cs="Arial"/>
          <w:b/>
          <w:sz w:val="24"/>
          <w:szCs w:val="24"/>
        </w:rPr>
        <w:t xml:space="preserve">Order </w:t>
      </w:r>
      <w:r w:rsidRPr="00267DF1">
        <w:rPr>
          <w:rFonts w:ascii="Arial" w:eastAsia="Times New Roman" w:hAnsi="Arial" w:cs="Arial"/>
          <w:b/>
          <w:color w:val="242424"/>
          <w:sz w:val="24"/>
          <w:szCs w:val="24"/>
        </w:rPr>
        <w:t xml:space="preserve">Regulatory charges effective January 1, 2025, for the Wholesale Market Services rate and the Rural or </w:t>
      </w:r>
      <w:proofErr w:type="gramStart"/>
      <w:r w:rsidRPr="00267DF1">
        <w:rPr>
          <w:rFonts w:ascii="Arial" w:eastAsia="Times New Roman" w:hAnsi="Arial" w:cs="Arial"/>
          <w:b/>
          <w:color w:val="242424"/>
          <w:sz w:val="24"/>
          <w:szCs w:val="24"/>
        </w:rPr>
        <w:t>Remote Electricity</w:t>
      </w:r>
      <w:proofErr w:type="gramEnd"/>
      <w:r w:rsidRPr="00267DF1">
        <w:rPr>
          <w:rFonts w:ascii="Arial" w:eastAsia="Times New Roman" w:hAnsi="Arial" w:cs="Arial"/>
          <w:b/>
          <w:color w:val="242424"/>
          <w:sz w:val="24"/>
          <w:szCs w:val="24"/>
        </w:rPr>
        <w:t xml:space="preserve"> Rate Protection charge, EB-2024</w:t>
      </w:r>
      <w:r w:rsidRPr="003D4F58">
        <w:rPr>
          <w:rFonts w:ascii="Arial" w:eastAsia="Times New Roman" w:hAnsi="Arial" w:cs="Arial"/>
          <w:b/>
          <w:color w:val="242424"/>
          <w:sz w:val="24"/>
          <w:szCs w:val="24"/>
        </w:rPr>
        <w:t xml:space="preserve">-0282, </w:t>
      </w:r>
      <w:r w:rsidRPr="003D4F58">
        <w:rPr>
          <w:rFonts w:ascii="Arial" w:eastAsia="Times New Roman" w:hAnsi="Arial" w:cs="Arial"/>
          <w:b/>
          <w:sz w:val="24"/>
          <w:szCs w:val="24"/>
          <w:lang w:val="en-US"/>
        </w:rPr>
        <w:t>December 10, 2024 </w:t>
      </w:r>
      <w:r w:rsidRPr="00DD2E38">
        <w:rPr>
          <w:rFonts w:ascii="Arial" w:eastAsia="Times New Roman" w:hAnsi="Arial" w:cs="Arial"/>
          <w:b/>
          <w:sz w:val="24"/>
          <w:szCs w:val="24"/>
          <w:lang w:val="en-US"/>
        </w:rPr>
        <w:t> </w:t>
      </w:r>
      <w:r w:rsidRPr="00DD2E38">
        <w:rPr>
          <w:rFonts w:ascii="Times New Roman" w:eastAsia="Times New Roman" w:hAnsi="Times New Roman" w:cs="Times New Roman"/>
          <w:b/>
          <w:sz w:val="24"/>
          <w:szCs w:val="24"/>
          <w:lang w:val="en-US"/>
        </w:rPr>
        <w:t> </w:t>
      </w:r>
    </w:p>
    <w:p w14:paraId="22706AFF" w14:textId="3831B900" w:rsidR="00D405D2" w:rsidRPr="003D4F58" w:rsidRDefault="00D405D2" w:rsidP="007D7F2C">
      <w:pPr>
        <w:spacing w:before="100" w:beforeAutospacing="1" w:after="100" w:afterAutospacing="1"/>
        <w:rPr>
          <w:rFonts w:ascii="Arial" w:eastAsia="Times New Roman" w:hAnsi="Arial" w:cs="Arial"/>
          <w:b/>
          <w:bCs/>
          <w:sz w:val="24"/>
          <w:szCs w:val="24"/>
          <w:lang w:val="en-US"/>
        </w:rPr>
      </w:pPr>
      <w:r>
        <w:rPr>
          <w:rFonts w:ascii="Arial" w:eastAsia="Times New Roman" w:hAnsi="Arial" w:cs="Arial"/>
          <w:b/>
          <w:bCs/>
          <w:sz w:val="24"/>
          <w:szCs w:val="24"/>
          <w:lang w:val="en-US"/>
        </w:rPr>
        <w:t>Preamble:</w:t>
      </w:r>
    </w:p>
    <w:p w14:paraId="47C59DCE" w14:textId="5E8E07CE" w:rsidR="00DD2E38" w:rsidRPr="00DD2E38" w:rsidRDefault="00DD2E38" w:rsidP="007D7F2C">
      <w:p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Distributors must enter the applicable rates in the Rate Generator Model for the preliminary Uniform Transmission Rates (UTRs), Hydro One Sub-Transmission Rates, microFIT charge, TOU prices, Ontario Electricity Rebate (OER)</w:t>
      </w:r>
      <w:r w:rsidR="00EC21ED">
        <w:rPr>
          <w:rFonts w:ascii="Arial" w:eastAsia="Times New Roman" w:hAnsi="Arial" w:cs="Arial"/>
          <w:sz w:val="24"/>
          <w:szCs w:val="24"/>
          <w:lang w:val="en-US"/>
        </w:rPr>
        <w:t>, Wholesale Market Services (WMS) and the Rural or Remote Electricity Rate Protection Charge (RRRP)</w:t>
      </w:r>
      <w:r w:rsidRPr="00DD2E38">
        <w:rPr>
          <w:rFonts w:ascii="Arial" w:eastAsia="Times New Roman" w:hAnsi="Arial" w:cs="Arial"/>
          <w:sz w:val="24"/>
          <w:szCs w:val="24"/>
          <w:lang w:val="en-US"/>
        </w:rPr>
        <w:t>. These rates must align with the most recent rates and charges issued by the OEB.  </w:t>
      </w:r>
    </w:p>
    <w:p w14:paraId="59A918AC" w14:textId="1E0F60E9" w:rsidR="00DD2E38" w:rsidRPr="00DD2E38" w:rsidRDefault="00DD2E38" w:rsidP="007D7F2C">
      <w:pPr>
        <w:spacing w:before="100" w:beforeAutospacing="1" w:after="100" w:afterAutospacing="1"/>
        <w:rPr>
          <w:rFonts w:ascii="Times New Roman" w:eastAsia="Times New Roman" w:hAnsi="Times New Roman" w:cs="Times New Roman"/>
          <w:sz w:val="24"/>
          <w:szCs w:val="24"/>
          <w:lang w:val="en-US"/>
        </w:rPr>
      </w:pPr>
      <w:r w:rsidRPr="00DD2E38">
        <w:rPr>
          <w:rFonts w:ascii="Times New Roman" w:eastAsia="Times New Roman" w:hAnsi="Times New Roman" w:cs="Times New Roman"/>
          <w:sz w:val="24"/>
          <w:szCs w:val="24"/>
          <w:lang w:val="en-US"/>
        </w:rPr>
        <w:t> </w:t>
      </w:r>
      <w:r w:rsidRPr="00DD2E38">
        <w:rPr>
          <w:rFonts w:ascii="Arial" w:eastAsia="Times New Roman" w:hAnsi="Arial" w:cs="Arial"/>
          <w:b/>
          <w:bCs/>
          <w:sz w:val="24"/>
          <w:szCs w:val="24"/>
          <w:lang w:val="en-US"/>
        </w:rPr>
        <w:t>Question(s): </w:t>
      </w:r>
      <w:r w:rsidRPr="00DD2E38">
        <w:rPr>
          <w:rFonts w:ascii="Arial" w:eastAsia="Times New Roman" w:hAnsi="Arial" w:cs="Arial"/>
          <w:sz w:val="24"/>
          <w:szCs w:val="24"/>
          <w:lang w:val="en-US"/>
        </w:rPr>
        <w:t> </w:t>
      </w:r>
    </w:p>
    <w:p w14:paraId="4724704D" w14:textId="2615DAAC" w:rsidR="00DD2E38" w:rsidRPr="00DD2E38"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OEB staff has updated</w:t>
      </w:r>
      <w:r w:rsidR="00566D90" w:rsidRPr="00566D90">
        <w:rPr>
          <w:rFonts w:ascii="Arial" w:eastAsia="Times New Roman" w:hAnsi="Arial" w:cs="Arial"/>
          <w:sz w:val="24"/>
          <w:szCs w:val="24"/>
          <w:lang w:val="en-US"/>
        </w:rPr>
        <w:t xml:space="preserve"> Tab </w:t>
      </w:r>
      <w:r w:rsidR="00566D90" w:rsidRPr="00566D90">
        <w:rPr>
          <w:rFonts w:ascii="Arial" w:hAnsi="Arial" w:cs="Arial"/>
          <w:sz w:val="24"/>
          <w:szCs w:val="24"/>
        </w:rPr>
        <w:t>11 RTSR – UTRs &amp; Sub Tx</w:t>
      </w:r>
      <w:r w:rsidR="00566D90" w:rsidRPr="00566D90">
        <w:rPr>
          <w:rFonts w:ascii="Arial" w:hAnsi="Arial" w:cs="Arial"/>
          <w:b/>
          <w:sz w:val="24"/>
          <w:szCs w:val="24"/>
        </w:rPr>
        <w:t xml:space="preserve"> </w:t>
      </w:r>
      <w:r w:rsidRPr="00DD2E38">
        <w:rPr>
          <w:rFonts w:ascii="Arial" w:eastAsia="Times New Roman" w:hAnsi="Arial" w:cs="Arial"/>
          <w:sz w:val="24"/>
          <w:szCs w:val="24"/>
          <w:lang w:val="en-US"/>
        </w:rPr>
        <w:t xml:space="preserve">UTRs. Please </w:t>
      </w:r>
      <w:r w:rsidR="00566D90">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update</w:t>
      </w:r>
      <w:r w:rsidR="00566D90">
        <w:rPr>
          <w:rFonts w:ascii="Arial" w:eastAsia="Times New Roman" w:hAnsi="Arial" w:cs="Arial"/>
          <w:sz w:val="24"/>
          <w:szCs w:val="24"/>
          <w:lang w:val="en-US"/>
        </w:rPr>
        <w:t>s</w:t>
      </w:r>
      <w:r w:rsidRPr="00DD2E38">
        <w:rPr>
          <w:rFonts w:ascii="Arial" w:eastAsia="Times New Roman" w:hAnsi="Arial" w:cs="Arial"/>
          <w:sz w:val="24"/>
          <w:szCs w:val="24"/>
          <w:lang w:val="en-US"/>
        </w:rPr>
        <w:t xml:space="preserve"> and ensure that all tabs are updated accordingly.  </w:t>
      </w:r>
    </w:p>
    <w:p w14:paraId="5BF52771" w14:textId="2F72C2AA" w:rsidR="00DD2E38" w:rsidRPr="00DD2E38"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lastRenderedPageBreak/>
        <w:t xml:space="preserve">OEB staff </w:t>
      </w:r>
      <w:proofErr w:type="gramStart"/>
      <w:r w:rsidRPr="00DD2E38">
        <w:rPr>
          <w:rFonts w:ascii="Arial" w:eastAsia="Times New Roman" w:hAnsi="Arial" w:cs="Arial"/>
          <w:sz w:val="24"/>
          <w:szCs w:val="24"/>
          <w:lang w:val="en-US"/>
        </w:rPr>
        <w:t>has</w:t>
      </w:r>
      <w:proofErr w:type="gramEnd"/>
      <w:r w:rsidRPr="00DD2E38">
        <w:rPr>
          <w:rFonts w:ascii="Arial" w:eastAsia="Times New Roman" w:hAnsi="Arial" w:cs="Arial"/>
          <w:sz w:val="24"/>
          <w:szCs w:val="24"/>
          <w:lang w:val="en-US"/>
        </w:rPr>
        <w:t xml:space="preserve"> updated the latest TOU prices and OER </w:t>
      </w:r>
      <w:r w:rsidR="00566D90">
        <w:rPr>
          <w:rFonts w:ascii="Arial" w:eastAsia="Times New Roman" w:hAnsi="Arial" w:cs="Arial"/>
          <w:sz w:val="24"/>
          <w:szCs w:val="24"/>
          <w:lang w:val="en-US"/>
        </w:rPr>
        <w:t xml:space="preserve">in Tab 19 Regulatory Charges and Tab 21 Final Tariff Schedule. </w:t>
      </w:r>
      <w:r w:rsidRPr="00DD2E38">
        <w:rPr>
          <w:rFonts w:ascii="Arial" w:eastAsia="Times New Roman" w:hAnsi="Arial" w:cs="Arial"/>
          <w:sz w:val="24"/>
          <w:szCs w:val="24"/>
          <w:lang w:val="en-US"/>
        </w:rPr>
        <w:t xml:space="preserve">Please </w:t>
      </w:r>
      <w:r w:rsidR="00566D90">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update</w:t>
      </w:r>
      <w:r w:rsidR="00566D90">
        <w:rPr>
          <w:rFonts w:ascii="Arial" w:eastAsia="Times New Roman" w:hAnsi="Arial" w:cs="Arial"/>
          <w:sz w:val="24"/>
          <w:szCs w:val="24"/>
          <w:lang w:val="en-US"/>
        </w:rPr>
        <w:t>s</w:t>
      </w:r>
      <w:r w:rsidRPr="00DD2E38">
        <w:rPr>
          <w:rFonts w:ascii="Arial" w:eastAsia="Times New Roman" w:hAnsi="Arial" w:cs="Arial"/>
          <w:sz w:val="24"/>
          <w:szCs w:val="24"/>
          <w:lang w:val="en-US"/>
        </w:rPr>
        <w:t xml:space="preserve"> and ensure that all tabs are updated accordingly.  </w:t>
      </w:r>
    </w:p>
    <w:p w14:paraId="66F70259" w14:textId="1B29AC83" w:rsidR="00DD2E38"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 xml:space="preserve">OEB staff </w:t>
      </w:r>
      <w:proofErr w:type="gramStart"/>
      <w:r w:rsidRPr="00DD2E38">
        <w:rPr>
          <w:rFonts w:ascii="Arial" w:eastAsia="Times New Roman" w:hAnsi="Arial" w:cs="Arial"/>
          <w:sz w:val="24"/>
          <w:szCs w:val="24"/>
          <w:lang w:val="en-US"/>
        </w:rPr>
        <w:t>has</w:t>
      </w:r>
      <w:proofErr w:type="gramEnd"/>
      <w:r w:rsidRPr="00DD2E38">
        <w:rPr>
          <w:rFonts w:ascii="Arial" w:eastAsia="Times New Roman" w:hAnsi="Arial" w:cs="Arial"/>
          <w:sz w:val="24"/>
          <w:szCs w:val="24"/>
          <w:lang w:val="en-US"/>
        </w:rPr>
        <w:t xml:space="preserve"> updated the microFIT charge. Please </w:t>
      </w:r>
      <w:r w:rsidR="00EC21ED">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microFIT charge on </w:t>
      </w:r>
      <w:r w:rsidR="00EC21ED">
        <w:rPr>
          <w:rFonts w:ascii="Arial" w:eastAsia="Times New Roman" w:hAnsi="Arial" w:cs="Arial"/>
          <w:sz w:val="24"/>
          <w:szCs w:val="24"/>
          <w:lang w:val="en-US"/>
        </w:rPr>
        <w:t xml:space="preserve">Tab 20 Final Tariff Schedule </w:t>
      </w:r>
      <w:r w:rsidRPr="00DD2E38">
        <w:rPr>
          <w:rFonts w:ascii="Arial" w:eastAsia="Times New Roman" w:hAnsi="Arial" w:cs="Arial"/>
          <w:sz w:val="24"/>
          <w:szCs w:val="24"/>
          <w:lang w:val="en-US"/>
        </w:rPr>
        <w:t xml:space="preserve">of the Rate Generator Model </w:t>
      </w:r>
      <w:r w:rsidR="00EC21ED">
        <w:rPr>
          <w:rFonts w:ascii="Arial" w:eastAsia="Times New Roman" w:hAnsi="Arial" w:cs="Arial"/>
          <w:sz w:val="24"/>
          <w:szCs w:val="24"/>
          <w:lang w:val="en-US"/>
        </w:rPr>
        <w:t xml:space="preserve">has been updated correctly. </w:t>
      </w:r>
    </w:p>
    <w:p w14:paraId="1DD9567A" w14:textId="10E616DA" w:rsidR="00EC21ED" w:rsidRPr="00DD2E38" w:rsidRDefault="00EC21ED" w:rsidP="007D7F2C">
      <w:pPr>
        <w:numPr>
          <w:ilvl w:val="0"/>
          <w:numId w:val="32"/>
        </w:numPr>
        <w:spacing w:before="100" w:beforeAutospacing="1" w:after="100" w:afterAutospacing="1"/>
        <w:rPr>
          <w:rFonts w:ascii="Arial" w:eastAsia="Times New Roman" w:hAnsi="Arial" w:cs="Arial"/>
          <w:sz w:val="24"/>
          <w:szCs w:val="24"/>
          <w:lang w:val="en-US"/>
        </w:rPr>
      </w:pPr>
      <w:r>
        <w:rPr>
          <w:rFonts w:ascii="Arial" w:eastAsia="Times New Roman" w:hAnsi="Arial" w:cs="Arial"/>
          <w:sz w:val="24"/>
          <w:szCs w:val="24"/>
          <w:lang w:val="en-US"/>
        </w:rPr>
        <w:t xml:space="preserve">OEB </w:t>
      </w:r>
      <w:r w:rsidR="000E2F84">
        <w:rPr>
          <w:rFonts w:ascii="Arial" w:eastAsia="Times New Roman" w:hAnsi="Arial" w:cs="Arial"/>
          <w:sz w:val="24"/>
          <w:szCs w:val="24"/>
          <w:lang w:val="en-US"/>
        </w:rPr>
        <w:t xml:space="preserve">staff </w:t>
      </w:r>
      <w:r>
        <w:rPr>
          <w:rFonts w:ascii="Arial" w:eastAsia="Times New Roman" w:hAnsi="Arial" w:cs="Arial"/>
          <w:sz w:val="24"/>
          <w:szCs w:val="24"/>
          <w:lang w:val="en-US"/>
        </w:rPr>
        <w:t xml:space="preserve">has updated the RRRP rate rider. Please confirm the RRRP rate on Tab 19 Regulatory Charges has been updated correctly. </w:t>
      </w:r>
    </w:p>
    <w:p w14:paraId="3E6798F1" w14:textId="42FEBDA0" w:rsidR="00D36545" w:rsidRPr="00D36545" w:rsidRDefault="00D36545" w:rsidP="007D7F2C">
      <w:pPr>
        <w:spacing w:after="0"/>
        <w:rPr>
          <w:rFonts w:ascii="Arial" w:hAnsi="Arial" w:cs="Arial"/>
          <w:bCs/>
          <w:sz w:val="24"/>
          <w:szCs w:val="24"/>
        </w:rPr>
      </w:pPr>
    </w:p>
    <w:sectPr w:rsidR="00D36545" w:rsidRPr="00D36545" w:rsidSect="00EA0919">
      <w:headerReference w:type="default" r:id="rId11"/>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E9E75" w14:textId="77777777" w:rsidR="007C2A48" w:rsidRDefault="007C2A48" w:rsidP="00D77124">
      <w:pPr>
        <w:spacing w:after="0" w:line="240" w:lineRule="auto"/>
      </w:pPr>
      <w:r>
        <w:separator/>
      </w:r>
    </w:p>
  </w:endnote>
  <w:endnote w:type="continuationSeparator" w:id="0">
    <w:p w14:paraId="60F3C47B" w14:textId="77777777" w:rsidR="007C2A48" w:rsidRDefault="007C2A48"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E651" w14:textId="77777777" w:rsidR="007C2A48" w:rsidRDefault="007C2A48" w:rsidP="00D77124">
      <w:pPr>
        <w:spacing w:after="0" w:line="240" w:lineRule="auto"/>
      </w:pPr>
      <w:r>
        <w:separator/>
      </w:r>
    </w:p>
  </w:footnote>
  <w:footnote w:type="continuationSeparator" w:id="0">
    <w:p w14:paraId="275FE4DE" w14:textId="77777777" w:rsidR="007C2A48" w:rsidRDefault="007C2A48"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E7D" w14:textId="7A9940AF" w:rsidR="00DC489D" w:rsidRDefault="00B761D8" w:rsidP="00B761D8">
    <w:pPr>
      <w:pStyle w:val="Header"/>
      <w:jc w:val="right"/>
    </w:pPr>
    <w:r>
      <w:t>London Hydro Inc.</w:t>
    </w:r>
  </w:p>
  <w:p w14:paraId="4C4BD2A4" w14:textId="27F660F2" w:rsidR="00DC489D" w:rsidRDefault="00DC489D">
    <w:pPr>
      <w:pStyle w:val="Header"/>
    </w:pPr>
    <w:r>
      <w:tab/>
    </w:r>
    <w:r>
      <w:tab/>
      <w:t>OEB Staff Questions</w:t>
    </w:r>
  </w:p>
  <w:p w14:paraId="31F1E28E" w14:textId="209FE083" w:rsidR="00DC489D" w:rsidRDefault="00DC489D">
    <w:pPr>
      <w:pStyle w:val="Header"/>
    </w:pPr>
    <w:r>
      <w:tab/>
    </w:r>
    <w:r>
      <w:tab/>
      <w:t>EB-20</w:t>
    </w:r>
    <w:r w:rsidR="005F483F">
      <w:t>2</w:t>
    </w:r>
    <w:r w:rsidR="00537DD2">
      <w:t>4</w:t>
    </w:r>
    <w:r w:rsidR="005F483F">
      <w:t>-00</w:t>
    </w:r>
    <w:r w:rsidR="00B761D8">
      <w:t>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B5DED"/>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D03D07"/>
    <w:multiLevelType w:val="hybridMultilevel"/>
    <w:tmpl w:val="F3465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B0ECC"/>
    <w:multiLevelType w:val="hybridMultilevel"/>
    <w:tmpl w:val="24B49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CF209E"/>
    <w:multiLevelType w:val="multilevel"/>
    <w:tmpl w:val="80DC0C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C66D4B"/>
    <w:multiLevelType w:val="multilevel"/>
    <w:tmpl w:val="2B7C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0203B"/>
    <w:multiLevelType w:val="hybridMultilevel"/>
    <w:tmpl w:val="36B4F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9DB3BBC"/>
    <w:multiLevelType w:val="hybridMultilevel"/>
    <w:tmpl w:val="BA666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F9003E8"/>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7389052">
    <w:abstractNumId w:val="0"/>
  </w:num>
  <w:num w:numId="2" w16cid:durableId="1817183121">
    <w:abstractNumId w:val="8"/>
  </w:num>
  <w:num w:numId="3" w16cid:durableId="1825269186">
    <w:abstractNumId w:val="27"/>
  </w:num>
  <w:num w:numId="4" w16cid:durableId="1119179632">
    <w:abstractNumId w:val="35"/>
  </w:num>
  <w:num w:numId="5" w16cid:durableId="2091417003">
    <w:abstractNumId w:val="15"/>
  </w:num>
  <w:num w:numId="6" w16cid:durableId="252014472">
    <w:abstractNumId w:val="11"/>
  </w:num>
  <w:num w:numId="7" w16cid:durableId="1793011066">
    <w:abstractNumId w:val="21"/>
  </w:num>
  <w:num w:numId="8" w16cid:durableId="1794320803">
    <w:abstractNumId w:val="17"/>
  </w:num>
  <w:num w:numId="9" w16cid:durableId="1829709702">
    <w:abstractNumId w:val="18"/>
  </w:num>
  <w:num w:numId="10" w16cid:durableId="1115251463">
    <w:abstractNumId w:val="7"/>
  </w:num>
  <w:num w:numId="11" w16cid:durableId="1887520468">
    <w:abstractNumId w:val="20"/>
  </w:num>
  <w:num w:numId="12" w16cid:durableId="1441336080">
    <w:abstractNumId w:val="29"/>
  </w:num>
  <w:num w:numId="13" w16cid:durableId="1780180625">
    <w:abstractNumId w:val="6"/>
  </w:num>
  <w:num w:numId="14" w16cid:durableId="1590384501">
    <w:abstractNumId w:val="2"/>
  </w:num>
  <w:num w:numId="15" w16cid:durableId="427196099">
    <w:abstractNumId w:val="34"/>
  </w:num>
  <w:num w:numId="16" w16cid:durableId="1661301170">
    <w:abstractNumId w:val="9"/>
  </w:num>
  <w:num w:numId="17" w16cid:durableId="580800399">
    <w:abstractNumId w:val="25"/>
  </w:num>
  <w:num w:numId="18" w16cid:durableId="1835102567">
    <w:abstractNumId w:val="32"/>
  </w:num>
  <w:num w:numId="19" w16cid:durableId="1966807704">
    <w:abstractNumId w:val="33"/>
  </w:num>
  <w:num w:numId="20" w16cid:durableId="1330401671">
    <w:abstractNumId w:val="14"/>
  </w:num>
  <w:num w:numId="21" w16cid:durableId="1192495916">
    <w:abstractNumId w:val="31"/>
  </w:num>
  <w:num w:numId="22" w16cid:durableId="82845605">
    <w:abstractNumId w:val="13"/>
  </w:num>
  <w:num w:numId="23" w16cid:durableId="1261449128">
    <w:abstractNumId w:val="28"/>
  </w:num>
  <w:num w:numId="24" w16cid:durableId="1669995">
    <w:abstractNumId w:val="26"/>
  </w:num>
  <w:num w:numId="25" w16cid:durableId="965695596">
    <w:abstractNumId w:val="3"/>
  </w:num>
  <w:num w:numId="26" w16cid:durableId="331496830">
    <w:abstractNumId w:val="19"/>
  </w:num>
  <w:num w:numId="27" w16cid:durableId="1873108183">
    <w:abstractNumId w:val="22"/>
  </w:num>
  <w:num w:numId="28" w16cid:durableId="1198393527">
    <w:abstractNumId w:val="23"/>
  </w:num>
  <w:num w:numId="29" w16cid:durableId="2098363710">
    <w:abstractNumId w:val="12"/>
  </w:num>
  <w:num w:numId="30" w16cid:durableId="1235164220">
    <w:abstractNumId w:val="30"/>
  </w:num>
  <w:num w:numId="31" w16cid:durableId="785663675">
    <w:abstractNumId w:val="16"/>
  </w:num>
  <w:num w:numId="32" w16cid:durableId="216741786">
    <w:abstractNumId w:val="10"/>
  </w:num>
  <w:num w:numId="33" w16cid:durableId="1889338061">
    <w:abstractNumId w:val="24"/>
  </w:num>
  <w:num w:numId="34" w16cid:durableId="1896315628">
    <w:abstractNumId w:val="5"/>
  </w:num>
  <w:num w:numId="35" w16cid:durableId="164637839">
    <w:abstractNumId w:val="4"/>
  </w:num>
  <w:num w:numId="36" w16cid:durableId="134181538">
    <w:abstractNumId w:val="1"/>
  </w:num>
  <w:num w:numId="37" w16cid:durableId="2104689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46996"/>
    <w:rsid w:val="00054071"/>
    <w:rsid w:val="0006126D"/>
    <w:rsid w:val="00067F57"/>
    <w:rsid w:val="00071BEC"/>
    <w:rsid w:val="00074514"/>
    <w:rsid w:val="000832D4"/>
    <w:rsid w:val="00090160"/>
    <w:rsid w:val="000B3E7E"/>
    <w:rsid w:val="000B4331"/>
    <w:rsid w:val="000D223C"/>
    <w:rsid w:val="000D71A4"/>
    <w:rsid w:val="000E2F84"/>
    <w:rsid w:val="000E4006"/>
    <w:rsid w:val="000F1E3A"/>
    <w:rsid w:val="00133BE1"/>
    <w:rsid w:val="00164E99"/>
    <w:rsid w:val="00183CC8"/>
    <w:rsid w:val="00187E9B"/>
    <w:rsid w:val="001927C2"/>
    <w:rsid w:val="00195EE5"/>
    <w:rsid w:val="001A4DCD"/>
    <w:rsid w:val="001C3855"/>
    <w:rsid w:val="00203092"/>
    <w:rsid w:val="002208C0"/>
    <w:rsid w:val="00224C06"/>
    <w:rsid w:val="0025495C"/>
    <w:rsid w:val="0025687C"/>
    <w:rsid w:val="00267DF1"/>
    <w:rsid w:val="00274A48"/>
    <w:rsid w:val="00275487"/>
    <w:rsid w:val="00291CCC"/>
    <w:rsid w:val="002925EE"/>
    <w:rsid w:val="00294410"/>
    <w:rsid w:val="002A6415"/>
    <w:rsid w:val="002B7B7C"/>
    <w:rsid w:val="002C2BF2"/>
    <w:rsid w:val="002C7EF6"/>
    <w:rsid w:val="002D4924"/>
    <w:rsid w:val="002E050D"/>
    <w:rsid w:val="002F4756"/>
    <w:rsid w:val="00302509"/>
    <w:rsid w:val="003049C5"/>
    <w:rsid w:val="003303BF"/>
    <w:rsid w:val="00340C00"/>
    <w:rsid w:val="003702D1"/>
    <w:rsid w:val="00373FAD"/>
    <w:rsid w:val="003777B5"/>
    <w:rsid w:val="003832E7"/>
    <w:rsid w:val="003A20A0"/>
    <w:rsid w:val="003A58B0"/>
    <w:rsid w:val="003B2A4C"/>
    <w:rsid w:val="003D4F58"/>
    <w:rsid w:val="00400DFC"/>
    <w:rsid w:val="00412DC6"/>
    <w:rsid w:val="00425009"/>
    <w:rsid w:val="004377B0"/>
    <w:rsid w:val="00470BFC"/>
    <w:rsid w:val="00472C81"/>
    <w:rsid w:val="00475032"/>
    <w:rsid w:val="004859EF"/>
    <w:rsid w:val="004D7A79"/>
    <w:rsid w:val="00511EC2"/>
    <w:rsid w:val="005164F5"/>
    <w:rsid w:val="00523B71"/>
    <w:rsid w:val="0052560F"/>
    <w:rsid w:val="00532E2E"/>
    <w:rsid w:val="00537DD2"/>
    <w:rsid w:val="005666F2"/>
    <w:rsid w:val="00566D90"/>
    <w:rsid w:val="00572064"/>
    <w:rsid w:val="00584369"/>
    <w:rsid w:val="00587A35"/>
    <w:rsid w:val="00596F54"/>
    <w:rsid w:val="005D1DF6"/>
    <w:rsid w:val="005E27C0"/>
    <w:rsid w:val="005F4693"/>
    <w:rsid w:val="005F483F"/>
    <w:rsid w:val="00617DB1"/>
    <w:rsid w:val="00623602"/>
    <w:rsid w:val="0064279A"/>
    <w:rsid w:val="00651C98"/>
    <w:rsid w:val="00672141"/>
    <w:rsid w:val="006A1257"/>
    <w:rsid w:val="006A5D23"/>
    <w:rsid w:val="006E3D58"/>
    <w:rsid w:val="00704EE5"/>
    <w:rsid w:val="007066E2"/>
    <w:rsid w:val="0072241F"/>
    <w:rsid w:val="00722640"/>
    <w:rsid w:val="0073197E"/>
    <w:rsid w:val="00746080"/>
    <w:rsid w:val="007508EC"/>
    <w:rsid w:val="0075360A"/>
    <w:rsid w:val="00770165"/>
    <w:rsid w:val="00772B57"/>
    <w:rsid w:val="00781D04"/>
    <w:rsid w:val="007B5EA9"/>
    <w:rsid w:val="007C1598"/>
    <w:rsid w:val="007C2A48"/>
    <w:rsid w:val="007C2D45"/>
    <w:rsid w:val="007C36A6"/>
    <w:rsid w:val="007D7F2C"/>
    <w:rsid w:val="007F49EB"/>
    <w:rsid w:val="00805FDA"/>
    <w:rsid w:val="00812C1B"/>
    <w:rsid w:val="008173B1"/>
    <w:rsid w:val="00826D50"/>
    <w:rsid w:val="00835AD0"/>
    <w:rsid w:val="00835B2D"/>
    <w:rsid w:val="00841787"/>
    <w:rsid w:val="008747B3"/>
    <w:rsid w:val="008813C3"/>
    <w:rsid w:val="008926F0"/>
    <w:rsid w:val="008964E8"/>
    <w:rsid w:val="008A48F6"/>
    <w:rsid w:val="008E6045"/>
    <w:rsid w:val="0090113B"/>
    <w:rsid w:val="0093258A"/>
    <w:rsid w:val="009342D9"/>
    <w:rsid w:val="0094373C"/>
    <w:rsid w:val="00946DEE"/>
    <w:rsid w:val="00951E2B"/>
    <w:rsid w:val="00952939"/>
    <w:rsid w:val="00961EA0"/>
    <w:rsid w:val="009753FE"/>
    <w:rsid w:val="00977E62"/>
    <w:rsid w:val="009A5C44"/>
    <w:rsid w:val="009B03AF"/>
    <w:rsid w:val="009C4216"/>
    <w:rsid w:val="009D5F4B"/>
    <w:rsid w:val="009E10C6"/>
    <w:rsid w:val="009E626E"/>
    <w:rsid w:val="009E7CBF"/>
    <w:rsid w:val="00A0606F"/>
    <w:rsid w:val="00A07077"/>
    <w:rsid w:val="00A50DD0"/>
    <w:rsid w:val="00A516B0"/>
    <w:rsid w:val="00A5620A"/>
    <w:rsid w:val="00A73314"/>
    <w:rsid w:val="00AA06D9"/>
    <w:rsid w:val="00AB251C"/>
    <w:rsid w:val="00AC2406"/>
    <w:rsid w:val="00AD3FCF"/>
    <w:rsid w:val="00AD53AC"/>
    <w:rsid w:val="00B03802"/>
    <w:rsid w:val="00B069AA"/>
    <w:rsid w:val="00B2289A"/>
    <w:rsid w:val="00B23A36"/>
    <w:rsid w:val="00B25576"/>
    <w:rsid w:val="00B25EF5"/>
    <w:rsid w:val="00B3714C"/>
    <w:rsid w:val="00B50EB2"/>
    <w:rsid w:val="00B6722A"/>
    <w:rsid w:val="00B761D8"/>
    <w:rsid w:val="00B80118"/>
    <w:rsid w:val="00B82D78"/>
    <w:rsid w:val="00BA4321"/>
    <w:rsid w:val="00BA434C"/>
    <w:rsid w:val="00BD4F65"/>
    <w:rsid w:val="00BD7607"/>
    <w:rsid w:val="00BF56CD"/>
    <w:rsid w:val="00C06F9E"/>
    <w:rsid w:val="00C13E6B"/>
    <w:rsid w:val="00C2370B"/>
    <w:rsid w:val="00C27193"/>
    <w:rsid w:val="00C624D5"/>
    <w:rsid w:val="00C65F47"/>
    <w:rsid w:val="00C848A0"/>
    <w:rsid w:val="00C859E5"/>
    <w:rsid w:val="00C878C5"/>
    <w:rsid w:val="00C96AEA"/>
    <w:rsid w:val="00CB0642"/>
    <w:rsid w:val="00CC0B6D"/>
    <w:rsid w:val="00CC2E98"/>
    <w:rsid w:val="00CD01B4"/>
    <w:rsid w:val="00CE1CD3"/>
    <w:rsid w:val="00CE4F01"/>
    <w:rsid w:val="00D12411"/>
    <w:rsid w:val="00D30F16"/>
    <w:rsid w:val="00D36545"/>
    <w:rsid w:val="00D405D2"/>
    <w:rsid w:val="00D4762F"/>
    <w:rsid w:val="00D55546"/>
    <w:rsid w:val="00D57E8C"/>
    <w:rsid w:val="00D6213C"/>
    <w:rsid w:val="00D647C0"/>
    <w:rsid w:val="00D77124"/>
    <w:rsid w:val="00D77694"/>
    <w:rsid w:val="00D77B0F"/>
    <w:rsid w:val="00DA21F6"/>
    <w:rsid w:val="00DB6B52"/>
    <w:rsid w:val="00DC489D"/>
    <w:rsid w:val="00DD2E38"/>
    <w:rsid w:val="00DD55DF"/>
    <w:rsid w:val="00DE5092"/>
    <w:rsid w:val="00DE5488"/>
    <w:rsid w:val="00DE75AC"/>
    <w:rsid w:val="00DF5A52"/>
    <w:rsid w:val="00E14373"/>
    <w:rsid w:val="00E17C58"/>
    <w:rsid w:val="00E231C2"/>
    <w:rsid w:val="00E429DA"/>
    <w:rsid w:val="00E616AB"/>
    <w:rsid w:val="00E62C2A"/>
    <w:rsid w:val="00E8586E"/>
    <w:rsid w:val="00E86F26"/>
    <w:rsid w:val="00E96A06"/>
    <w:rsid w:val="00EA0919"/>
    <w:rsid w:val="00EA45F8"/>
    <w:rsid w:val="00EB5240"/>
    <w:rsid w:val="00EC0B55"/>
    <w:rsid w:val="00EC21ED"/>
    <w:rsid w:val="00EE3753"/>
    <w:rsid w:val="00EF1A17"/>
    <w:rsid w:val="00F034BF"/>
    <w:rsid w:val="00F233A3"/>
    <w:rsid w:val="00F23D7A"/>
    <w:rsid w:val="00F26108"/>
    <w:rsid w:val="00F26D30"/>
    <w:rsid w:val="00F57152"/>
    <w:rsid w:val="00F7362C"/>
    <w:rsid w:val="00F75401"/>
    <w:rsid w:val="00F92F61"/>
    <w:rsid w:val="00FB6F10"/>
    <w:rsid w:val="00FC4CF8"/>
    <w:rsid w:val="00FC5DA7"/>
    <w:rsid w:val="00FC7B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FC7B38"/>
    <w:rPr>
      <w:color w:val="0000FF" w:themeColor="hyperlink"/>
      <w:u w:val="single"/>
    </w:rPr>
  </w:style>
  <w:style w:type="character" w:styleId="UnresolvedMention">
    <w:name w:val="Unresolved Mention"/>
    <w:basedOn w:val="DefaultParagraphFont"/>
    <w:uiPriority w:val="99"/>
    <w:semiHidden/>
    <w:unhideWhenUsed/>
    <w:rsid w:val="00FC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4348951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83837280">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s.oeb.ca/CMWebDrawer/Record/849753/File/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eb.ca/newsroom/2024/ontario-energy-board-announces-changes-electricity-prices-households-small-businesses" TargetMode="External"/><Relationship Id="rId4" Type="http://schemas.openxmlformats.org/officeDocument/2006/relationships/settings" Target="settings.xml"/><Relationship Id="rId9" Type="http://schemas.openxmlformats.org/officeDocument/2006/relationships/hyperlink" Target="https://www.rds.oeb.ca/CMWebDrawer/Record/849753/File/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18</cp:revision>
  <cp:lastPrinted>2014-09-29T14:43:00Z</cp:lastPrinted>
  <dcterms:created xsi:type="dcterms:W3CDTF">2024-12-12T16:49:00Z</dcterms:created>
  <dcterms:modified xsi:type="dcterms:W3CDTF">2024-12-13T15:17:00Z</dcterms:modified>
</cp:coreProperties>
</file>