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2A2E1677" w:rsidR="00A07077" w:rsidRPr="00D57E8C" w:rsidRDefault="00D81474" w:rsidP="00A07077">
      <w:pPr>
        <w:pStyle w:val="Default"/>
        <w:jc w:val="center"/>
        <w:rPr>
          <w:rFonts w:ascii="Arial" w:hAnsi="Arial" w:cs="Arial"/>
          <w:sz w:val="28"/>
          <w:szCs w:val="28"/>
        </w:rPr>
      </w:pPr>
      <w:r>
        <w:rPr>
          <w:rFonts w:ascii="Arial" w:hAnsi="Arial" w:cs="Arial"/>
          <w:b/>
          <w:bCs/>
          <w:sz w:val="28"/>
          <w:szCs w:val="28"/>
        </w:rPr>
        <w:t>H</w:t>
      </w:r>
      <w:r w:rsidR="003411BE">
        <w:rPr>
          <w:rFonts w:ascii="Arial" w:hAnsi="Arial" w:cs="Arial"/>
          <w:b/>
          <w:bCs/>
          <w:sz w:val="28"/>
          <w:szCs w:val="28"/>
        </w:rPr>
        <w:t>alton Hills Hydro Inc.</w:t>
      </w:r>
    </w:p>
    <w:p w14:paraId="33D6510D" w14:textId="5CB47D77"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w:t>
      </w:r>
      <w:r w:rsidR="003411BE">
        <w:rPr>
          <w:rFonts w:ascii="Arial" w:hAnsi="Arial" w:cs="Arial"/>
          <w:b/>
          <w:bCs/>
          <w:sz w:val="28"/>
          <w:szCs w:val="28"/>
        </w:rPr>
        <w:t>02</w:t>
      </w:r>
      <w:r w:rsidR="005678EB">
        <w:rPr>
          <w:rFonts w:ascii="Arial" w:hAnsi="Arial" w:cs="Arial"/>
          <w:b/>
          <w:bCs/>
          <w:sz w:val="28"/>
          <w:szCs w:val="28"/>
        </w:rPr>
        <w:t>4</w:t>
      </w:r>
      <w:r w:rsidR="003411BE">
        <w:rPr>
          <w:rFonts w:ascii="Arial" w:hAnsi="Arial" w:cs="Arial"/>
          <w:b/>
          <w:bCs/>
          <w:sz w:val="28"/>
          <w:szCs w:val="28"/>
        </w:rPr>
        <w:t>-00</w:t>
      </w:r>
      <w:r w:rsidR="005678EB">
        <w:rPr>
          <w:rFonts w:ascii="Arial" w:hAnsi="Arial" w:cs="Arial"/>
          <w:b/>
          <w:bCs/>
          <w:sz w:val="28"/>
          <w:szCs w:val="28"/>
        </w:rPr>
        <w:t>41</w:t>
      </w:r>
    </w:p>
    <w:p w14:paraId="5999C199" w14:textId="722CD615" w:rsidR="00D77124" w:rsidRDefault="005678EB" w:rsidP="00AB251C">
      <w:pPr>
        <w:pStyle w:val="Default"/>
        <w:spacing w:after="360"/>
        <w:contextualSpacing/>
        <w:jc w:val="center"/>
        <w:rPr>
          <w:rFonts w:ascii="Arial" w:hAnsi="Arial" w:cs="Arial"/>
          <w:b/>
          <w:bCs/>
          <w:sz w:val="28"/>
          <w:szCs w:val="28"/>
        </w:rPr>
      </w:pPr>
      <w:r w:rsidRPr="00F47CF7">
        <w:rPr>
          <w:rFonts w:ascii="Arial" w:hAnsi="Arial" w:cs="Arial"/>
          <w:b/>
          <w:bCs/>
          <w:sz w:val="28"/>
          <w:szCs w:val="28"/>
        </w:rPr>
        <w:t xml:space="preserve">January </w:t>
      </w:r>
      <w:r w:rsidR="00F47CF7" w:rsidRPr="00F47CF7">
        <w:rPr>
          <w:rFonts w:ascii="Arial" w:hAnsi="Arial" w:cs="Arial"/>
          <w:b/>
          <w:bCs/>
          <w:sz w:val="28"/>
          <w:szCs w:val="28"/>
        </w:rPr>
        <w:t>3</w:t>
      </w:r>
      <w:r w:rsidRPr="00F47CF7">
        <w:rPr>
          <w:rFonts w:ascii="Arial" w:hAnsi="Arial" w:cs="Arial"/>
          <w:b/>
          <w:bCs/>
          <w:sz w:val="28"/>
          <w:szCs w:val="28"/>
        </w:rPr>
        <w:t>,</w:t>
      </w:r>
      <w:r w:rsidR="00D81474" w:rsidRPr="00F47CF7">
        <w:rPr>
          <w:rFonts w:ascii="Arial" w:hAnsi="Arial" w:cs="Arial"/>
          <w:b/>
          <w:bCs/>
          <w:sz w:val="28"/>
          <w:szCs w:val="28"/>
        </w:rPr>
        <w:t xml:space="preserve"> 202</w:t>
      </w:r>
      <w:r w:rsidRPr="00F47CF7">
        <w:rPr>
          <w:rFonts w:ascii="Arial" w:hAnsi="Arial" w:cs="Arial"/>
          <w:b/>
          <w:bCs/>
          <w:sz w:val="28"/>
          <w:szCs w:val="28"/>
        </w:rPr>
        <w:t>5</w:t>
      </w:r>
    </w:p>
    <w:p w14:paraId="2A0CB1B0" w14:textId="6399700D"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D81474">
        <w:rPr>
          <w:rFonts w:ascii="Arial" w:eastAsia="Calibri" w:hAnsi="Arial" w:cs="Arial"/>
          <w:sz w:val="24"/>
          <w:szCs w:val="24"/>
        </w:rPr>
        <w:t>H</w:t>
      </w:r>
      <w:r w:rsidR="003411BE">
        <w:rPr>
          <w:rFonts w:ascii="Arial" w:eastAsia="Calibri" w:hAnsi="Arial" w:cs="Arial"/>
          <w:sz w:val="24"/>
          <w:szCs w:val="24"/>
        </w:rPr>
        <w:t>alton Hills Hydro Inc.</w:t>
      </w:r>
      <w:r w:rsidR="00D77124">
        <w:rPr>
          <w:rFonts w:ascii="Arial" w:eastAsia="Calibri" w:hAnsi="Arial" w:cs="Arial"/>
          <w:sz w:val="24"/>
          <w:szCs w:val="24"/>
        </w:rPr>
        <w:t xml:space="preserve"> (</w:t>
      </w:r>
      <w:r w:rsidR="00D81474">
        <w:rPr>
          <w:rFonts w:ascii="Arial" w:eastAsia="Calibri" w:hAnsi="Arial" w:cs="Arial"/>
          <w:sz w:val="24"/>
          <w:szCs w:val="24"/>
        </w:rPr>
        <w:t>H</w:t>
      </w:r>
      <w:r w:rsidR="003411BE">
        <w:rPr>
          <w:rFonts w:ascii="Arial" w:eastAsia="Calibri" w:hAnsi="Arial" w:cs="Arial"/>
          <w:sz w:val="24"/>
          <w:szCs w:val="24"/>
        </w:rPr>
        <w:t>alton Hills Hydro</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57896EA1" w14:textId="7A4455F9" w:rsidR="00D82122" w:rsidRPr="00E86F26" w:rsidRDefault="00D82122" w:rsidP="00D82122">
      <w:pPr>
        <w:autoSpaceDE w:val="0"/>
        <w:autoSpaceDN w:val="0"/>
        <w:adjustRightInd w:val="0"/>
        <w:spacing w:after="240" w:line="240" w:lineRule="auto"/>
        <w:rPr>
          <w:rFonts w:ascii="Arial" w:eastAsia="Calibri" w:hAnsi="Arial" w:cs="Arial"/>
          <w:sz w:val="24"/>
          <w:szCs w:val="24"/>
        </w:rPr>
      </w:pPr>
    </w:p>
    <w:p w14:paraId="56918C49" w14:textId="77777777" w:rsidR="0074325B" w:rsidRDefault="0074325B" w:rsidP="0074325B">
      <w:pPr>
        <w:spacing w:after="0"/>
        <w:rPr>
          <w:rFonts w:ascii="Arial" w:hAnsi="Arial" w:cs="Arial"/>
          <w:b/>
          <w:sz w:val="24"/>
          <w:szCs w:val="24"/>
        </w:rPr>
      </w:pPr>
      <w:bookmarkStart w:id="1" w:name="_Hlk184914327"/>
      <w:r w:rsidRPr="007D7FBF">
        <w:rPr>
          <w:rFonts w:ascii="Arial" w:hAnsi="Arial" w:cs="Arial"/>
          <w:b/>
          <w:sz w:val="24"/>
          <w:szCs w:val="24"/>
        </w:rPr>
        <w:t>Staff Question-1</w:t>
      </w:r>
    </w:p>
    <w:p w14:paraId="53613ECC" w14:textId="77777777" w:rsidR="0074325B" w:rsidRPr="007D7FBF" w:rsidRDefault="0074325B" w:rsidP="0074325B">
      <w:pPr>
        <w:spacing w:after="0"/>
        <w:rPr>
          <w:rFonts w:ascii="Arial" w:hAnsi="Arial" w:cs="Arial"/>
          <w:b/>
          <w:sz w:val="24"/>
          <w:szCs w:val="24"/>
        </w:rPr>
      </w:pPr>
    </w:p>
    <w:bookmarkEnd w:id="1"/>
    <w:p w14:paraId="28BFAA1B" w14:textId="77777777" w:rsidR="0074325B" w:rsidRPr="007D7FBF" w:rsidRDefault="0074325B" w:rsidP="0074325B">
      <w:pPr>
        <w:spacing w:after="0"/>
        <w:ind w:left="720" w:hanging="720"/>
        <w:rPr>
          <w:rFonts w:ascii="Arial" w:eastAsia="Times New Roman" w:hAnsi="Arial" w:cs="Arial"/>
          <w:b/>
          <w:sz w:val="24"/>
          <w:szCs w:val="24"/>
          <w:lang w:val="en-US"/>
        </w:rPr>
      </w:pPr>
      <w:r w:rsidRPr="007D7FBF">
        <w:rPr>
          <w:rFonts w:ascii="Arial" w:hAnsi="Arial" w:cs="Arial"/>
          <w:b/>
          <w:sz w:val="24"/>
          <w:szCs w:val="24"/>
        </w:rPr>
        <w:t xml:space="preserve">Ref 1: IRM Rate Generator Model, Tab </w:t>
      </w:r>
      <w:bookmarkStart w:id="2" w:name="_Hlk184295459"/>
      <w:r w:rsidRPr="007D7FBF">
        <w:rPr>
          <w:rFonts w:ascii="Arial" w:hAnsi="Arial" w:cs="Arial"/>
          <w:b/>
          <w:sz w:val="24"/>
          <w:szCs w:val="24"/>
        </w:rPr>
        <w:t xml:space="preserve">11 RTSR – UTRs &amp; Sub Tx </w:t>
      </w:r>
      <w:bookmarkEnd w:id="2"/>
      <w:r w:rsidRPr="007D7FBF">
        <w:rPr>
          <w:rFonts w:ascii="Arial" w:hAnsi="Arial" w:cs="Arial"/>
          <w:b/>
          <w:sz w:val="24"/>
          <w:szCs w:val="24"/>
        </w:rPr>
        <w:t xml:space="preserve">and </w:t>
      </w:r>
      <w:r w:rsidRPr="007D7FBF">
        <w:rPr>
          <w:rFonts w:ascii="Arial" w:eastAsia="Times New Roman" w:hAnsi="Arial" w:cs="Arial"/>
          <w:b/>
          <w:sz w:val="24"/>
          <w:szCs w:val="24"/>
          <w:lang w:val="en-US"/>
        </w:rPr>
        <w:t>EB-2024-0244, Letter for 2025 Preliminary Uniform Transmission Rates and Hydro One Sub-Transmission Rates, November 1, 2024, p. 2, Appendix B  </w:t>
      </w:r>
    </w:p>
    <w:p w14:paraId="5BEDA2A0" w14:textId="77777777" w:rsidR="0074325B" w:rsidRPr="007D7FBF" w:rsidRDefault="0074325B" w:rsidP="0074325B">
      <w:pPr>
        <w:spacing w:before="100" w:beforeAutospacing="1" w:after="100" w:afterAutospacing="1"/>
        <w:ind w:left="720" w:hanging="720"/>
        <w:rPr>
          <w:rFonts w:ascii="Arial" w:eastAsia="Times New Roman" w:hAnsi="Arial" w:cs="Arial"/>
          <w:b/>
          <w:sz w:val="24"/>
          <w:szCs w:val="24"/>
          <w:lang w:val="en-US"/>
        </w:rPr>
      </w:pPr>
      <w:r w:rsidRPr="007D7FBF">
        <w:rPr>
          <w:rFonts w:ascii="Arial" w:eastAsia="Times New Roman" w:hAnsi="Arial" w:cs="Arial"/>
          <w:b/>
          <w:sz w:val="24"/>
          <w:szCs w:val="24"/>
          <w:lang w:val="en-US"/>
        </w:rPr>
        <w:t xml:space="preserve">Ref 2: IRM Rate Generator Model, Tab 18 Regulatory Charges, Tab 21 Bill Impacts and Time of Use (TOU) prices set by the OEB for </w:t>
      </w:r>
      <w:hyperlink r:id="rId8" w:history="1">
        <w:r w:rsidRPr="007D7FBF">
          <w:rPr>
            <w:rStyle w:val="Hyperlink"/>
            <w:rFonts w:ascii="Arial" w:eastAsia="Times New Roman" w:hAnsi="Arial" w:cs="Arial"/>
            <w:b/>
            <w:sz w:val="24"/>
            <w:szCs w:val="24"/>
            <w:lang w:val="en-US"/>
          </w:rPr>
          <w:t>November 1, 2024</w:t>
        </w:r>
      </w:hyperlink>
      <w:r w:rsidRPr="007D7FBF">
        <w:rPr>
          <w:rFonts w:ascii="Arial" w:eastAsia="Times New Roman" w:hAnsi="Arial" w:cs="Arial"/>
          <w:b/>
          <w:sz w:val="24"/>
          <w:szCs w:val="24"/>
          <w:lang w:val="en-US"/>
        </w:rPr>
        <w:t xml:space="preserve"> </w:t>
      </w:r>
    </w:p>
    <w:p w14:paraId="4684C5A4" w14:textId="77777777" w:rsidR="0074325B" w:rsidRPr="007D7FBF" w:rsidRDefault="0074325B" w:rsidP="0074325B">
      <w:pPr>
        <w:spacing w:before="100" w:beforeAutospacing="1" w:after="100" w:afterAutospacing="1"/>
        <w:ind w:left="720" w:hanging="720"/>
        <w:rPr>
          <w:rFonts w:ascii="Arial" w:eastAsia="Times New Roman" w:hAnsi="Arial" w:cs="Arial"/>
          <w:sz w:val="24"/>
          <w:szCs w:val="24"/>
          <w:lang w:val="en-US"/>
        </w:rPr>
      </w:pPr>
      <w:r w:rsidRPr="007D7FBF">
        <w:rPr>
          <w:rFonts w:ascii="Arial" w:eastAsia="Times New Roman" w:hAnsi="Arial" w:cs="Arial"/>
          <w:b/>
          <w:sz w:val="24"/>
          <w:szCs w:val="24"/>
          <w:lang w:val="en-US"/>
        </w:rPr>
        <w:t xml:space="preserve">Ref 3: </w:t>
      </w:r>
      <w:r w:rsidRPr="007D7FBF">
        <w:rPr>
          <w:rFonts w:ascii="Arial" w:hAnsi="Arial" w:cs="Arial"/>
          <w:b/>
          <w:sz w:val="24"/>
          <w:szCs w:val="24"/>
        </w:rPr>
        <w:t xml:space="preserve">IRM Rate Generator Model, Tab 20 Final Tariff Schedule and </w:t>
      </w:r>
      <w:r w:rsidRPr="007D7FBF">
        <w:rPr>
          <w:rFonts w:ascii="Arial" w:eastAsia="Times New Roman" w:hAnsi="Arial" w:cs="Arial"/>
          <w:b/>
          <w:sz w:val="24"/>
          <w:szCs w:val="24"/>
          <w:lang w:val="en-US"/>
        </w:rPr>
        <w:t>Letter regarding Review of Fixed Monthly Charge for microFIT Generator Service Classification, November 19, 2024  </w:t>
      </w:r>
      <w:r w:rsidRPr="007D7FBF">
        <w:rPr>
          <w:rFonts w:ascii="Arial" w:eastAsia="Times New Roman" w:hAnsi="Arial" w:cs="Arial"/>
          <w:sz w:val="24"/>
          <w:szCs w:val="24"/>
          <w:lang w:val="en-US"/>
        </w:rPr>
        <w:t> </w:t>
      </w:r>
    </w:p>
    <w:p w14:paraId="6E9F0588" w14:textId="77777777" w:rsidR="0074325B" w:rsidRPr="007D7FBF" w:rsidRDefault="0074325B" w:rsidP="0074325B">
      <w:pPr>
        <w:spacing w:before="100" w:beforeAutospacing="1" w:after="100" w:afterAutospacing="1"/>
        <w:ind w:left="720" w:hanging="720"/>
        <w:rPr>
          <w:rFonts w:ascii="Arial" w:eastAsia="Times New Roman" w:hAnsi="Arial" w:cs="Arial"/>
          <w:b/>
          <w:sz w:val="24"/>
          <w:szCs w:val="24"/>
          <w:lang w:val="en-US"/>
        </w:rPr>
      </w:pPr>
      <w:r w:rsidRPr="007D7FBF">
        <w:rPr>
          <w:rFonts w:ascii="Arial" w:eastAsia="Times New Roman" w:hAnsi="Arial" w:cs="Arial"/>
          <w:b/>
          <w:bCs/>
          <w:sz w:val="24"/>
          <w:szCs w:val="24"/>
          <w:lang w:val="en-US"/>
        </w:rPr>
        <w:t xml:space="preserve">Ref 4: </w:t>
      </w:r>
      <w:r w:rsidRPr="007D7FBF">
        <w:rPr>
          <w:rFonts w:ascii="Arial" w:hAnsi="Arial" w:cs="Arial"/>
          <w:b/>
          <w:bCs/>
          <w:sz w:val="24"/>
          <w:szCs w:val="24"/>
        </w:rPr>
        <w:t>IRM</w:t>
      </w:r>
      <w:r w:rsidRPr="007D7FBF">
        <w:rPr>
          <w:rFonts w:ascii="Arial" w:hAnsi="Arial" w:cs="Arial"/>
          <w:b/>
          <w:sz w:val="24"/>
          <w:szCs w:val="24"/>
        </w:rPr>
        <w:t xml:space="preserve"> Rate Generator Model, Tab 18 Regulatory Charges, Tab 21 Bill Impacts and Decision and Order </w:t>
      </w:r>
      <w:r w:rsidRPr="007D7FBF">
        <w:rPr>
          <w:rFonts w:ascii="Arial" w:eastAsia="Times New Roman" w:hAnsi="Arial" w:cs="Arial"/>
          <w:b/>
          <w:color w:val="242424"/>
          <w:sz w:val="24"/>
          <w:szCs w:val="24"/>
        </w:rPr>
        <w:t xml:space="preserve">Regulatory charges effective January 1, 2025, for the Wholesale Market Services rate and the Rural or </w:t>
      </w:r>
      <w:proofErr w:type="gramStart"/>
      <w:r w:rsidRPr="007D7FBF">
        <w:rPr>
          <w:rFonts w:ascii="Arial" w:eastAsia="Times New Roman" w:hAnsi="Arial" w:cs="Arial"/>
          <w:b/>
          <w:color w:val="242424"/>
          <w:sz w:val="24"/>
          <w:szCs w:val="24"/>
        </w:rPr>
        <w:lastRenderedPageBreak/>
        <w:t>Remote Electricity</w:t>
      </w:r>
      <w:proofErr w:type="gramEnd"/>
      <w:r w:rsidRPr="007D7FBF">
        <w:rPr>
          <w:rFonts w:ascii="Arial" w:eastAsia="Times New Roman" w:hAnsi="Arial" w:cs="Arial"/>
          <w:b/>
          <w:color w:val="242424"/>
          <w:sz w:val="24"/>
          <w:szCs w:val="24"/>
        </w:rPr>
        <w:t xml:space="preserve"> Rate Protection charge, EB-2024-0282, </w:t>
      </w:r>
      <w:r w:rsidRPr="007D7FBF">
        <w:rPr>
          <w:rFonts w:ascii="Arial" w:eastAsia="Times New Roman" w:hAnsi="Arial" w:cs="Arial"/>
          <w:b/>
          <w:sz w:val="24"/>
          <w:szCs w:val="24"/>
          <w:lang w:val="en-US"/>
        </w:rPr>
        <w:t>December 10, 2024   </w:t>
      </w:r>
    </w:p>
    <w:p w14:paraId="65A43441" w14:textId="77777777" w:rsidR="0074325B" w:rsidRPr="007D7FBF" w:rsidRDefault="0074325B" w:rsidP="0074325B">
      <w:pPr>
        <w:spacing w:before="100" w:beforeAutospacing="1" w:after="100" w:afterAutospacing="1"/>
        <w:rPr>
          <w:rFonts w:ascii="Arial" w:eastAsia="Times New Roman" w:hAnsi="Arial" w:cs="Arial"/>
          <w:b/>
          <w:bCs/>
          <w:sz w:val="24"/>
          <w:szCs w:val="24"/>
          <w:lang w:val="en-US"/>
        </w:rPr>
      </w:pPr>
      <w:r w:rsidRPr="007D7FBF">
        <w:rPr>
          <w:rFonts w:ascii="Arial" w:eastAsia="Times New Roman" w:hAnsi="Arial" w:cs="Arial"/>
          <w:b/>
          <w:bCs/>
          <w:sz w:val="24"/>
          <w:szCs w:val="24"/>
          <w:lang w:val="en-US"/>
        </w:rPr>
        <w:t>Preamble:</w:t>
      </w:r>
    </w:p>
    <w:p w14:paraId="67759992" w14:textId="77777777" w:rsidR="0074325B" w:rsidRPr="007D7FBF" w:rsidRDefault="0074325B" w:rsidP="0074325B">
      <w:p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Distributors must enter the applicable rates in the Rate Generator Model for the preliminary Uniform Transmission Rates (UTRs), Hydro One Sub-Transmission Rates, microFIT charge, TOU prices, Ontario Electricity Rebate (OER), Wholesale Market Services (WMS) and the Rural or Remote Electricity Rate Protection Charge (RRRP). These rates must align with the most recent rates and charges issued by the OEB.  </w:t>
      </w:r>
    </w:p>
    <w:p w14:paraId="25916ED3" w14:textId="77777777" w:rsidR="0074325B" w:rsidRPr="007D7FBF" w:rsidRDefault="0074325B" w:rsidP="0074325B">
      <w:p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 </w:t>
      </w:r>
      <w:r w:rsidRPr="007D7FBF">
        <w:rPr>
          <w:rFonts w:ascii="Arial" w:eastAsia="Times New Roman" w:hAnsi="Arial" w:cs="Arial"/>
          <w:b/>
          <w:bCs/>
          <w:sz w:val="24"/>
          <w:szCs w:val="24"/>
          <w:lang w:val="en-US"/>
        </w:rPr>
        <w:t>Question(s): </w:t>
      </w:r>
      <w:r w:rsidRPr="007D7FBF">
        <w:rPr>
          <w:rFonts w:ascii="Arial" w:eastAsia="Times New Roman" w:hAnsi="Arial" w:cs="Arial"/>
          <w:sz w:val="24"/>
          <w:szCs w:val="24"/>
          <w:lang w:val="en-US"/>
        </w:rPr>
        <w:t> </w:t>
      </w:r>
    </w:p>
    <w:p w14:paraId="575566FF" w14:textId="77777777" w:rsidR="0074325B" w:rsidRPr="007D7FBF" w:rsidRDefault="0074325B" w:rsidP="0074325B">
      <w:pPr>
        <w:numPr>
          <w:ilvl w:val="0"/>
          <w:numId w:val="31"/>
        </w:num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 xml:space="preserve">OEB staff has updated Tab </w:t>
      </w:r>
      <w:r w:rsidRPr="007D7FBF">
        <w:rPr>
          <w:rFonts w:ascii="Arial" w:hAnsi="Arial" w:cs="Arial"/>
          <w:sz w:val="24"/>
          <w:szCs w:val="24"/>
        </w:rPr>
        <w:t>11 RTSR – UTRs &amp; Sub Tx</w:t>
      </w:r>
      <w:r w:rsidRPr="007D7FBF">
        <w:rPr>
          <w:rFonts w:ascii="Arial" w:hAnsi="Arial" w:cs="Arial"/>
          <w:b/>
          <w:sz w:val="24"/>
          <w:szCs w:val="24"/>
        </w:rPr>
        <w:t xml:space="preserve"> </w:t>
      </w:r>
      <w:r w:rsidRPr="007D7FBF">
        <w:rPr>
          <w:rFonts w:ascii="Arial" w:eastAsia="Times New Roman" w:hAnsi="Arial" w:cs="Arial"/>
          <w:sz w:val="24"/>
          <w:szCs w:val="24"/>
          <w:lang w:val="en-US"/>
        </w:rPr>
        <w:t>UTRs. Please confirm the updates and ensure that all tabs are updated accordingly.  </w:t>
      </w:r>
    </w:p>
    <w:p w14:paraId="025D3662" w14:textId="16B5BCED" w:rsidR="0074325B" w:rsidRPr="007D7FBF" w:rsidRDefault="0074325B" w:rsidP="0074325B">
      <w:pPr>
        <w:numPr>
          <w:ilvl w:val="0"/>
          <w:numId w:val="31"/>
        </w:num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 xml:space="preserve">OEB staff </w:t>
      </w:r>
      <w:proofErr w:type="gramStart"/>
      <w:r w:rsidRPr="007D7FBF">
        <w:rPr>
          <w:rFonts w:ascii="Arial" w:eastAsia="Times New Roman" w:hAnsi="Arial" w:cs="Arial"/>
          <w:sz w:val="24"/>
          <w:szCs w:val="24"/>
          <w:lang w:val="en-US"/>
        </w:rPr>
        <w:t>has</w:t>
      </w:r>
      <w:proofErr w:type="gramEnd"/>
      <w:r w:rsidRPr="007D7FBF">
        <w:rPr>
          <w:rFonts w:ascii="Arial" w:eastAsia="Times New Roman" w:hAnsi="Arial" w:cs="Arial"/>
          <w:sz w:val="24"/>
          <w:szCs w:val="24"/>
          <w:lang w:val="en-US"/>
        </w:rPr>
        <w:t xml:space="preserve"> updated the latest TOU prices and OER in Tab 1</w:t>
      </w:r>
      <w:r w:rsidR="009E2E02">
        <w:rPr>
          <w:rFonts w:ascii="Arial" w:eastAsia="Times New Roman" w:hAnsi="Arial" w:cs="Arial"/>
          <w:sz w:val="24"/>
          <w:szCs w:val="24"/>
          <w:lang w:val="en-US"/>
        </w:rPr>
        <w:t>8</w:t>
      </w:r>
      <w:r w:rsidRPr="007D7FBF">
        <w:rPr>
          <w:rFonts w:ascii="Arial" w:eastAsia="Times New Roman" w:hAnsi="Arial" w:cs="Arial"/>
          <w:sz w:val="24"/>
          <w:szCs w:val="24"/>
          <w:lang w:val="en-US"/>
        </w:rPr>
        <w:t xml:space="preserve"> Regulatory Charges and Tab 21 Final Tariff Schedule. Please confirm the updates and ensure that all tabs are updated accordingly.  </w:t>
      </w:r>
    </w:p>
    <w:p w14:paraId="4CFBF6BD" w14:textId="77777777" w:rsidR="0074325B" w:rsidRPr="007D7FBF" w:rsidRDefault="0074325B" w:rsidP="0074325B">
      <w:pPr>
        <w:numPr>
          <w:ilvl w:val="0"/>
          <w:numId w:val="31"/>
        </w:num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 xml:space="preserve">OEB staff </w:t>
      </w:r>
      <w:proofErr w:type="gramStart"/>
      <w:r w:rsidRPr="007D7FBF">
        <w:rPr>
          <w:rFonts w:ascii="Arial" w:eastAsia="Times New Roman" w:hAnsi="Arial" w:cs="Arial"/>
          <w:sz w:val="24"/>
          <w:szCs w:val="24"/>
          <w:lang w:val="en-US"/>
        </w:rPr>
        <w:t>has</w:t>
      </w:r>
      <w:proofErr w:type="gramEnd"/>
      <w:r w:rsidRPr="007D7FBF">
        <w:rPr>
          <w:rFonts w:ascii="Arial" w:eastAsia="Times New Roman" w:hAnsi="Arial" w:cs="Arial"/>
          <w:sz w:val="24"/>
          <w:szCs w:val="24"/>
          <w:lang w:val="en-US"/>
        </w:rPr>
        <w:t xml:space="preserve"> updated the microFIT charge. Please confirm the microFIT charge on Tab 20 Final Tariff Schedule of the Rate Generator Model has been updated correctly. </w:t>
      </w:r>
    </w:p>
    <w:p w14:paraId="79357FC9" w14:textId="449C1EBD" w:rsidR="0074325B" w:rsidRPr="007D7FBF" w:rsidRDefault="0074325B" w:rsidP="0074325B">
      <w:pPr>
        <w:numPr>
          <w:ilvl w:val="0"/>
          <w:numId w:val="31"/>
        </w:num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OEB staff has updated the RRRP rate rider. Please confirm the RRRP rate on Tab 1</w:t>
      </w:r>
      <w:r w:rsidR="009E2E02">
        <w:rPr>
          <w:rFonts w:ascii="Arial" w:eastAsia="Times New Roman" w:hAnsi="Arial" w:cs="Arial"/>
          <w:sz w:val="24"/>
          <w:szCs w:val="24"/>
          <w:lang w:val="en-US"/>
        </w:rPr>
        <w:t xml:space="preserve">8 </w:t>
      </w:r>
      <w:r w:rsidRPr="007D7FBF">
        <w:rPr>
          <w:rFonts w:ascii="Arial" w:eastAsia="Times New Roman" w:hAnsi="Arial" w:cs="Arial"/>
          <w:sz w:val="24"/>
          <w:szCs w:val="24"/>
          <w:lang w:val="en-US"/>
        </w:rPr>
        <w:t xml:space="preserve">Regulatory Charges has been updated correctly. </w:t>
      </w:r>
    </w:p>
    <w:p w14:paraId="5D177D21" w14:textId="77777777" w:rsidR="00D82122" w:rsidRDefault="00D82122" w:rsidP="00D82122">
      <w:pPr>
        <w:spacing w:after="0" w:line="240" w:lineRule="auto"/>
        <w:rPr>
          <w:rFonts w:ascii="Arial" w:hAnsi="Arial" w:cs="Arial"/>
          <w:bCs/>
          <w:sz w:val="24"/>
          <w:szCs w:val="24"/>
        </w:rPr>
      </w:pPr>
    </w:p>
    <w:p w14:paraId="43AE605B" w14:textId="1A806B15" w:rsidR="00D57E8C" w:rsidRDefault="00D57E8C" w:rsidP="00AB251C">
      <w:pPr>
        <w:spacing w:after="240"/>
        <w:rPr>
          <w:rFonts w:ascii="Arial" w:hAnsi="Arial" w:cs="Arial"/>
          <w:b/>
          <w:sz w:val="24"/>
          <w:szCs w:val="24"/>
        </w:rPr>
      </w:pPr>
    </w:p>
    <w:sectPr w:rsidR="00D57E8C" w:rsidSect="00EA0919">
      <w:headerReference w:type="default" r:id="rId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8F9E" w14:textId="77777777" w:rsidR="00D77124" w:rsidRDefault="00D77124" w:rsidP="00D77124">
      <w:pPr>
        <w:spacing w:after="0" w:line="240" w:lineRule="auto"/>
      </w:pPr>
      <w:r>
        <w:separator/>
      </w:r>
    </w:p>
  </w:endnote>
  <w:endnote w:type="continuationSeparator" w:id="0">
    <w:p w14:paraId="50D9B00B" w14:textId="77777777" w:rsidR="00D77124" w:rsidRDefault="00D77124"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4BF2" w14:textId="77777777" w:rsidR="00D77124" w:rsidRDefault="00D77124" w:rsidP="00D77124">
      <w:pPr>
        <w:spacing w:after="0" w:line="240" w:lineRule="auto"/>
      </w:pPr>
      <w:r>
        <w:separator/>
      </w:r>
    </w:p>
  </w:footnote>
  <w:footnote w:type="continuationSeparator" w:id="0">
    <w:p w14:paraId="225EBB01" w14:textId="77777777" w:rsidR="00D77124" w:rsidRDefault="00D77124"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3709CFAA" w:rsidR="00DC489D" w:rsidRDefault="00DC489D">
    <w:pPr>
      <w:pStyle w:val="Header"/>
    </w:pPr>
    <w:r>
      <w:ptab w:relativeTo="margin" w:alignment="center" w:leader="none"/>
    </w:r>
    <w:r>
      <w:ptab w:relativeTo="margin" w:alignment="right" w:leader="none"/>
    </w:r>
    <w:r w:rsidR="00D81474">
      <w:t>H</w:t>
    </w:r>
    <w:r w:rsidR="003411BE">
      <w:t>alton Hills Hydro Inc.</w:t>
    </w:r>
  </w:p>
  <w:p w14:paraId="4C4BD2A4" w14:textId="27F660F2" w:rsidR="00DC489D" w:rsidRDefault="00DC489D">
    <w:pPr>
      <w:pStyle w:val="Header"/>
    </w:pPr>
    <w:r>
      <w:tab/>
    </w:r>
    <w:r>
      <w:tab/>
      <w:t>OEB Staff Questions</w:t>
    </w:r>
  </w:p>
  <w:p w14:paraId="31F1E28E" w14:textId="67E67BB9" w:rsidR="00DC489D" w:rsidRDefault="00DC489D">
    <w:pPr>
      <w:pStyle w:val="Header"/>
    </w:pPr>
    <w:r>
      <w:tab/>
    </w:r>
    <w:r>
      <w:tab/>
      <w:t>EB-20</w:t>
    </w:r>
    <w:r w:rsidR="00D81474">
      <w:t>2</w:t>
    </w:r>
    <w:r w:rsidR="005678EB">
      <w:t>4</w:t>
    </w:r>
    <w:r w:rsidR="00D81474">
      <w:t>-00</w:t>
    </w:r>
    <w:r w:rsidR="005678EB">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F54553"/>
    <w:multiLevelType w:val="hybridMultilevel"/>
    <w:tmpl w:val="28B8A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CF209E"/>
    <w:multiLevelType w:val="multilevel"/>
    <w:tmpl w:val="80DC0C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6"/>
  </w:num>
  <w:num w:numId="3" w16cid:durableId="1825269186">
    <w:abstractNumId w:val="23"/>
  </w:num>
  <w:num w:numId="4" w16cid:durableId="1119179632">
    <w:abstractNumId w:val="30"/>
  </w:num>
  <w:num w:numId="5" w16cid:durableId="2091417003">
    <w:abstractNumId w:val="13"/>
  </w:num>
  <w:num w:numId="6" w16cid:durableId="252014472">
    <w:abstractNumId w:val="9"/>
  </w:num>
  <w:num w:numId="7" w16cid:durableId="1793011066">
    <w:abstractNumId w:val="18"/>
  </w:num>
  <w:num w:numId="8" w16cid:durableId="1794320803">
    <w:abstractNumId w:val="14"/>
  </w:num>
  <w:num w:numId="9" w16cid:durableId="1829709702">
    <w:abstractNumId w:val="15"/>
  </w:num>
  <w:num w:numId="10" w16cid:durableId="1115251463">
    <w:abstractNumId w:val="5"/>
  </w:num>
  <w:num w:numId="11" w16cid:durableId="1887520468">
    <w:abstractNumId w:val="17"/>
  </w:num>
  <w:num w:numId="12" w16cid:durableId="1441336080">
    <w:abstractNumId w:val="25"/>
  </w:num>
  <w:num w:numId="13" w16cid:durableId="1780180625">
    <w:abstractNumId w:val="4"/>
  </w:num>
  <w:num w:numId="14" w16cid:durableId="1590384501">
    <w:abstractNumId w:val="1"/>
  </w:num>
  <w:num w:numId="15" w16cid:durableId="427196099">
    <w:abstractNumId w:val="29"/>
  </w:num>
  <w:num w:numId="16" w16cid:durableId="1661301170">
    <w:abstractNumId w:val="7"/>
  </w:num>
  <w:num w:numId="17" w16cid:durableId="580800399">
    <w:abstractNumId w:val="21"/>
  </w:num>
  <w:num w:numId="18" w16cid:durableId="1835102567">
    <w:abstractNumId w:val="27"/>
  </w:num>
  <w:num w:numId="19" w16cid:durableId="1966807704">
    <w:abstractNumId w:val="28"/>
  </w:num>
  <w:num w:numId="20" w16cid:durableId="1330401671">
    <w:abstractNumId w:val="12"/>
  </w:num>
  <w:num w:numId="21" w16cid:durableId="1192495916">
    <w:abstractNumId w:val="26"/>
  </w:num>
  <w:num w:numId="22" w16cid:durableId="82845605">
    <w:abstractNumId w:val="11"/>
  </w:num>
  <w:num w:numId="23" w16cid:durableId="1261449128">
    <w:abstractNumId w:val="24"/>
  </w:num>
  <w:num w:numId="24" w16cid:durableId="1669995">
    <w:abstractNumId w:val="22"/>
  </w:num>
  <w:num w:numId="25" w16cid:durableId="965695596">
    <w:abstractNumId w:val="2"/>
  </w:num>
  <w:num w:numId="26" w16cid:durableId="331496830">
    <w:abstractNumId w:val="16"/>
  </w:num>
  <w:num w:numId="27" w16cid:durableId="1873108183">
    <w:abstractNumId w:val="19"/>
  </w:num>
  <w:num w:numId="28" w16cid:durableId="1229924058">
    <w:abstractNumId w:val="20"/>
  </w:num>
  <w:num w:numId="29" w16cid:durableId="990324813">
    <w:abstractNumId w:val="10"/>
  </w:num>
  <w:num w:numId="30" w16cid:durableId="764347962">
    <w:abstractNumId w:val="3"/>
  </w:num>
  <w:num w:numId="31" w16cid:durableId="216741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97FE2"/>
    <w:rsid w:val="001A4DCD"/>
    <w:rsid w:val="00203092"/>
    <w:rsid w:val="002208C0"/>
    <w:rsid w:val="00224C06"/>
    <w:rsid w:val="002421F8"/>
    <w:rsid w:val="0025687C"/>
    <w:rsid w:val="00274A48"/>
    <w:rsid w:val="00291CCC"/>
    <w:rsid w:val="002A6415"/>
    <w:rsid w:val="002B041E"/>
    <w:rsid w:val="002B7B7C"/>
    <w:rsid w:val="002C2BF2"/>
    <w:rsid w:val="002C7EF6"/>
    <w:rsid w:val="002D4924"/>
    <w:rsid w:val="002F4756"/>
    <w:rsid w:val="00302509"/>
    <w:rsid w:val="003049C5"/>
    <w:rsid w:val="003303BF"/>
    <w:rsid w:val="00340C00"/>
    <w:rsid w:val="003411BE"/>
    <w:rsid w:val="003702D1"/>
    <w:rsid w:val="00373FAD"/>
    <w:rsid w:val="003777B5"/>
    <w:rsid w:val="003832E7"/>
    <w:rsid w:val="003A20A0"/>
    <w:rsid w:val="003A58B0"/>
    <w:rsid w:val="003F4B88"/>
    <w:rsid w:val="00400DFC"/>
    <w:rsid w:val="00412DC6"/>
    <w:rsid w:val="00425009"/>
    <w:rsid w:val="004377B0"/>
    <w:rsid w:val="00472C81"/>
    <w:rsid w:val="00475032"/>
    <w:rsid w:val="004859EF"/>
    <w:rsid w:val="00492662"/>
    <w:rsid w:val="004E74C1"/>
    <w:rsid w:val="00511EC2"/>
    <w:rsid w:val="005164F5"/>
    <w:rsid w:val="0052560F"/>
    <w:rsid w:val="005666F2"/>
    <w:rsid w:val="005678EB"/>
    <w:rsid w:val="00572064"/>
    <w:rsid w:val="00584369"/>
    <w:rsid w:val="00587A35"/>
    <w:rsid w:val="005951D3"/>
    <w:rsid w:val="005E27C0"/>
    <w:rsid w:val="005F4693"/>
    <w:rsid w:val="00623602"/>
    <w:rsid w:val="0064279A"/>
    <w:rsid w:val="00651C98"/>
    <w:rsid w:val="006A1257"/>
    <w:rsid w:val="006A5D23"/>
    <w:rsid w:val="006E3D58"/>
    <w:rsid w:val="00704EE5"/>
    <w:rsid w:val="007066E2"/>
    <w:rsid w:val="0072241F"/>
    <w:rsid w:val="00722640"/>
    <w:rsid w:val="0073197E"/>
    <w:rsid w:val="0074325B"/>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E0EE1"/>
    <w:rsid w:val="008E6045"/>
    <w:rsid w:val="0090113B"/>
    <w:rsid w:val="0093258A"/>
    <w:rsid w:val="0094373C"/>
    <w:rsid w:val="00946DEE"/>
    <w:rsid w:val="00951E2B"/>
    <w:rsid w:val="00952939"/>
    <w:rsid w:val="00961EA0"/>
    <w:rsid w:val="009A5C44"/>
    <w:rsid w:val="009B03AF"/>
    <w:rsid w:val="009C4216"/>
    <w:rsid w:val="009D5F4B"/>
    <w:rsid w:val="009E2E02"/>
    <w:rsid w:val="009E626E"/>
    <w:rsid w:val="009E7CBF"/>
    <w:rsid w:val="00A07077"/>
    <w:rsid w:val="00A50DD0"/>
    <w:rsid w:val="00A516B0"/>
    <w:rsid w:val="00A5620A"/>
    <w:rsid w:val="00AA06D9"/>
    <w:rsid w:val="00AB251C"/>
    <w:rsid w:val="00AC2406"/>
    <w:rsid w:val="00AD3FCF"/>
    <w:rsid w:val="00AD53AC"/>
    <w:rsid w:val="00B03802"/>
    <w:rsid w:val="00B069AA"/>
    <w:rsid w:val="00B23A36"/>
    <w:rsid w:val="00B25576"/>
    <w:rsid w:val="00B25EF5"/>
    <w:rsid w:val="00B36734"/>
    <w:rsid w:val="00B50EB2"/>
    <w:rsid w:val="00B6722A"/>
    <w:rsid w:val="00B82D78"/>
    <w:rsid w:val="00BA434C"/>
    <w:rsid w:val="00BC3C1A"/>
    <w:rsid w:val="00BD4F65"/>
    <w:rsid w:val="00BD7607"/>
    <w:rsid w:val="00C06F9E"/>
    <w:rsid w:val="00C13E6B"/>
    <w:rsid w:val="00C2370B"/>
    <w:rsid w:val="00C27193"/>
    <w:rsid w:val="00C624D5"/>
    <w:rsid w:val="00C848A0"/>
    <w:rsid w:val="00C859E5"/>
    <w:rsid w:val="00C878C5"/>
    <w:rsid w:val="00C96AEA"/>
    <w:rsid w:val="00CC0B6D"/>
    <w:rsid w:val="00CD01B4"/>
    <w:rsid w:val="00CE1CD3"/>
    <w:rsid w:val="00CE4F01"/>
    <w:rsid w:val="00D04181"/>
    <w:rsid w:val="00D264F1"/>
    <w:rsid w:val="00D30F16"/>
    <w:rsid w:val="00D55546"/>
    <w:rsid w:val="00D57E8C"/>
    <w:rsid w:val="00D6213C"/>
    <w:rsid w:val="00D647C0"/>
    <w:rsid w:val="00D77124"/>
    <w:rsid w:val="00D77694"/>
    <w:rsid w:val="00D77B0F"/>
    <w:rsid w:val="00D81474"/>
    <w:rsid w:val="00D82122"/>
    <w:rsid w:val="00DB6B52"/>
    <w:rsid w:val="00DC489D"/>
    <w:rsid w:val="00DE5488"/>
    <w:rsid w:val="00DE75AC"/>
    <w:rsid w:val="00DF5A52"/>
    <w:rsid w:val="00E17C58"/>
    <w:rsid w:val="00E231C2"/>
    <w:rsid w:val="00E429DA"/>
    <w:rsid w:val="00E511EF"/>
    <w:rsid w:val="00E616AB"/>
    <w:rsid w:val="00E62C2A"/>
    <w:rsid w:val="00E8586E"/>
    <w:rsid w:val="00E86F26"/>
    <w:rsid w:val="00E96A06"/>
    <w:rsid w:val="00EA0919"/>
    <w:rsid w:val="00EB5240"/>
    <w:rsid w:val="00EC0B55"/>
    <w:rsid w:val="00EE3753"/>
    <w:rsid w:val="00F034BF"/>
    <w:rsid w:val="00F233A3"/>
    <w:rsid w:val="00F23D7A"/>
    <w:rsid w:val="00F26D30"/>
    <w:rsid w:val="00F47CF7"/>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743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newsroom/2024/ontario-energy-board-announces-changes-electricity-prices-households-small-busines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12</cp:revision>
  <cp:lastPrinted>2014-09-29T14:43:00Z</cp:lastPrinted>
  <dcterms:created xsi:type="dcterms:W3CDTF">2023-12-27T16:09:00Z</dcterms:created>
  <dcterms:modified xsi:type="dcterms:W3CDTF">2025-01-02T19:08:00Z</dcterms:modified>
</cp:coreProperties>
</file>