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04C9" w14:textId="77777777" w:rsidR="00247442" w:rsidRPr="00D57E8C" w:rsidRDefault="00247442" w:rsidP="00247442">
      <w:pPr>
        <w:pStyle w:val="Default"/>
        <w:spacing w:line="276" w:lineRule="auto"/>
        <w:jc w:val="center"/>
        <w:rPr>
          <w:rFonts w:ascii="Arial" w:hAnsi="Arial" w:cs="Arial"/>
          <w:sz w:val="28"/>
          <w:szCs w:val="28"/>
        </w:rPr>
      </w:pPr>
      <w:r>
        <w:rPr>
          <w:rFonts w:ascii="Arial" w:hAnsi="Arial" w:cs="Arial"/>
          <w:b/>
          <w:bCs/>
          <w:sz w:val="28"/>
          <w:szCs w:val="28"/>
        </w:rPr>
        <w:t>London Hydro Inc.</w:t>
      </w:r>
    </w:p>
    <w:p w14:paraId="41245242" w14:textId="77777777" w:rsidR="00247442" w:rsidRDefault="00247442" w:rsidP="00247442">
      <w:pPr>
        <w:pStyle w:val="Default"/>
        <w:spacing w:after="360" w:line="276" w:lineRule="auto"/>
        <w:contextualSpacing/>
        <w:jc w:val="center"/>
        <w:rPr>
          <w:rFonts w:ascii="Arial" w:hAnsi="Arial" w:cs="Arial"/>
          <w:b/>
          <w:bCs/>
          <w:sz w:val="28"/>
          <w:szCs w:val="28"/>
        </w:rPr>
      </w:pPr>
      <w:r>
        <w:rPr>
          <w:rFonts w:ascii="Arial" w:hAnsi="Arial" w:cs="Arial"/>
          <w:b/>
          <w:bCs/>
          <w:sz w:val="28"/>
          <w:szCs w:val="28"/>
        </w:rPr>
        <w:t>EB-2024-0040</w:t>
      </w:r>
    </w:p>
    <w:p w14:paraId="29749382" w14:textId="19A82A08" w:rsidR="00247442" w:rsidRDefault="00247442" w:rsidP="00247442">
      <w:pPr>
        <w:pStyle w:val="Default"/>
        <w:spacing w:after="360" w:line="276" w:lineRule="auto"/>
        <w:contextualSpacing/>
        <w:jc w:val="center"/>
        <w:rPr>
          <w:rFonts w:ascii="Arial" w:hAnsi="Arial" w:cs="Arial"/>
          <w:b/>
          <w:bCs/>
          <w:sz w:val="28"/>
          <w:szCs w:val="28"/>
        </w:rPr>
      </w:pPr>
      <w:r>
        <w:rPr>
          <w:rFonts w:ascii="Arial" w:hAnsi="Arial" w:cs="Arial"/>
          <w:b/>
          <w:bCs/>
          <w:sz w:val="28"/>
          <w:szCs w:val="28"/>
        </w:rPr>
        <w:t>January 22, 2025</w:t>
      </w:r>
    </w:p>
    <w:p w14:paraId="784B9A6B" w14:textId="77777777" w:rsidR="00247442" w:rsidRPr="00E86F26" w:rsidRDefault="00247442" w:rsidP="00247442">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Pr>
          <w:rFonts w:ascii="Arial" w:eastAsia="Calibri" w:hAnsi="Arial" w:cs="Arial"/>
          <w:sz w:val="24"/>
          <w:szCs w:val="24"/>
        </w:rPr>
        <w:t>London Hydro Inc. (London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4ED077AA" w:rsidR="00D57E8C" w:rsidRDefault="005F6C0C" w:rsidP="00FE26B6">
      <w:pPr>
        <w:spacing w:after="0"/>
        <w:rPr>
          <w:rFonts w:ascii="Arial" w:hAnsi="Arial" w:cs="Arial"/>
          <w:b/>
          <w:sz w:val="24"/>
          <w:szCs w:val="24"/>
        </w:rPr>
      </w:pPr>
      <w:r>
        <w:rPr>
          <w:rFonts w:ascii="Arial" w:hAnsi="Arial" w:cs="Arial"/>
          <w:b/>
          <w:sz w:val="24"/>
          <w:szCs w:val="24"/>
        </w:rPr>
        <w:t xml:space="preserve">Follow up </w:t>
      </w:r>
      <w:r w:rsidR="00D57E8C">
        <w:rPr>
          <w:rFonts w:ascii="Arial" w:hAnsi="Arial" w:cs="Arial"/>
          <w:b/>
          <w:sz w:val="24"/>
          <w:szCs w:val="24"/>
        </w:rPr>
        <w:t>Question-1</w:t>
      </w:r>
    </w:p>
    <w:p w14:paraId="2B28322C" w14:textId="5E649C00" w:rsidR="002A1723" w:rsidRDefault="002A1723" w:rsidP="00FE26B6">
      <w:pPr>
        <w:spacing w:after="0"/>
        <w:rPr>
          <w:rFonts w:ascii="Arial" w:hAnsi="Arial" w:cs="Arial"/>
          <w:b/>
          <w:sz w:val="24"/>
          <w:szCs w:val="24"/>
        </w:rPr>
      </w:pPr>
      <w:r>
        <w:rPr>
          <w:rFonts w:ascii="Arial" w:hAnsi="Arial" w:cs="Arial"/>
          <w:b/>
          <w:sz w:val="24"/>
          <w:szCs w:val="24"/>
        </w:rPr>
        <w:t>Account 1595</w:t>
      </w:r>
      <w:r w:rsidR="00116EE3">
        <w:rPr>
          <w:rFonts w:ascii="Arial" w:hAnsi="Arial" w:cs="Arial"/>
          <w:b/>
          <w:sz w:val="24"/>
          <w:szCs w:val="24"/>
        </w:rPr>
        <w:t xml:space="preserve"> (2021)</w:t>
      </w:r>
    </w:p>
    <w:p w14:paraId="43462A2B" w14:textId="562D1190" w:rsidR="000423BE" w:rsidRDefault="000423BE" w:rsidP="000423BE">
      <w:pPr>
        <w:spacing w:after="0"/>
        <w:rPr>
          <w:rFonts w:ascii="Arial" w:hAnsi="Arial" w:cs="Arial"/>
          <w:b/>
          <w:sz w:val="24"/>
          <w:szCs w:val="24"/>
        </w:rPr>
      </w:pPr>
      <w:r>
        <w:rPr>
          <w:rFonts w:ascii="Arial" w:hAnsi="Arial" w:cs="Arial"/>
          <w:b/>
          <w:sz w:val="24"/>
          <w:szCs w:val="24"/>
        </w:rPr>
        <w:t xml:space="preserve">Ref 1: </w:t>
      </w:r>
      <w:r w:rsidR="005C7F10">
        <w:rPr>
          <w:rFonts w:ascii="Arial" w:hAnsi="Arial" w:cs="Arial"/>
          <w:b/>
          <w:sz w:val="24"/>
          <w:szCs w:val="24"/>
        </w:rPr>
        <w:t xml:space="preserve">Response to </w:t>
      </w:r>
      <w:r>
        <w:rPr>
          <w:rFonts w:ascii="Arial" w:hAnsi="Arial" w:cs="Arial"/>
          <w:b/>
          <w:sz w:val="24"/>
          <w:szCs w:val="24"/>
        </w:rPr>
        <w:t>Staff Question-2</w:t>
      </w:r>
    </w:p>
    <w:p w14:paraId="3AEDD5CE" w14:textId="242D39CA" w:rsidR="00704459" w:rsidRDefault="00704459" w:rsidP="00FE26B6">
      <w:pPr>
        <w:spacing w:after="0"/>
        <w:rPr>
          <w:rFonts w:ascii="Arial" w:hAnsi="Arial" w:cs="Arial"/>
          <w:b/>
          <w:sz w:val="24"/>
          <w:szCs w:val="24"/>
        </w:rPr>
      </w:pPr>
      <w:r>
        <w:rPr>
          <w:rFonts w:ascii="Arial" w:hAnsi="Arial" w:cs="Arial"/>
          <w:b/>
          <w:sz w:val="24"/>
          <w:szCs w:val="24"/>
        </w:rPr>
        <w:t xml:space="preserve">Ref </w:t>
      </w:r>
      <w:r w:rsidR="000423BE">
        <w:rPr>
          <w:rFonts w:ascii="Arial" w:hAnsi="Arial" w:cs="Arial"/>
          <w:b/>
          <w:sz w:val="24"/>
          <w:szCs w:val="24"/>
        </w:rPr>
        <w:t>2</w:t>
      </w:r>
      <w:r>
        <w:rPr>
          <w:rFonts w:ascii="Arial" w:hAnsi="Arial" w:cs="Arial"/>
          <w:b/>
          <w:sz w:val="24"/>
          <w:szCs w:val="24"/>
        </w:rPr>
        <w:t>: 2025 IRM rate model</w:t>
      </w:r>
      <w:r w:rsidR="00C9525C">
        <w:rPr>
          <w:rFonts w:ascii="Arial" w:hAnsi="Arial" w:cs="Arial"/>
          <w:b/>
          <w:sz w:val="24"/>
          <w:szCs w:val="24"/>
        </w:rPr>
        <w:t>_20250114</w:t>
      </w:r>
      <w:r>
        <w:rPr>
          <w:rFonts w:ascii="Arial" w:hAnsi="Arial" w:cs="Arial"/>
          <w:b/>
          <w:sz w:val="24"/>
          <w:szCs w:val="24"/>
        </w:rPr>
        <w:t>, DVA continuity, Tab 3</w:t>
      </w:r>
    </w:p>
    <w:p w14:paraId="5B0E2F0D" w14:textId="5FC855EA" w:rsidR="00BC5241" w:rsidRDefault="00BC5241" w:rsidP="00FE26B6">
      <w:pPr>
        <w:spacing w:after="0"/>
        <w:rPr>
          <w:rFonts w:ascii="Arial" w:hAnsi="Arial" w:cs="Arial"/>
          <w:b/>
          <w:sz w:val="24"/>
          <w:szCs w:val="24"/>
        </w:rPr>
      </w:pPr>
      <w:r>
        <w:rPr>
          <w:rFonts w:ascii="Arial" w:hAnsi="Arial" w:cs="Arial"/>
          <w:b/>
          <w:sz w:val="24"/>
          <w:szCs w:val="24"/>
        </w:rPr>
        <w:t xml:space="preserve">Ref </w:t>
      </w:r>
      <w:r w:rsidR="00E7346D">
        <w:rPr>
          <w:rFonts w:ascii="Arial" w:hAnsi="Arial" w:cs="Arial"/>
          <w:b/>
          <w:sz w:val="24"/>
          <w:szCs w:val="24"/>
        </w:rPr>
        <w:t>3</w:t>
      </w:r>
      <w:r>
        <w:rPr>
          <w:rFonts w:ascii="Arial" w:hAnsi="Arial" w:cs="Arial"/>
          <w:b/>
          <w:sz w:val="24"/>
          <w:szCs w:val="24"/>
        </w:rPr>
        <w:t xml:space="preserve">: </w:t>
      </w:r>
      <w:r w:rsidR="00672DDD">
        <w:rPr>
          <w:rFonts w:ascii="Arial" w:hAnsi="Arial" w:cs="Arial"/>
          <w:b/>
          <w:sz w:val="24"/>
          <w:szCs w:val="24"/>
        </w:rPr>
        <w:t>2025 GA Workform, Tab PA</w:t>
      </w:r>
      <w:r w:rsidR="00A50BEE">
        <w:rPr>
          <w:rFonts w:ascii="Arial" w:hAnsi="Arial" w:cs="Arial"/>
          <w:b/>
          <w:sz w:val="24"/>
          <w:szCs w:val="24"/>
        </w:rPr>
        <w:t>, Cell V62 &amp; Cell J62</w:t>
      </w:r>
    </w:p>
    <w:p w14:paraId="5FD5E11D" w14:textId="7622D874" w:rsidR="00B61A88" w:rsidRDefault="004E45BB" w:rsidP="00FE26B6">
      <w:pPr>
        <w:spacing w:after="0"/>
        <w:rPr>
          <w:rFonts w:ascii="Arial" w:hAnsi="Arial" w:cs="Arial"/>
          <w:b/>
          <w:sz w:val="24"/>
          <w:szCs w:val="24"/>
        </w:rPr>
      </w:pPr>
      <w:r>
        <w:rPr>
          <w:rFonts w:ascii="Arial" w:hAnsi="Arial" w:cs="Arial"/>
          <w:b/>
          <w:sz w:val="24"/>
          <w:szCs w:val="24"/>
        </w:rPr>
        <w:t>Ref 4: 2025 IRM Application</w:t>
      </w:r>
      <w:r w:rsidR="00660544">
        <w:rPr>
          <w:rFonts w:ascii="Arial" w:hAnsi="Arial" w:cs="Arial"/>
          <w:b/>
          <w:sz w:val="24"/>
          <w:szCs w:val="24"/>
        </w:rPr>
        <w:t>, pp15,16</w:t>
      </w:r>
    </w:p>
    <w:p w14:paraId="43AE605B" w14:textId="77777777" w:rsidR="00D57E8C" w:rsidRDefault="00D57E8C" w:rsidP="00FE26B6">
      <w:pPr>
        <w:spacing w:after="0"/>
        <w:rPr>
          <w:rFonts w:ascii="Arial" w:hAnsi="Arial" w:cs="Arial"/>
          <w:b/>
          <w:sz w:val="24"/>
          <w:szCs w:val="24"/>
        </w:rPr>
      </w:pPr>
    </w:p>
    <w:p w14:paraId="5EEABC39" w14:textId="77777777" w:rsidR="00931BFE" w:rsidRDefault="00734D3A" w:rsidP="00FE26B6">
      <w:pPr>
        <w:spacing w:after="0"/>
        <w:rPr>
          <w:rFonts w:ascii="Arial" w:hAnsi="Arial" w:cs="Arial"/>
          <w:sz w:val="24"/>
          <w:szCs w:val="24"/>
        </w:rPr>
      </w:pPr>
      <w:r w:rsidRPr="008A5BB6">
        <w:rPr>
          <w:rFonts w:ascii="Arial" w:hAnsi="Arial" w:cs="Arial"/>
          <w:sz w:val="24"/>
          <w:szCs w:val="24"/>
        </w:rPr>
        <w:t xml:space="preserve">Preamble: </w:t>
      </w:r>
    </w:p>
    <w:p w14:paraId="6A3D6655" w14:textId="2F41B9B8" w:rsidR="00C03511" w:rsidRDefault="00931BFE" w:rsidP="00FE26B6">
      <w:pPr>
        <w:spacing w:after="0"/>
        <w:rPr>
          <w:rFonts w:ascii="Arial" w:hAnsi="Arial" w:cs="Arial"/>
          <w:bCs/>
          <w:sz w:val="24"/>
          <w:szCs w:val="24"/>
        </w:rPr>
      </w:pPr>
      <w:r>
        <w:rPr>
          <w:rFonts w:ascii="Arial" w:hAnsi="Arial" w:cs="Arial"/>
          <w:sz w:val="24"/>
          <w:szCs w:val="24"/>
        </w:rPr>
        <w:t xml:space="preserve">Per Ref 1, </w:t>
      </w:r>
      <w:r w:rsidR="00FD24E7">
        <w:rPr>
          <w:rFonts w:ascii="Arial" w:hAnsi="Arial" w:cs="Arial"/>
          <w:sz w:val="24"/>
          <w:szCs w:val="24"/>
        </w:rPr>
        <w:t xml:space="preserve">London Hydro states the </w:t>
      </w:r>
      <w:r w:rsidR="00A76E50">
        <w:rPr>
          <w:rFonts w:ascii="Arial" w:hAnsi="Arial" w:cs="Arial"/>
          <w:sz w:val="24"/>
          <w:szCs w:val="24"/>
        </w:rPr>
        <w:t xml:space="preserve">2025 rate model </w:t>
      </w:r>
      <w:r w:rsidR="00F973A6">
        <w:rPr>
          <w:rFonts w:ascii="Arial" w:hAnsi="Arial" w:cs="Arial"/>
          <w:sz w:val="24"/>
          <w:szCs w:val="24"/>
        </w:rPr>
        <w:t xml:space="preserve">has been updated with no reversal since the </w:t>
      </w:r>
      <w:r w:rsidR="00FD24E7">
        <w:rPr>
          <w:rFonts w:ascii="Arial" w:hAnsi="Arial" w:cs="Arial"/>
          <w:sz w:val="24"/>
          <w:szCs w:val="24"/>
        </w:rPr>
        <w:t>2022 interest adjustments should</w:t>
      </w:r>
      <w:r w:rsidR="00F973A6">
        <w:rPr>
          <w:rFonts w:ascii="Arial" w:hAnsi="Arial" w:cs="Arial"/>
          <w:sz w:val="24"/>
          <w:szCs w:val="24"/>
        </w:rPr>
        <w:t xml:space="preserve"> no</w:t>
      </w:r>
      <w:r w:rsidR="00FD24E7">
        <w:rPr>
          <w:rFonts w:ascii="Arial" w:hAnsi="Arial" w:cs="Arial"/>
          <w:sz w:val="24"/>
          <w:szCs w:val="24"/>
        </w:rPr>
        <w:t>t be reversed</w:t>
      </w:r>
      <w:r w:rsidR="00F973A6">
        <w:rPr>
          <w:rFonts w:ascii="Arial" w:hAnsi="Arial" w:cs="Arial"/>
          <w:sz w:val="24"/>
          <w:szCs w:val="24"/>
        </w:rPr>
        <w:t>.</w:t>
      </w:r>
    </w:p>
    <w:p w14:paraId="1EA5C1BF" w14:textId="77777777" w:rsidR="00B95D7C" w:rsidRDefault="00B95D7C" w:rsidP="00FE26B6">
      <w:pPr>
        <w:spacing w:after="0"/>
        <w:rPr>
          <w:rFonts w:ascii="Arial" w:hAnsi="Arial" w:cs="Arial"/>
          <w:bCs/>
          <w:sz w:val="24"/>
          <w:szCs w:val="24"/>
        </w:rPr>
      </w:pPr>
    </w:p>
    <w:p w14:paraId="0C2EC9BE" w14:textId="2BD871FB" w:rsidR="00B95D7C" w:rsidRDefault="00B95D7C" w:rsidP="00FE26B6">
      <w:pPr>
        <w:spacing w:after="0"/>
        <w:rPr>
          <w:rFonts w:ascii="Arial" w:hAnsi="Arial" w:cs="Arial"/>
          <w:bCs/>
          <w:sz w:val="24"/>
          <w:szCs w:val="24"/>
        </w:rPr>
      </w:pPr>
      <w:r>
        <w:rPr>
          <w:rFonts w:ascii="Arial" w:hAnsi="Arial" w:cs="Arial"/>
          <w:bCs/>
          <w:sz w:val="24"/>
          <w:szCs w:val="24"/>
        </w:rPr>
        <w:t xml:space="preserve">Per Ref 2, </w:t>
      </w:r>
      <w:r>
        <w:rPr>
          <w:rFonts w:ascii="Arial" w:hAnsi="Arial" w:cs="Arial"/>
          <w:sz w:val="24"/>
          <w:szCs w:val="24"/>
        </w:rPr>
        <w:t xml:space="preserve">the </w:t>
      </w:r>
      <w:r w:rsidR="004E7C36">
        <w:rPr>
          <w:rFonts w:ascii="Arial" w:hAnsi="Arial" w:cs="Arial"/>
          <w:sz w:val="24"/>
          <w:szCs w:val="24"/>
        </w:rPr>
        <w:t xml:space="preserve">updated continuity shows </w:t>
      </w:r>
      <w:r w:rsidR="000F3DEA">
        <w:rPr>
          <w:rFonts w:ascii="Arial" w:hAnsi="Arial" w:cs="Arial"/>
          <w:sz w:val="24"/>
          <w:szCs w:val="24"/>
        </w:rPr>
        <w:t xml:space="preserve">that </w:t>
      </w:r>
      <w:r w:rsidR="00DF44AA" w:rsidRPr="00DF44AA">
        <w:rPr>
          <w:rFonts w:ascii="Arial" w:hAnsi="Arial" w:cs="Arial"/>
          <w:sz w:val="24"/>
          <w:szCs w:val="24"/>
          <w:lang w:val="en-US"/>
        </w:rPr>
        <w:t>Account 1588 RSVA Power balance has a $7</w:t>
      </w:r>
      <w:r w:rsidR="00660544">
        <w:rPr>
          <w:rFonts w:ascii="Arial" w:hAnsi="Arial" w:cs="Arial"/>
          <w:sz w:val="24"/>
          <w:szCs w:val="24"/>
          <w:lang w:val="en-US"/>
        </w:rPr>
        <w:t>64,961</w:t>
      </w:r>
      <w:r w:rsidR="00DF44AA" w:rsidRPr="00DF44AA">
        <w:rPr>
          <w:rFonts w:ascii="Arial" w:hAnsi="Arial" w:cs="Arial"/>
          <w:sz w:val="24"/>
          <w:szCs w:val="24"/>
          <w:lang w:val="en-US"/>
        </w:rPr>
        <w:t xml:space="preserve"> variance when compared to the RRR 2.1.7</w:t>
      </w:r>
      <w:r w:rsidR="00660544">
        <w:rPr>
          <w:rFonts w:ascii="Arial" w:hAnsi="Arial" w:cs="Arial"/>
          <w:sz w:val="24"/>
          <w:szCs w:val="24"/>
          <w:lang w:val="en-US"/>
        </w:rPr>
        <w:t xml:space="preserve">, which does not reconcile with </w:t>
      </w:r>
      <w:r w:rsidR="003962DD">
        <w:rPr>
          <w:rFonts w:ascii="Arial" w:hAnsi="Arial" w:cs="Arial"/>
          <w:sz w:val="24"/>
          <w:szCs w:val="24"/>
          <w:lang w:val="en-US"/>
        </w:rPr>
        <w:t>Cell V62</w:t>
      </w:r>
      <w:r w:rsidR="006E2015">
        <w:rPr>
          <w:rFonts w:ascii="Arial" w:hAnsi="Arial" w:cs="Arial"/>
          <w:sz w:val="24"/>
          <w:szCs w:val="24"/>
          <w:lang w:val="en-US"/>
        </w:rPr>
        <w:t xml:space="preserve"> (Account 1588 current year PA)</w:t>
      </w:r>
      <w:r w:rsidR="003962DD">
        <w:rPr>
          <w:rFonts w:ascii="Arial" w:hAnsi="Arial" w:cs="Arial"/>
          <w:sz w:val="24"/>
          <w:szCs w:val="24"/>
          <w:lang w:val="en-US"/>
        </w:rPr>
        <w:t xml:space="preserve"> in </w:t>
      </w:r>
      <w:r w:rsidR="00B82EF4">
        <w:rPr>
          <w:rFonts w:ascii="Arial" w:hAnsi="Arial" w:cs="Arial"/>
          <w:sz w:val="24"/>
          <w:szCs w:val="24"/>
          <w:lang w:val="en-US"/>
        </w:rPr>
        <w:t xml:space="preserve">Ref 3 and </w:t>
      </w:r>
      <w:r w:rsidR="006E2015">
        <w:rPr>
          <w:rFonts w:ascii="Arial" w:hAnsi="Arial" w:cs="Arial"/>
          <w:sz w:val="24"/>
          <w:szCs w:val="24"/>
          <w:lang w:val="en-US"/>
        </w:rPr>
        <w:t xml:space="preserve">the </w:t>
      </w:r>
      <w:r w:rsidR="00355AF7">
        <w:rPr>
          <w:rFonts w:ascii="Arial" w:hAnsi="Arial" w:cs="Arial"/>
          <w:sz w:val="24"/>
          <w:szCs w:val="24"/>
          <w:lang w:val="en-US"/>
        </w:rPr>
        <w:t>explanation in Ref 4.</w:t>
      </w:r>
      <w:r w:rsidR="000F3DEA">
        <w:rPr>
          <w:rFonts w:ascii="Arial" w:hAnsi="Arial" w:cs="Arial"/>
          <w:sz w:val="24"/>
          <w:szCs w:val="24"/>
          <w:lang w:val="en-US"/>
        </w:rPr>
        <w:t xml:space="preserve"> It also shows </w:t>
      </w:r>
    </w:p>
    <w:p w14:paraId="2AFB13F8" w14:textId="3191250B" w:rsidR="005754E7" w:rsidRDefault="000F3DEA" w:rsidP="00FE26B6">
      <w:pPr>
        <w:spacing w:after="0"/>
        <w:rPr>
          <w:rFonts w:ascii="Arial" w:hAnsi="Arial" w:cs="Arial"/>
          <w:sz w:val="24"/>
          <w:szCs w:val="24"/>
          <w:lang w:val="en-US"/>
        </w:rPr>
      </w:pPr>
      <w:r w:rsidRPr="00DF44AA">
        <w:rPr>
          <w:rFonts w:ascii="Arial" w:hAnsi="Arial" w:cs="Arial"/>
          <w:sz w:val="24"/>
          <w:szCs w:val="24"/>
          <w:lang w:val="en-US"/>
        </w:rPr>
        <w:t>Account 158</w:t>
      </w:r>
      <w:r>
        <w:rPr>
          <w:rFonts w:ascii="Arial" w:hAnsi="Arial" w:cs="Arial"/>
          <w:sz w:val="24"/>
          <w:szCs w:val="24"/>
          <w:lang w:val="en-US"/>
        </w:rPr>
        <w:t>9</w:t>
      </w:r>
      <w:r w:rsidRPr="00DF44AA">
        <w:rPr>
          <w:rFonts w:ascii="Arial" w:hAnsi="Arial" w:cs="Arial"/>
          <w:sz w:val="24"/>
          <w:szCs w:val="24"/>
          <w:lang w:val="en-US"/>
        </w:rPr>
        <w:t xml:space="preserve"> RSVA </w:t>
      </w:r>
      <w:r w:rsidR="00442601">
        <w:rPr>
          <w:rFonts w:ascii="Arial" w:hAnsi="Arial" w:cs="Arial"/>
          <w:sz w:val="24"/>
          <w:szCs w:val="24"/>
          <w:lang w:val="en-US"/>
        </w:rPr>
        <w:t>GA</w:t>
      </w:r>
      <w:r w:rsidRPr="00DF44AA">
        <w:rPr>
          <w:rFonts w:ascii="Arial" w:hAnsi="Arial" w:cs="Arial"/>
          <w:sz w:val="24"/>
          <w:szCs w:val="24"/>
          <w:lang w:val="en-US"/>
        </w:rPr>
        <w:t xml:space="preserve"> balance has a </w:t>
      </w:r>
      <w:r w:rsidR="00442601">
        <w:rPr>
          <w:rFonts w:ascii="Arial" w:hAnsi="Arial" w:cs="Arial"/>
          <w:sz w:val="24"/>
          <w:szCs w:val="24"/>
          <w:lang w:val="en-US"/>
        </w:rPr>
        <w:t>(</w:t>
      </w:r>
      <w:r w:rsidRPr="00DF44AA">
        <w:rPr>
          <w:rFonts w:ascii="Arial" w:hAnsi="Arial" w:cs="Arial"/>
          <w:sz w:val="24"/>
          <w:szCs w:val="24"/>
          <w:lang w:val="en-US"/>
        </w:rPr>
        <w:t>$</w:t>
      </w:r>
      <w:r w:rsidR="00442601">
        <w:rPr>
          <w:rFonts w:ascii="Arial" w:hAnsi="Arial" w:cs="Arial"/>
          <w:sz w:val="24"/>
          <w:szCs w:val="24"/>
          <w:lang w:val="en-US"/>
        </w:rPr>
        <w:t>646,309)</w:t>
      </w:r>
      <w:r w:rsidRPr="00DF44AA">
        <w:rPr>
          <w:rFonts w:ascii="Arial" w:hAnsi="Arial" w:cs="Arial"/>
          <w:sz w:val="24"/>
          <w:szCs w:val="24"/>
          <w:lang w:val="en-US"/>
        </w:rPr>
        <w:t xml:space="preserve"> variance when compared to the RRR 2.1.7</w:t>
      </w:r>
      <w:r>
        <w:rPr>
          <w:rFonts w:ascii="Arial" w:hAnsi="Arial" w:cs="Arial"/>
          <w:sz w:val="24"/>
          <w:szCs w:val="24"/>
          <w:lang w:val="en-US"/>
        </w:rPr>
        <w:t xml:space="preserve">, which does not reconcile with Cell </w:t>
      </w:r>
      <w:r w:rsidR="00442601">
        <w:rPr>
          <w:rFonts w:ascii="Arial" w:hAnsi="Arial" w:cs="Arial"/>
          <w:sz w:val="24"/>
          <w:szCs w:val="24"/>
          <w:lang w:val="en-US"/>
        </w:rPr>
        <w:t>J</w:t>
      </w:r>
      <w:r>
        <w:rPr>
          <w:rFonts w:ascii="Arial" w:hAnsi="Arial" w:cs="Arial"/>
          <w:sz w:val="24"/>
          <w:szCs w:val="24"/>
          <w:lang w:val="en-US"/>
        </w:rPr>
        <w:t>62 (Account 158</w:t>
      </w:r>
      <w:r w:rsidR="00442601">
        <w:rPr>
          <w:rFonts w:ascii="Arial" w:hAnsi="Arial" w:cs="Arial"/>
          <w:sz w:val="24"/>
          <w:szCs w:val="24"/>
          <w:lang w:val="en-US"/>
        </w:rPr>
        <w:t>9</w:t>
      </w:r>
      <w:r>
        <w:rPr>
          <w:rFonts w:ascii="Arial" w:hAnsi="Arial" w:cs="Arial"/>
          <w:sz w:val="24"/>
          <w:szCs w:val="24"/>
          <w:lang w:val="en-US"/>
        </w:rPr>
        <w:t xml:space="preserve"> current year PA) in Ref 3 and the explanation in Ref 4.</w:t>
      </w:r>
    </w:p>
    <w:p w14:paraId="43BA7D1D" w14:textId="77777777" w:rsidR="00442601" w:rsidRDefault="00442601" w:rsidP="00FE26B6">
      <w:pPr>
        <w:spacing w:after="0"/>
        <w:rPr>
          <w:rFonts w:ascii="Arial" w:hAnsi="Arial" w:cs="Arial"/>
          <w:bCs/>
          <w:sz w:val="24"/>
          <w:szCs w:val="24"/>
        </w:rPr>
      </w:pPr>
    </w:p>
    <w:p w14:paraId="1C396589" w14:textId="74DD7BC9" w:rsidR="00725139" w:rsidRDefault="009C7993" w:rsidP="00FE26B6">
      <w:pPr>
        <w:spacing w:after="0"/>
        <w:rPr>
          <w:rFonts w:ascii="Arial" w:hAnsi="Arial" w:cs="Arial"/>
          <w:bCs/>
          <w:sz w:val="24"/>
          <w:szCs w:val="24"/>
        </w:rPr>
      </w:pPr>
      <w:r>
        <w:rPr>
          <w:rFonts w:ascii="Arial" w:hAnsi="Arial" w:cs="Arial"/>
          <w:bCs/>
          <w:sz w:val="24"/>
          <w:szCs w:val="24"/>
        </w:rPr>
        <w:t>Question(s):</w:t>
      </w:r>
    </w:p>
    <w:p w14:paraId="6A61BA36" w14:textId="3E2C88E7" w:rsidR="009C7993" w:rsidRDefault="004E31BF" w:rsidP="009C7993">
      <w:pPr>
        <w:pStyle w:val="ListParagraph"/>
        <w:numPr>
          <w:ilvl w:val="0"/>
          <w:numId w:val="28"/>
        </w:numPr>
        <w:spacing w:after="0"/>
        <w:rPr>
          <w:rFonts w:ascii="Arial" w:hAnsi="Arial" w:cs="Arial"/>
          <w:bCs/>
          <w:sz w:val="24"/>
          <w:szCs w:val="24"/>
        </w:rPr>
      </w:pPr>
      <w:r>
        <w:rPr>
          <w:rFonts w:ascii="Arial" w:hAnsi="Arial" w:cs="Arial"/>
          <w:bCs/>
          <w:sz w:val="24"/>
          <w:szCs w:val="24"/>
        </w:rPr>
        <w:t>Please expl</w:t>
      </w:r>
      <w:r w:rsidR="00F57ED4">
        <w:rPr>
          <w:rFonts w:ascii="Arial" w:hAnsi="Arial" w:cs="Arial"/>
          <w:bCs/>
          <w:sz w:val="24"/>
          <w:szCs w:val="24"/>
        </w:rPr>
        <w:t>ain</w:t>
      </w:r>
      <w:r w:rsidR="00897ACB">
        <w:rPr>
          <w:rFonts w:ascii="Arial" w:hAnsi="Arial" w:cs="Arial"/>
          <w:bCs/>
          <w:sz w:val="24"/>
          <w:szCs w:val="24"/>
        </w:rPr>
        <w:t>/reconcile</w:t>
      </w:r>
      <w:r w:rsidR="00F57ED4">
        <w:rPr>
          <w:rFonts w:ascii="Arial" w:hAnsi="Arial" w:cs="Arial"/>
          <w:bCs/>
          <w:sz w:val="24"/>
          <w:szCs w:val="24"/>
        </w:rPr>
        <w:t xml:space="preserve"> the noted difference above</w:t>
      </w:r>
      <w:r w:rsidR="00825BA6">
        <w:rPr>
          <w:rFonts w:ascii="Arial" w:hAnsi="Arial" w:cs="Arial"/>
          <w:bCs/>
          <w:sz w:val="24"/>
          <w:szCs w:val="24"/>
        </w:rPr>
        <w:t xml:space="preserve"> and updated the </w:t>
      </w:r>
      <w:r w:rsidR="00973492">
        <w:rPr>
          <w:rFonts w:ascii="Arial" w:hAnsi="Arial" w:cs="Arial"/>
          <w:bCs/>
          <w:sz w:val="24"/>
          <w:szCs w:val="24"/>
        </w:rPr>
        <w:t>model/</w:t>
      </w:r>
      <w:r w:rsidR="00825BA6">
        <w:rPr>
          <w:rFonts w:ascii="Arial" w:hAnsi="Arial" w:cs="Arial"/>
          <w:bCs/>
          <w:sz w:val="24"/>
          <w:szCs w:val="24"/>
        </w:rPr>
        <w:t>evidence</w:t>
      </w:r>
      <w:r w:rsidR="00897ACB">
        <w:rPr>
          <w:rFonts w:ascii="Arial" w:hAnsi="Arial" w:cs="Arial"/>
          <w:bCs/>
          <w:sz w:val="24"/>
          <w:szCs w:val="24"/>
        </w:rPr>
        <w:t>.</w:t>
      </w:r>
    </w:p>
    <w:p w14:paraId="33D0F7BE" w14:textId="77777777" w:rsidR="00B61E5E" w:rsidRDefault="00B61E5E" w:rsidP="00B61E5E">
      <w:pPr>
        <w:spacing w:after="0"/>
        <w:rPr>
          <w:rFonts w:ascii="Arial" w:hAnsi="Arial" w:cs="Arial"/>
          <w:bCs/>
          <w:sz w:val="24"/>
          <w:szCs w:val="24"/>
        </w:rPr>
      </w:pPr>
    </w:p>
    <w:p w14:paraId="4B5BC795" w14:textId="06B43966" w:rsidR="00B61E5E" w:rsidRDefault="00F27020" w:rsidP="00B61E5E">
      <w:pPr>
        <w:spacing w:after="0"/>
        <w:rPr>
          <w:rFonts w:ascii="Arial" w:hAnsi="Arial" w:cs="Arial"/>
          <w:b/>
          <w:sz w:val="24"/>
          <w:szCs w:val="24"/>
        </w:rPr>
      </w:pPr>
      <w:r>
        <w:rPr>
          <w:rFonts w:ascii="Arial" w:hAnsi="Arial" w:cs="Arial"/>
          <w:b/>
          <w:sz w:val="24"/>
          <w:szCs w:val="24"/>
        </w:rPr>
        <w:t xml:space="preserve">Follow up </w:t>
      </w:r>
      <w:r w:rsidR="00B61E5E">
        <w:rPr>
          <w:rFonts w:ascii="Arial" w:hAnsi="Arial" w:cs="Arial"/>
          <w:b/>
          <w:sz w:val="24"/>
          <w:szCs w:val="24"/>
        </w:rPr>
        <w:t>Question-2</w:t>
      </w:r>
    </w:p>
    <w:p w14:paraId="096A18ED" w14:textId="12F99304" w:rsidR="00F27020" w:rsidRDefault="00F27020" w:rsidP="00F27020">
      <w:pPr>
        <w:spacing w:after="0"/>
        <w:rPr>
          <w:rFonts w:ascii="Arial" w:hAnsi="Arial" w:cs="Arial"/>
          <w:b/>
          <w:sz w:val="24"/>
          <w:szCs w:val="24"/>
        </w:rPr>
      </w:pPr>
      <w:r>
        <w:rPr>
          <w:rFonts w:ascii="Arial" w:hAnsi="Arial" w:cs="Arial"/>
          <w:b/>
          <w:sz w:val="24"/>
          <w:szCs w:val="24"/>
        </w:rPr>
        <w:t>Account 1595 (202</w:t>
      </w:r>
      <w:r w:rsidR="009000B4">
        <w:rPr>
          <w:rFonts w:ascii="Arial" w:hAnsi="Arial" w:cs="Arial"/>
          <w:b/>
          <w:sz w:val="24"/>
          <w:szCs w:val="24"/>
        </w:rPr>
        <w:t>2</w:t>
      </w:r>
      <w:r>
        <w:rPr>
          <w:rFonts w:ascii="Arial" w:hAnsi="Arial" w:cs="Arial"/>
          <w:b/>
          <w:sz w:val="24"/>
          <w:szCs w:val="24"/>
        </w:rPr>
        <w:t>)</w:t>
      </w:r>
      <w:r w:rsidR="00991141">
        <w:rPr>
          <w:rFonts w:ascii="Arial" w:hAnsi="Arial" w:cs="Arial"/>
          <w:b/>
          <w:sz w:val="24"/>
          <w:szCs w:val="24"/>
        </w:rPr>
        <w:t xml:space="preserve"> </w:t>
      </w:r>
      <w:r w:rsidR="00E86D0A">
        <w:rPr>
          <w:rFonts w:ascii="Arial" w:hAnsi="Arial" w:cs="Arial"/>
          <w:b/>
          <w:sz w:val="24"/>
          <w:szCs w:val="24"/>
        </w:rPr>
        <w:t>-</w:t>
      </w:r>
      <w:r w:rsidR="00991141">
        <w:rPr>
          <w:rFonts w:ascii="Arial" w:hAnsi="Arial" w:cs="Arial"/>
          <w:b/>
          <w:sz w:val="24"/>
          <w:szCs w:val="24"/>
        </w:rPr>
        <w:t xml:space="preserve"> </w:t>
      </w:r>
      <w:r w:rsidR="00E86D0A">
        <w:rPr>
          <w:rFonts w:ascii="Arial" w:hAnsi="Arial" w:cs="Arial"/>
          <w:b/>
          <w:sz w:val="24"/>
          <w:szCs w:val="24"/>
        </w:rPr>
        <w:t>interest</w:t>
      </w:r>
    </w:p>
    <w:p w14:paraId="6F4E06D6" w14:textId="50BC0623" w:rsidR="00363192" w:rsidRDefault="00363192" w:rsidP="00363192">
      <w:pPr>
        <w:spacing w:after="0"/>
        <w:rPr>
          <w:rFonts w:ascii="Arial" w:hAnsi="Arial" w:cs="Arial"/>
          <w:b/>
          <w:sz w:val="24"/>
          <w:szCs w:val="24"/>
        </w:rPr>
      </w:pPr>
      <w:r>
        <w:rPr>
          <w:rFonts w:ascii="Arial" w:hAnsi="Arial" w:cs="Arial"/>
          <w:b/>
          <w:sz w:val="24"/>
          <w:szCs w:val="24"/>
        </w:rPr>
        <w:t xml:space="preserve">Ref </w:t>
      </w:r>
      <w:r w:rsidR="009000B4">
        <w:rPr>
          <w:rFonts w:ascii="Arial" w:hAnsi="Arial" w:cs="Arial"/>
          <w:b/>
          <w:sz w:val="24"/>
          <w:szCs w:val="24"/>
        </w:rPr>
        <w:t>1</w:t>
      </w:r>
      <w:r>
        <w:rPr>
          <w:rFonts w:ascii="Arial" w:hAnsi="Arial" w:cs="Arial"/>
          <w:b/>
          <w:sz w:val="24"/>
          <w:szCs w:val="24"/>
        </w:rPr>
        <w:t xml:space="preserve">: </w:t>
      </w:r>
      <w:r w:rsidR="00B01126">
        <w:rPr>
          <w:rFonts w:ascii="Arial" w:hAnsi="Arial" w:cs="Arial"/>
          <w:b/>
          <w:sz w:val="24"/>
          <w:szCs w:val="24"/>
        </w:rPr>
        <w:t>2025 IRM rate model_20250114, DVA continuity, Tab 3</w:t>
      </w:r>
    </w:p>
    <w:p w14:paraId="66D30369" w14:textId="77777777" w:rsidR="00B61E5E" w:rsidRDefault="00B61E5E" w:rsidP="00B61E5E">
      <w:pPr>
        <w:spacing w:after="0"/>
        <w:rPr>
          <w:rFonts w:ascii="Arial" w:hAnsi="Arial" w:cs="Arial"/>
          <w:b/>
          <w:sz w:val="24"/>
          <w:szCs w:val="24"/>
        </w:rPr>
      </w:pPr>
    </w:p>
    <w:p w14:paraId="2F2090BC" w14:textId="77777777" w:rsidR="00324FFB" w:rsidRDefault="00324FFB" w:rsidP="00324FFB">
      <w:pPr>
        <w:spacing w:after="0"/>
        <w:rPr>
          <w:rFonts w:ascii="Arial" w:hAnsi="Arial" w:cs="Arial"/>
          <w:sz w:val="24"/>
          <w:szCs w:val="24"/>
        </w:rPr>
      </w:pPr>
      <w:r w:rsidRPr="008A5BB6">
        <w:rPr>
          <w:rFonts w:ascii="Arial" w:hAnsi="Arial" w:cs="Arial"/>
          <w:sz w:val="24"/>
          <w:szCs w:val="24"/>
        </w:rPr>
        <w:t xml:space="preserve">Preamble: </w:t>
      </w:r>
    </w:p>
    <w:p w14:paraId="6B34D48F" w14:textId="6709DD7A" w:rsidR="00ED7009" w:rsidRDefault="00FA6129" w:rsidP="004A08E5">
      <w:pPr>
        <w:spacing w:after="0"/>
        <w:rPr>
          <w:rFonts w:ascii="Arial" w:hAnsi="Arial" w:cs="Arial"/>
          <w:bCs/>
          <w:sz w:val="24"/>
          <w:szCs w:val="24"/>
        </w:rPr>
      </w:pPr>
      <w:r w:rsidRPr="00FA6129">
        <w:rPr>
          <w:rFonts w:ascii="Arial" w:hAnsi="Arial" w:cs="Arial"/>
          <w:bCs/>
          <w:sz w:val="24"/>
          <w:szCs w:val="24"/>
        </w:rPr>
        <w:t xml:space="preserve">Per </w:t>
      </w:r>
      <w:r w:rsidR="00496FD5">
        <w:rPr>
          <w:rFonts w:ascii="Arial" w:hAnsi="Arial" w:cs="Arial"/>
          <w:bCs/>
          <w:sz w:val="24"/>
          <w:szCs w:val="24"/>
        </w:rPr>
        <w:t>Ref 1</w:t>
      </w:r>
      <w:r w:rsidR="004A08E5">
        <w:rPr>
          <w:rFonts w:ascii="Arial" w:hAnsi="Arial" w:cs="Arial"/>
          <w:bCs/>
          <w:sz w:val="24"/>
          <w:szCs w:val="24"/>
        </w:rPr>
        <w:t xml:space="preserve">, OEB staff </w:t>
      </w:r>
      <w:r w:rsidR="00566124">
        <w:rPr>
          <w:rFonts w:ascii="Arial" w:hAnsi="Arial" w:cs="Arial"/>
          <w:bCs/>
          <w:sz w:val="24"/>
          <w:szCs w:val="24"/>
        </w:rPr>
        <w:t xml:space="preserve">notes the </w:t>
      </w:r>
      <w:r w:rsidR="00632383">
        <w:rPr>
          <w:rFonts w:ascii="Arial" w:hAnsi="Arial" w:cs="Arial"/>
          <w:bCs/>
          <w:sz w:val="24"/>
          <w:szCs w:val="24"/>
        </w:rPr>
        <w:t xml:space="preserve">2023 </w:t>
      </w:r>
      <w:r w:rsidR="00506792">
        <w:rPr>
          <w:rFonts w:ascii="Arial" w:hAnsi="Arial" w:cs="Arial"/>
          <w:bCs/>
          <w:sz w:val="24"/>
          <w:szCs w:val="24"/>
        </w:rPr>
        <w:t>interest amount</w:t>
      </w:r>
      <w:r w:rsidR="00632383">
        <w:rPr>
          <w:rFonts w:ascii="Arial" w:hAnsi="Arial" w:cs="Arial"/>
          <w:bCs/>
          <w:sz w:val="24"/>
          <w:szCs w:val="24"/>
        </w:rPr>
        <w:t xml:space="preserve"> (Cell </w:t>
      </w:r>
      <w:r w:rsidR="009D5B96">
        <w:rPr>
          <w:rFonts w:ascii="Arial" w:hAnsi="Arial" w:cs="Arial"/>
          <w:bCs/>
          <w:sz w:val="24"/>
          <w:szCs w:val="24"/>
        </w:rPr>
        <w:t>BI35)</w:t>
      </w:r>
      <w:r w:rsidR="00506792">
        <w:rPr>
          <w:rFonts w:ascii="Arial" w:hAnsi="Arial" w:cs="Arial"/>
          <w:bCs/>
          <w:sz w:val="24"/>
          <w:szCs w:val="24"/>
        </w:rPr>
        <w:t xml:space="preserve"> of Account 1595 Sub </w:t>
      </w:r>
      <w:r w:rsidR="00632383">
        <w:rPr>
          <w:rFonts w:ascii="Arial" w:hAnsi="Arial" w:cs="Arial"/>
          <w:bCs/>
          <w:sz w:val="24"/>
          <w:szCs w:val="24"/>
        </w:rPr>
        <w:t>A</w:t>
      </w:r>
      <w:r w:rsidR="00506792">
        <w:rPr>
          <w:rFonts w:ascii="Arial" w:hAnsi="Arial" w:cs="Arial"/>
          <w:bCs/>
          <w:sz w:val="24"/>
          <w:szCs w:val="24"/>
        </w:rPr>
        <w:t xml:space="preserve">ccount </w:t>
      </w:r>
      <w:r w:rsidR="00632383">
        <w:rPr>
          <w:rFonts w:ascii="Arial" w:hAnsi="Arial" w:cs="Arial"/>
          <w:bCs/>
          <w:sz w:val="24"/>
          <w:szCs w:val="24"/>
        </w:rPr>
        <w:t xml:space="preserve">2022 </w:t>
      </w:r>
      <w:r w:rsidR="009D5B96">
        <w:rPr>
          <w:rFonts w:ascii="Arial" w:hAnsi="Arial" w:cs="Arial"/>
          <w:bCs/>
          <w:sz w:val="24"/>
          <w:szCs w:val="24"/>
        </w:rPr>
        <w:t xml:space="preserve">is a debit </w:t>
      </w:r>
      <w:r w:rsidR="001134AB">
        <w:rPr>
          <w:rFonts w:ascii="Arial" w:hAnsi="Arial" w:cs="Arial"/>
          <w:bCs/>
          <w:sz w:val="24"/>
          <w:szCs w:val="24"/>
        </w:rPr>
        <w:t xml:space="preserve">of </w:t>
      </w:r>
      <w:r w:rsidR="009D5B96">
        <w:rPr>
          <w:rFonts w:ascii="Arial" w:hAnsi="Arial" w:cs="Arial"/>
          <w:bCs/>
          <w:sz w:val="24"/>
          <w:szCs w:val="24"/>
        </w:rPr>
        <w:t>$81,380</w:t>
      </w:r>
      <w:r w:rsidR="00211C47">
        <w:rPr>
          <w:rFonts w:ascii="Arial" w:hAnsi="Arial" w:cs="Arial"/>
          <w:bCs/>
          <w:sz w:val="24"/>
          <w:szCs w:val="24"/>
        </w:rPr>
        <w:t xml:space="preserve"> while the </w:t>
      </w:r>
      <w:r w:rsidR="00450606">
        <w:rPr>
          <w:rFonts w:ascii="Arial" w:hAnsi="Arial" w:cs="Arial"/>
          <w:bCs/>
          <w:sz w:val="24"/>
          <w:szCs w:val="24"/>
        </w:rPr>
        <w:t xml:space="preserve">opening balance </w:t>
      </w:r>
      <w:r w:rsidR="00E0506B">
        <w:rPr>
          <w:rFonts w:ascii="Arial" w:hAnsi="Arial" w:cs="Arial"/>
          <w:bCs/>
          <w:sz w:val="24"/>
          <w:szCs w:val="24"/>
        </w:rPr>
        <w:t xml:space="preserve">of the principal and the interest </w:t>
      </w:r>
      <w:r w:rsidR="00450606">
        <w:rPr>
          <w:rFonts w:ascii="Arial" w:hAnsi="Arial" w:cs="Arial"/>
          <w:bCs/>
          <w:sz w:val="24"/>
          <w:szCs w:val="24"/>
        </w:rPr>
        <w:t>is a debit</w:t>
      </w:r>
      <w:r w:rsidR="00D55F52">
        <w:rPr>
          <w:rFonts w:ascii="Arial" w:hAnsi="Arial" w:cs="Arial"/>
          <w:bCs/>
          <w:sz w:val="24"/>
          <w:szCs w:val="24"/>
        </w:rPr>
        <w:t xml:space="preserve"> </w:t>
      </w:r>
      <w:r w:rsidR="001134AB">
        <w:rPr>
          <w:rFonts w:ascii="Arial" w:hAnsi="Arial" w:cs="Arial"/>
          <w:bCs/>
          <w:sz w:val="24"/>
          <w:szCs w:val="24"/>
        </w:rPr>
        <w:t xml:space="preserve">of </w:t>
      </w:r>
      <w:r w:rsidR="00D55F52">
        <w:rPr>
          <w:rFonts w:ascii="Arial" w:hAnsi="Arial" w:cs="Arial"/>
          <w:bCs/>
          <w:sz w:val="24"/>
          <w:szCs w:val="24"/>
        </w:rPr>
        <w:t>$260,180</w:t>
      </w:r>
      <w:r w:rsidR="00B23EDE">
        <w:rPr>
          <w:rFonts w:ascii="Arial" w:hAnsi="Arial" w:cs="Arial"/>
          <w:bCs/>
          <w:sz w:val="24"/>
          <w:szCs w:val="24"/>
        </w:rPr>
        <w:t xml:space="preserve"> and </w:t>
      </w:r>
      <w:r w:rsidR="00A60094">
        <w:rPr>
          <w:rFonts w:ascii="Arial" w:hAnsi="Arial" w:cs="Arial"/>
          <w:bCs/>
          <w:sz w:val="24"/>
          <w:szCs w:val="24"/>
        </w:rPr>
        <w:t xml:space="preserve">a debit </w:t>
      </w:r>
      <w:r w:rsidR="001134AB">
        <w:rPr>
          <w:rFonts w:ascii="Arial" w:hAnsi="Arial" w:cs="Arial"/>
          <w:bCs/>
          <w:sz w:val="24"/>
          <w:szCs w:val="24"/>
        </w:rPr>
        <w:t xml:space="preserve">of </w:t>
      </w:r>
      <w:r w:rsidR="00A60094">
        <w:rPr>
          <w:rFonts w:ascii="Arial" w:hAnsi="Arial" w:cs="Arial"/>
          <w:bCs/>
          <w:sz w:val="24"/>
          <w:szCs w:val="24"/>
        </w:rPr>
        <w:t>$27,228</w:t>
      </w:r>
      <w:r w:rsidR="001134AB">
        <w:rPr>
          <w:rFonts w:ascii="Arial" w:hAnsi="Arial" w:cs="Arial"/>
          <w:bCs/>
          <w:sz w:val="24"/>
          <w:szCs w:val="24"/>
        </w:rPr>
        <w:t>, respectively</w:t>
      </w:r>
      <w:r w:rsidR="00A60094">
        <w:rPr>
          <w:rFonts w:ascii="Arial" w:hAnsi="Arial" w:cs="Arial"/>
          <w:bCs/>
          <w:sz w:val="24"/>
          <w:szCs w:val="24"/>
        </w:rPr>
        <w:t>.</w:t>
      </w:r>
    </w:p>
    <w:p w14:paraId="2F663BB4" w14:textId="77777777" w:rsidR="004A08E5" w:rsidRPr="006866E2" w:rsidRDefault="004A08E5" w:rsidP="004A08E5">
      <w:pPr>
        <w:spacing w:after="0"/>
        <w:rPr>
          <w:rFonts w:ascii="Arial" w:hAnsi="Arial" w:cs="Arial"/>
          <w:bCs/>
          <w:sz w:val="24"/>
          <w:szCs w:val="24"/>
        </w:rPr>
      </w:pPr>
    </w:p>
    <w:p w14:paraId="4B64A2E8" w14:textId="05BCFBC2" w:rsidR="002E7172" w:rsidRDefault="002E7172" w:rsidP="002E7172">
      <w:pPr>
        <w:spacing w:after="0"/>
        <w:rPr>
          <w:rFonts w:ascii="Arial" w:hAnsi="Arial" w:cs="Arial"/>
          <w:bCs/>
          <w:sz w:val="24"/>
          <w:szCs w:val="24"/>
        </w:rPr>
      </w:pPr>
      <w:r>
        <w:rPr>
          <w:rFonts w:ascii="Arial" w:hAnsi="Arial" w:cs="Arial"/>
          <w:bCs/>
          <w:sz w:val="24"/>
          <w:szCs w:val="24"/>
        </w:rPr>
        <w:t>Question(s):</w:t>
      </w:r>
    </w:p>
    <w:p w14:paraId="4836BD3E" w14:textId="5F4BDCD6" w:rsidR="00B61E5E" w:rsidRPr="00CA1064" w:rsidRDefault="002E7172" w:rsidP="00B247A8">
      <w:pPr>
        <w:pStyle w:val="ListParagraph"/>
        <w:numPr>
          <w:ilvl w:val="0"/>
          <w:numId w:val="29"/>
        </w:numPr>
        <w:spacing w:after="0"/>
        <w:rPr>
          <w:rFonts w:ascii="Arial" w:hAnsi="Arial" w:cs="Arial"/>
          <w:sz w:val="24"/>
          <w:szCs w:val="24"/>
        </w:rPr>
      </w:pPr>
      <w:r w:rsidRPr="00CA1064">
        <w:rPr>
          <w:rFonts w:ascii="Arial" w:hAnsi="Arial" w:cs="Arial"/>
          <w:bCs/>
          <w:sz w:val="24"/>
          <w:szCs w:val="24"/>
        </w:rPr>
        <w:t xml:space="preserve">Please </w:t>
      </w:r>
      <w:r w:rsidR="00D71C4D">
        <w:rPr>
          <w:rFonts w:ascii="Arial" w:hAnsi="Arial" w:cs="Arial"/>
          <w:bCs/>
          <w:sz w:val="24"/>
          <w:szCs w:val="24"/>
        </w:rPr>
        <w:t xml:space="preserve">explain </w:t>
      </w:r>
      <w:r w:rsidR="00C55812">
        <w:rPr>
          <w:rFonts w:ascii="Arial" w:hAnsi="Arial" w:cs="Arial"/>
          <w:bCs/>
          <w:sz w:val="24"/>
          <w:szCs w:val="24"/>
        </w:rPr>
        <w:t xml:space="preserve"> the high interest amount of</w:t>
      </w:r>
      <w:r w:rsidR="002B2B11">
        <w:rPr>
          <w:rFonts w:ascii="Arial" w:hAnsi="Arial" w:cs="Arial"/>
          <w:bCs/>
          <w:sz w:val="24"/>
          <w:szCs w:val="24"/>
        </w:rPr>
        <w:t xml:space="preserve"> </w:t>
      </w:r>
      <w:r w:rsidR="00863C8C">
        <w:rPr>
          <w:rFonts w:ascii="Arial" w:hAnsi="Arial" w:cs="Arial"/>
          <w:bCs/>
          <w:sz w:val="24"/>
          <w:szCs w:val="24"/>
        </w:rPr>
        <w:t xml:space="preserve">$80k </w:t>
      </w:r>
      <w:r w:rsidR="00C55812">
        <w:rPr>
          <w:rFonts w:ascii="Arial" w:hAnsi="Arial" w:cs="Arial"/>
          <w:bCs/>
          <w:sz w:val="24"/>
          <w:szCs w:val="24"/>
        </w:rPr>
        <w:t>in 2023</w:t>
      </w:r>
      <w:r w:rsidR="00B11783">
        <w:rPr>
          <w:rFonts w:ascii="Arial" w:hAnsi="Arial" w:cs="Arial"/>
          <w:bCs/>
          <w:sz w:val="24"/>
          <w:szCs w:val="24"/>
        </w:rPr>
        <w:t>.</w:t>
      </w:r>
    </w:p>
    <w:p w14:paraId="11BA004F" w14:textId="77777777" w:rsidR="00B61E5E" w:rsidRDefault="00B61E5E" w:rsidP="00B61E5E">
      <w:pPr>
        <w:spacing w:after="0"/>
        <w:rPr>
          <w:rFonts w:ascii="Arial" w:hAnsi="Arial" w:cs="Arial"/>
          <w:bCs/>
          <w:sz w:val="24"/>
          <w:szCs w:val="24"/>
        </w:rPr>
      </w:pPr>
    </w:p>
    <w:p w14:paraId="3E6F54DC" w14:textId="77777777" w:rsidR="00FD452E" w:rsidRPr="00810492" w:rsidRDefault="00FD452E" w:rsidP="00B30195">
      <w:pPr>
        <w:spacing w:after="0"/>
        <w:rPr>
          <w:rFonts w:ascii="Arial" w:hAnsi="Arial" w:cs="Arial"/>
          <w:bCs/>
          <w:sz w:val="24"/>
          <w:szCs w:val="24"/>
        </w:rPr>
      </w:pPr>
    </w:p>
    <w:p w14:paraId="29E9F1A0" w14:textId="77777777" w:rsidR="000C703A" w:rsidRDefault="000C703A" w:rsidP="000C703A">
      <w:pPr>
        <w:spacing w:after="0"/>
        <w:rPr>
          <w:rFonts w:ascii="Arial" w:hAnsi="Arial" w:cs="Arial"/>
          <w:b/>
          <w:sz w:val="24"/>
          <w:szCs w:val="24"/>
        </w:rPr>
      </w:pPr>
    </w:p>
    <w:p w14:paraId="32FA777E" w14:textId="582D32B4" w:rsidR="000C703A" w:rsidRDefault="000C703A" w:rsidP="000C703A">
      <w:pPr>
        <w:spacing w:after="0"/>
        <w:rPr>
          <w:rFonts w:ascii="Arial" w:hAnsi="Arial" w:cs="Arial"/>
          <w:b/>
          <w:sz w:val="24"/>
          <w:szCs w:val="24"/>
        </w:rPr>
      </w:pPr>
      <w:r>
        <w:rPr>
          <w:rFonts w:ascii="Arial" w:hAnsi="Arial" w:cs="Arial"/>
          <w:b/>
          <w:sz w:val="24"/>
          <w:szCs w:val="24"/>
        </w:rPr>
        <w:t>Follow up Question-3</w:t>
      </w:r>
    </w:p>
    <w:p w14:paraId="4DC6F0D8" w14:textId="57355A38" w:rsidR="000C703A" w:rsidRDefault="000C703A" w:rsidP="000C703A">
      <w:pPr>
        <w:spacing w:after="0"/>
        <w:rPr>
          <w:rFonts w:ascii="Arial" w:hAnsi="Arial" w:cs="Arial"/>
          <w:b/>
          <w:sz w:val="24"/>
          <w:szCs w:val="24"/>
        </w:rPr>
      </w:pPr>
      <w:r>
        <w:rPr>
          <w:rFonts w:ascii="Arial" w:hAnsi="Arial" w:cs="Arial"/>
          <w:b/>
          <w:sz w:val="24"/>
          <w:szCs w:val="24"/>
        </w:rPr>
        <w:t>Account 15</w:t>
      </w:r>
      <w:r w:rsidR="00E86D0A">
        <w:rPr>
          <w:rFonts w:ascii="Arial" w:hAnsi="Arial" w:cs="Arial"/>
          <w:b/>
          <w:sz w:val="24"/>
          <w:szCs w:val="24"/>
        </w:rPr>
        <w:t>88 - interest</w:t>
      </w:r>
    </w:p>
    <w:p w14:paraId="641260AA" w14:textId="51DA1EA6" w:rsidR="000C703A" w:rsidRDefault="000C703A" w:rsidP="000C703A">
      <w:pPr>
        <w:spacing w:after="0"/>
        <w:rPr>
          <w:rFonts w:ascii="Arial" w:hAnsi="Arial" w:cs="Arial"/>
          <w:b/>
          <w:sz w:val="24"/>
          <w:szCs w:val="24"/>
        </w:rPr>
      </w:pPr>
      <w:r>
        <w:rPr>
          <w:rFonts w:ascii="Arial" w:hAnsi="Arial" w:cs="Arial"/>
          <w:b/>
          <w:sz w:val="24"/>
          <w:szCs w:val="24"/>
        </w:rPr>
        <w:t xml:space="preserve">Ref 1: </w:t>
      </w:r>
      <w:r w:rsidR="00B01126">
        <w:rPr>
          <w:rFonts w:ascii="Arial" w:hAnsi="Arial" w:cs="Arial"/>
          <w:b/>
          <w:sz w:val="24"/>
          <w:szCs w:val="24"/>
        </w:rPr>
        <w:t>2025 IRM rate model_20250114, DVA continuity, Tab 3</w:t>
      </w:r>
    </w:p>
    <w:p w14:paraId="30133D90" w14:textId="77777777" w:rsidR="000C703A" w:rsidRDefault="000C703A" w:rsidP="000C703A">
      <w:pPr>
        <w:spacing w:after="0"/>
        <w:rPr>
          <w:rFonts w:ascii="Arial" w:hAnsi="Arial" w:cs="Arial"/>
          <w:b/>
          <w:sz w:val="24"/>
          <w:szCs w:val="24"/>
        </w:rPr>
      </w:pPr>
    </w:p>
    <w:p w14:paraId="6D2D950D" w14:textId="77777777" w:rsidR="000C703A" w:rsidRDefault="000C703A" w:rsidP="000C703A">
      <w:pPr>
        <w:spacing w:after="0"/>
        <w:rPr>
          <w:rFonts w:ascii="Arial" w:hAnsi="Arial" w:cs="Arial"/>
          <w:sz w:val="24"/>
          <w:szCs w:val="24"/>
        </w:rPr>
      </w:pPr>
      <w:r w:rsidRPr="008A5BB6">
        <w:rPr>
          <w:rFonts w:ascii="Arial" w:hAnsi="Arial" w:cs="Arial"/>
          <w:sz w:val="24"/>
          <w:szCs w:val="24"/>
        </w:rPr>
        <w:t xml:space="preserve">Preamble: </w:t>
      </w:r>
    </w:p>
    <w:p w14:paraId="08BC0877" w14:textId="64EDFDC6" w:rsidR="000C703A" w:rsidRDefault="000C703A" w:rsidP="000C703A">
      <w:pPr>
        <w:spacing w:after="0"/>
        <w:rPr>
          <w:rFonts w:ascii="Arial" w:hAnsi="Arial" w:cs="Arial"/>
          <w:bCs/>
          <w:sz w:val="24"/>
          <w:szCs w:val="24"/>
        </w:rPr>
      </w:pPr>
      <w:r w:rsidRPr="00FA6129">
        <w:rPr>
          <w:rFonts w:ascii="Arial" w:hAnsi="Arial" w:cs="Arial"/>
          <w:bCs/>
          <w:sz w:val="24"/>
          <w:szCs w:val="24"/>
        </w:rPr>
        <w:t xml:space="preserve">Per </w:t>
      </w:r>
      <w:r>
        <w:rPr>
          <w:rFonts w:ascii="Arial" w:hAnsi="Arial" w:cs="Arial"/>
          <w:bCs/>
          <w:sz w:val="24"/>
          <w:szCs w:val="24"/>
        </w:rPr>
        <w:t>Ref 1, OEB staff notes the 2023 interest amount (Cell BI</w:t>
      </w:r>
      <w:r w:rsidR="00BC6680">
        <w:rPr>
          <w:rFonts w:ascii="Arial" w:hAnsi="Arial" w:cs="Arial"/>
          <w:bCs/>
          <w:sz w:val="24"/>
          <w:szCs w:val="24"/>
        </w:rPr>
        <w:t>28</w:t>
      </w:r>
      <w:r>
        <w:rPr>
          <w:rFonts w:ascii="Arial" w:hAnsi="Arial" w:cs="Arial"/>
          <w:bCs/>
          <w:sz w:val="24"/>
          <w:szCs w:val="24"/>
        </w:rPr>
        <w:t xml:space="preserve">) of Account 1595 Sub Account </w:t>
      </w:r>
      <w:r w:rsidR="00BC6680">
        <w:rPr>
          <w:rFonts w:ascii="Arial" w:hAnsi="Arial" w:cs="Arial"/>
          <w:bCs/>
          <w:sz w:val="24"/>
          <w:szCs w:val="24"/>
        </w:rPr>
        <w:t xml:space="preserve">1588 RSVA Power </w:t>
      </w:r>
      <w:r>
        <w:rPr>
          <w:rFonts w:ascii="Arial" w:hAnsi="Arial" w:cs="Arial"/>
          <w:bCs/>
          <w:sz w:val="24"/>
          <w:szCs w:val="24"/>
        </w:rPr>
        <w:t>is a debit $</w:t>
      </w:r>
      <w:r w:rsidR="00940FDB">
        <w:rPr>
          <w:rFonts w:ascii="Arial" w:hAnsi="Arial" w:cs="Arial"/>
          <w:bCs/>
          <w:sz w:val="24"/>
          <w:szCs w:val="24"/>
        </w:rPr>
        <w:t>46,641</w:t>
      </w:r>
      <w:r>
        <w:rPr>
          <w:rFonts w:ascii="Arial" w:hAnsi="Arial" w:cs="Arial"/>
          <w:bCs/>
          <w:sz w:val="24"/>
          <w:szCs w:val="24"/>
        </w:rPr>
        <w:t xml:space="preserve"> while the opening balance of the principal and the interest is a </w:t>
      </w:r>
      <w:r w:rsidR="00940FDB">
        <w:rPr>
          <w:rFonts w:ascii="Arial" w:hAnsi="Arial" w:cs="Arial"/>
          <w:bCs/>
          <w:sz w:val="24"/>
          <w:szCs w:val="24"/>
        </w:rPr>
        <w:t>credit</w:t>
      </w:r>
      <w:r w:rsidR="001134AB">
        <w:rPr>
          <w:rFonts w:ascii="Arial" w:hAnsi="Arial" w:cs="Arial"/>
          <w:bCs/>
          <w:sz w:val="24"/>
          <w:szCs w:val="24"/>
        </w:rPr>
        <w:t xml:space="preserve"> of</w:t>
      </w:r>
      <w:r>
        <w:rPr>
          <w:rFonts w:ascii="Arial" w:hAnsi="Arial" w:cs="Arial"/>
          <w:bCs/>
          <w:sz w:val="24"/>
          <w:szCs w:val="24"/>
        </w:rPr>
        <w:t xml:space="preserve"> </w:t>
      </w:r>
      <w:r w:rsidR="008E11FE">
        <w:rPr>
          <w:rFonts w:ascii="Arial" w:hAnsi="Arial" w:cs="Arial"/>
          <w:bCs/>
          <w:sz w:val="24"/>
          <w:szCs w:val="24"/>
        </w:rPr>
        <w:t>(</w:t>
      </w:r>
      <w:r>
        <w:rPr>
          <w:rFonts w:ascii="Arial" w:hAnsi="Arial" w:cs="Arial"/>
          <w:bCs/>
          <w:sz w:val="24"/>
          <w:szCs w:val="24"/>
        </w:rPr>
        <w:t>$</w:t>
      </w:r>
      <w:r w:rsidR="00621D39">
        <w:rPr>
          <w:rFonts w:ascii="Arial" w:hAnsi="Arial" w:cs="Arial"/>
          <w:bCs/>
          <w:sz w:val="24"/>
          <w:szCs w:val="24"/>
        </w:rPr>
        <w:t>507,102</w:t>
      </w:r>
      <w:r w:rsidR="008E11FE">
        <w:rPr>
          <w:rFonts w:ascii="Arial" w:hAnsi="Arial" w:cs="Arial"/>
          <w:bCs/>
          <w:sz w:val="24"/>
          <w:szCs w:val="24"/>
        </w:rPr>
        <w:t>)</w:t>
      </w:r>
      <w:r>
        <w:rPr>
          <w:rFonts w:ascii="Arial" w:hAnsi="Arial" w:cs="Arial"/>
          <w:bCs/>
          <w:sz w:val="24"/>
          <w:szCs w:val="24"/>
        </w:rPr>
        <w:t xml:space="preserve"> and a debit </w:t>
      </w:r>
      <w:r w:rsidR="001A3C32">
        <w:rPr>
          <w:rFonts w:ascii="Arial" w:hAnsi="Arial" w:cs="Arial"/>
          <w:bCs/>
          <w:sz w:val="24"/>
          <w:szCs w:val="24"/>
        </w:rPr>
        <w:t xml:space="preserve">of </w:t>
      </w:r>
      <w:r>
        <w:rPr>
          <w:rFonts w:ascii="Arial" w:hAnsi="Arial" w:cs="Arial"/>
          <w:bCs/>
          <w:sz w:val="24"/>
          <w:szCs w:val="24"/>
        </w:rPr>
        <w:t>$2</w:t>
      </w:r>
      <w:r w:rsidR="00FB4974">
        <w:rPr>
          <w:rFonts w:ascii="Arial" w:hAnsi="Arial" w:cs="Arial"/>
          <w:bCs/>
          <w:sz w:val="24"/>
          <w:szCs w:val="24"/>
        </w:rPr>
        <w:t>1</w:t>
      </w:r>
      <w:r w:rsidR="00057630">
        <w:rPr>
          <w:rFonts w:ascii="Arial" w:hAnsi="Arial" w:cs="Arial"/>
          <w:bCs/>
          <w:sz w:val="24"/>
          <w:szCs w:val="24"/>
        </w:rPr>
        <w:t>,</w:t>
      </w:r>
      <w:r w:rsidR="00621D39">
        <w:rPr>
          <w:rFonts w:ascii="Arial" w:hAnsi="Arial" w:cs="Arial"/>
          <w:bCs/>
          <w:sz w:val="24"/>
          <w:szCs w:val="24"/>
        </w:rPr>
        <w:t>787, respectively</w:t>
      </w:r>
      <w:r>
        <w:rPr>
          <w:rFonts w:ascii="Arial" w:hAnsi="Arial" w:cs="Arial"/>
          <w:bCs/>
          <w:sz w:val="24"/>
          <w:szCs w:val="24"/>
        </w:rPr>
        <w:t>.</w:t>
      </w:r>
    </w:p>
    <w:p w14:paraId="309D70B5" w14:textId="77777777" w:rsidR="000C703A" w:rsidRPr="006866E2" w:rsidRDefault="000C703A" w:rsidP="000C703A">
      <w:pPr>
        <w:spacing w:after="0"/>
        <w:rPr>
          <w:rFonts w:ascii="Arial" w:hAnsi="Arial" w:cs="Arial"/>
          <w:bCs/>
          <w:sz w:val="24"/>
          <w:szCs w:val="24"/>
        </w:rPr>
      </w:pPr>
    </w:p>
    <w:p w14:paraId="22F9A16E" w14:textId="77777777" w:rsidR="000C703A" w:rsidRDefault="000C703A" w:rsidP="000C703A">
      <w:pPr>
        <w:spacing w:after="0"/>
        <w:rPr>
          <w:rFonts w:ascii="Arial" w:hAnsi="Arial" w:cs="Arial"/>
          <w:bCs/>
          <w:sz w:val="24"/>
          <w:szCs w:val="24"/>
        </w:rPr>
      </w:pPr>
      <w:r>
        <w:rPr>
          <w:rFonts w:ascii="Arial" w:hAnsi="Arial" w:cs="Arial"/>
          <w:bCs/>
          <w:sz w:val="24"/>
          <w:szCs w:val="24"/>
        </w:rPr>
        <w:t>Question(s):</w:t>
      </w:r>
    </w:p>
    <w:p w14:paraId="5DB2ABFC" w14:textId="1EB6B0C4" w:rsidR="000C703A" w:rsidRPr="00CA1064" w:rsidRDefault="000C703A" w:rsidP="000C703A">
      <w:pPr>
        <w:pStyle w:val="ListParagraph"/>
        <w:numPr>
          <w:ilvl w:val="0"/>
          <w:numId w:val="31"/>
        </w:numPr>
        <w:spacing w:after="0"/>
        <w:rPr>
          <w:rFonts w:ascii="Arial" w:hAnsi="Arial" w:cs="Arial"/>
          <w:sz w:val="24"/>
          <w:szCs w:val="24"/>
        </w:rPr>
      </w:pPr>
      <w:r w:rsidRPr="00CA1064">
        <w:rPr>
          <w:rFonts w:ascii="Arial" w:hAnsi="Arial" w:cs="Arial"/>
          <w:bCs/>
          <w:sz w:val="24"/>
          <w:szCs w:val="24"/>
        </w:rPr>
        <w:t xml:space="preserve">Please </w:t>
      </w:r>
      <w:r>
        <w:rPr>
          <w:rFonts w:ascii="Arial" w:hAnsi="Arial" w:cs="Arial"/>
          <w:bCs/>
          <w:sz w:val="24"/>
          <w:szCs w:val="24"/>
        </w:rPr>
        <w:t xml:space="preserve">explain why the </w:t>
      </w:r>
      <w:r w:rsidR="008E11FE">
        <w:rPr>
          <w:rFonts w:ascii="Arial" w:hAnsi="Arial" w:cs="Arial"/>
          <w:bCs/>
          <w:sz w:val="24"/>
          <w:szCs w:val="24"/>
        </w:rPr>
        <w:t>credit opening</w:t>
      </w:r>
      <w:r>
        <w:rPr>
          <w:rFonts w:ascii="Arial" w:hAnsi="Arial" w:cs="Arial"/>
          <w:bCs/>
          <w:sz w:val="24"/>
          <w:szCs w:val="24"/>
        </w:rPr>
        <w:t xml:space="preserve"> principal balance</w:t>
      </w:r>
      <w:r w:rsidR="008E11FE">
        <w:rPr>
          <w:rFonts w:ascii="Arial" w:hAnsi="Arial" w:cs="Arial"/>
          <w:bCs/>
          <w:sz w:val="24"/>
          <w:szCs w:val="24"/>
        </w:rPr>
        <w:t xml:space="preserve"> ($507,102)</w:t>
      </w:r>
      <w:r>
        <w:rPr>
          <w:rFonts w:ascii="Arial" w:hAnsi="Arial" w:cs="Arial"/>
          <w:bCs/>
          <w:sz w:val="24"/>
          <w:szCs w:val="24"/>
        </w:rPr>
        <w:t xml:space="preserve"> will generate over </w:t>
      </w:r>
      <w:r w:rsidR="00C55812">
        <w:rPr>
          <w:rFonts w:ascii="Arial" w:hAnsi="Arial" w:cs="Arial"/>
          <w:bCs/>
          <w:sz w:val="24"/>
          <w:szCs w:val="24"/>
        </w:rPr>
        <w:t xml:space="preserve">a debit of </w:t>
      </w:r>
      <w:r>
        <w:rPr>
          <w:rFonts w:ascii="Arial" w:hAnsi="Arial" w:cs="Arial"/>
          <w:bCs/>
          <w:sz w:val="24"/>
          <w:szCs w:val="24"/>
        </w:rPr>
        <w:t>$</w:t>
      </w:r>
      <w:r w:rsidR="001A3C32">
        <w:rPr>
          <w:rFonts w:ascii="Arial" w:hAnsi="Arial" w:cs="Arial"/>
          <w:bCs/>
          <w:sz w:val="24"/>
          <w:szCs w:val="24"/>
        </w:rPr>
        <w:t>45</w:t>
      </w:r>
      <w:r>
        <w:rPr>
          <w:rFonts w:ascii="Arial" w:hAnsi="Arial" w:cs="Arial"/>
          <w:bCs/>
          <w:sz w:val="24"/>
          <w:szCs w:val="24"/>
        </w:rPr>
        <w:t xml:space="preserve">k interest </w:t>
      </w:r>
      <w:r w:rsidR="00C55812">
        <w:rPr>
          <w:rFonts w:ascii="Arial" w:hAnsi="Arial" w:cs="Arial"/>
          <w:bCs/>
          <w:sz w:val="24"/>
          <w:szCs w:val="24"/>
        </w:rPr>
        <w:t>in 2023</w:t>
      </w:r>
      <w:r>
        <w:rPr>
          <w:rFonts w:ascii="Arial" w:hAnsi="Arial" w:cs="Arial"/>
          <w:bCs/>
          <w:sz w:val="24"/>
          <w:szCs w:val="24"/>
        </w:rPr>
        <w:t>.</w:t>
      </w:r>
    </w:p>
    <w:p w14:paraId="57832F7D" w14:textId="77777777" w:rsidR="00B61E5E" w:rsidRPr="00B61E5E" w:rsidRDefault="00B61E5E" w:rsidP="00B61E5E">
      <w:pPr>
        <w:spacing w:after="0"/>
        <w:rPr>
          <w:rFonts w:ascii="Arial" w:hAnsi="Arial" w:cs="Arial"/>
          <w:bCs/>
          <w:sz w:val="24"/>
          <w:szCs w:val="24"/>
        </w:rPr>
      </w:pPr>
    </w:p>
    <w:p w14:paraId="740FB6A9" w14:textId="585357D4" w:rsidR="00812C73" w:rsidRDefault="00812C73" w:rsidP="00812C73">
      <w:pPr>
        <w:spacing w:after="0"/>
        <w:rPr>
          <w:rFonts w:ascii="Arial" w:hAnsi="Arial" w:cs="Arial"/>
          <w:b/>
          <w:sz w:val="24"/>
          <w:szCs w:val="24"/>
        </w:rPr>
      </w:pPr>
      <w:bookmarkStart w:id="1" w:name="_Hlk188351593"/>
      <w:r>
        <w:rPr>
          <w:rFonts w:ascii="Arial" w:hAnsi="Arial" w:cs="Arial"/>
          <w:b/>
          <w:sz w:val="24"/>
          <w:szCs w:val="24"/>
        </w:rPr>
        <w:t>Follow up Question - 4</w:t>
      </w:r>
    </w:p>
    <w:p w14:paraId="28333914" w14:textId="4145EC0B" w:rsidR="00812C73" w:rsidRDefault="00812C73" w:rsidP="00812C73">
      <w:pPr>
        <w:spacing w:after="0"/>
        <w:rPr>
          <w:rFonts w:ascii="Arial" w:hAnsi="Arial" w:cs="Arial"/>
          <w:b/>
          <w:sz w:val="24"/>
          <w:szCs w:val="24"/>
        </w:rPr>
      </w:pPr>
      <w:r>
        <w:rPr>
          <w:rFonts w:ascii="Arial" w:hAnsi="Arial" w:cs="Arial"/>
          <w:b/>
          <w:sz w:val="24"/>
          <w:szCs w:val="24"/>
        </w:rPr>
        <w:t xml:space="preserve">Ref 1: </w:t>
      </w:r>
      <w:r w:rsidR="00B01126">
        <w:rPr>
          <w:rFonts w:ascii="Arial" w:hAnsi="Arial" w:cs="Arial"/>
          <w:b/>
          <w:sz w:val="24"/>
          <w:szCs w:val="24"/>
        </w:rPr>
        <w:t>2025 IRM rate model_20250114, DVA continuity, Tab 3</w:t>
      </w:r>
    </w:p>
    <w:bookmarkEnd w:id="1"/>
    <w:p w14:paraId="24C85F2F" w14:textId="592766CD" w:rsidR="005D3525" w:rsidRDefault="005D3525" w:rsidP="00812C73">
      <w:pPr>
        <w:spacing w:after="0"/>
        <w:rPr>
          <w:rFonts w:ascii="Arial" w:hAnsi="Arial" w:cs="Arial"/>
          <w:b/>
          <w:sz w:val="24"/>
          <w:szCs w:val="24"/>
        </w:rPr>
      </w:pPr>
      <w:r>
        <w:rPr>
          <w:rFonts w:ascii="Arial" w:hAnsi="Arial" w:cs="Arial"/>
          <w:b/>
          <w:sz w:val="24"/>
          <w:szCs w:val="24"/>
        </w:rPr>
        <w:t>Ref 2: Staff Question-4</w:t>
      </w:r>
      <w:r w:rsidR="00565FBE">
        <w:rPr>
          <w:rFonts w:ascii="Arial" w:hAnsi="Arial" w:cs="Arial"/>
          <w:b/>
          <w:sz w:val="24"/>
          <w:szCs w:val="24"/>
        </w:rPr>
        <w:t>, Updated Table 4</w:t>
      </w:r>
    </w:p>
    <w:p w14:paraId="2DE78CA7" w14:textId="6842697A" w:rsidR="00D11143" w:rsidRDefault="00D11143" w:rsidP="00812C73">
      <w:pPr>
        <w:spacing w:after="0"/>
        <w:rPr>
          <w:rFonts w:ascii="Arial" w:hAnsi="Arial" w:cs="Arial"/>
          <w:b/>
          <w:sz w:val="24"/>
          <w:szCs w:val="24"/>
        </w:rPr>
      </w:pPr>
      <w:r w:rsidRPr="00D11143">
        <w:rPr>
          <w:rFonts w:ascii="Arial" w:hAnsi="Arial" w:cs="Arial"/>
          <w:b/>
          <w:bCs/>
          <w:sz w:val="24"/>
          <w:szCs w:val="24"/>
          <w:lang w:val="en-US"/>
        </w:rPr>
        <w:t xml:space="preserve">Ref </w:t>
      </w:r>
      <w:r w:rsidR="00213D05">
        <w:rPr>
          <w:rFonts w:ascii="Arial" w:hAnsi="Arial" w:cs="Arial"/>
          <w:b/>
          <w:bCs/>
          <w:sz w:val="24"/>
          <w:szCs w:val="24"/>
          <w:lang w:val="en-US"/>
        </w:rPr>
        <w:t>3</w:t>
      </w:r>
      <w:r w:rsidRPr="00D11143">
        <w:rPr>
          <w:rFonts w:ascii="Arial" w:hAnsi="Arial" w:cs="Arial"/>
          <w:b/>
          <w:bCs/>
          <w:sz w:val="24"/>
          <w:szCs w:val="24"/>
          <w:lang w:val="en-US"/>
        </w:rPr>
        <w:t xml:space="preserve">: </w:t>
      </w:r>
      <w:hyperlink r:id="rId11" w:history="1">
        <w:r w:rsidRPr="00AB7CD7">
          <w:rPr>
            <w:rStyle w:val="Hyperlink"/>
            <w:rFonts w:ascii="Arial" w:hAnsi="Arial" w:cs="Arial"/>
            <w:b/>
            <w:bCs/>
            <w:sz w:val="24"/>
            <w:szCs w:val="24"/>
            <w:lang w:val="en-US"/>
          </w:rPr>
          <w:t>2024 IRM rate model</w:t>
        </w:r>
      </w:hyperlink>
      <w:r w:rsidRPr="00D11143">
        <w:rPr>
          <w:rFonts w:ascii="Arial" w:hAnsi="Arial" w:cs="Arial"/>
          <w:b/>
          <w:bCs/>
          <w:sz w:val="24"/>
          <w:szCs w:val="24"/>
          <w:lang w:val="en-US"/>
        </w:rPr>
        <w:t>, DVA continuity, Tab 3</w:t>
      </w:r>
    </w:p>
    <w:p w14:paraId="6DEF6C0C" w14:textId="77777777" w:rsidR="00FA3E02" w:rsidRDefault="00FA3E02" w:rsidP="00812C73">
      <w:pPr>
        <w:spacing w:after="0"/>
        <w:rPr>
          <w:rFonts w:ascii="Arial" w:hAnsi="Arial" w:cs="Arial"/>
          <w:b/>
          <w:sz w:val="24"/>
          <w:szCs w:val="24"/>
        </w:rPr>
      </w:pPr>
    </w:p>
    <w:p w14:paraId="61586071" w14:textId="77777777" w:rsidR="00565FBE" w:rsidRDefault="00565FBE" w:rsidP="00565FBE">
      <w:pPr>
        <w:spacing w:after="0"/>
        <w:rPr>
          <w:rFonts w:ascii="Arial" w:hAnsi="Arial" w:cs="Arial"/>
          <w:bCs/>
          <w:sz w:val="24"/>
          <w:szCs w:val="24"/>
        </w:rPr>
      </w:pPr>
      <w:r>
        <w:rPr>
          <w:rFonts w:ascii="Arial" w:hAnsi="Arial" w:cs="Arial"/>
          <w:bCs/>
          <w:sz w:val="24"/>
          <w:szCs w:val="24"/>
        </w:rPr>
        <w:t>Question(s):</w:t>
      </w:r>
    </w:p>
    <w:p w14:paraId="1678C238" w14:textId="09587266" w:rsidR="00565FBE" w:rsidRPr="00CA1064" w:rsidRDefault="00565FBE" w:rsidP="00565FBE">
      <w:pPr>
        <w:pStyle w:val="ListParagraph"/>
        <w:numPr>
          <w:ilvl w:val="0"/>
          <w:numId w:val="32"/>
        </w:numPr>
        <w:spacing w:after="0"/>
        <w:rPr>
          <w:rFonts w:ascii="Arial" w:hAnsi="Arial" w:cs="Arial"/>
          <w:sz w:val="24"/>
          <w:szCs w:val="24"/>
        </w:rPr>
      </w:pPr>
      <w:r>
        <w:rPr>
          <w:rFonts w:ascii="Arial" w:hAnsi="Arial" w:cs="Arial"/>
          <w:bCs/>
          <w:sz w:val="24"/>
          <w:szCs w:val="24"/>
        </w:rPr>
        <w:t xml:space="preserve">The </w:t>
      </w:r>
      <w:r w:rsidR="00956D91">
        <w:rPr>
          <w:rFonts w:ascii="Arial" w:hAnsi="Arial" w:cs="Arial"/>
          <w:bCs/>
          <w:sz w:val="24"/>
          <w:szCs w:val="24"/>
        </w:rPr>
        <w:t xml:space="preserve">following </w:t>
      </w:r>
      <w:r w:rsidR="00A138EF">
        <w:rPr>
          <w:rFonts w:ascii="Arial" w:hAnsi="Arial" w:cs="Arial"/>
          <w:bCs/>
          <w:sz w:val="24"/>
          <w:szCs w:val="24"/>
        </w:rPr>
        <w:t xml:space="preserve">highlighted amount in Ref 2 does not </w:t>
      </w:r>
      <w:r w:rsidR="001503EB">
        <w:rPr>
          <w:rFonts w:ascii="Arial" w:hAnsi="Arial" w:cs="Arial"/>
          <w:bCs/>
          <w:sz w:val="24"/>
          <w:szCs w:val="24"/>
        </w:rPr>
        <w:t>match</w:t>
      </w:r>
      <w:r w:rsidR="00A138EF">
        <w:rPr>
          <w:rFonts w:ascii="Arial" w:hAnsi="Arial" w:cs="Arial"/>
          <w:bCs/>
          <w:sz w:val="24"/>
          <w:szCs w:val="24"/>
        </w:rPr>
        <w:t xml:space="preserve"> with the Ref 1, please explain the </w:t>
      </w:r>
      <w:r w:rsidR="00956D91">
        <w:rPr>
          <w:rFonts w:ascii="Arial" w:hAnsi="Arial" w:cs="Arial"/>
          <w:bCs/>
          <w:sz w:val="24"/>
          <w:szCs w:val="24"/>
        </w:rPr>
        <w:t>variance</w:t>
      </w:r>
      <w:r w:rsidR="001503EB">
        <w:rPr>
          <w:rFonts w:ascii="Arial" w:hAnsi="Arial" w:cs="Arial"/>
          <w:bCs/>
          <w:sz w:val="24"/>
          <w:szCs w:val="24"/>
        </w:rPr>
        <w:t>s</w:t>
      </w:r>
      <w:r w:rsidR="00956D91">
        <w:rPr>
          <w:rFonts w:ascii="Arial" w:hAnsi="Arial" w:cs="Arial"/>
          <w:bCs/>
          <w:sz w:val="24"/>
          <w:szCs w:val="24"/>
        </w:rPr>
        <w:t xml:space="preserve"> and update the evidence</w:t>
      </w:r>
      <w:r w:rsidR="001503EB">
        <w:rPr>
          <w:rFonts w:ascii="Arial" w:hAnsi="Arial" w:cs="Arial"/>
          <w:bCs/>
          <w:sz w:val="24"/>
          <w:szCs w:val="24"/>
        </w:rPr>
        <w:t xml:space="preserve"> as necessary</w:t>
      </w:r>
      <w:r w:rsidR="00956D91">
        <w:rPr>
          <w:rFonts w:ascii="Arial" w:hAnsi="Arial" w:cs="Arial"/>
          <w:bCs/>
          <w:sz w:val="24"/>
          <w:szCs w:val="24"/>
        </w:rPr>
        <w:t>.</w:t>
      </w:r>
    </w:p>
    <w:p w14:paraId="482C3D60" w14:textId="77777777" w:rsidR="00FA3E02" w:rsidRDefault="00FA3E02" w:rsidP="00812C73">
      <w:pPr>
        <w:spacing w:after="0"/>
        <w:rPr>
          <w:rFonts w:ascii="Arial" w:hAnsi="Arial" w:cs="Arial"/>
          <w:b/>
          <w:sz w:val="24"/>
          <w:szCs w:val="24"/>
        </w:rPr>
      </w:pPr>
    </w:p>
    <w:p w14:paraId="54699E48" w14:textId="4D68A7F0" w:rsidR="00FA3E02" w:rsidRDefault="00591871" w:rsidP="00565FBE">
      <w:pPr>
        <w:spacing w:after="0"/>
        <w:jc w:val="center"/>
        <w:rPr>
          <w:rFonts w:ascii="Arial" w:hAnsi="Arial" w:cs="Arial"/>
          <w:b/>
          <w:sz w:val="24"/>
          <w:szCs w:val="24"/>
        </w:rPr>
      </w:pPr>
      <w:r>
        <w:rPr>
          <w:noProof/>
        </w:rPr>
        <w:lastRenderedPageBreak/>
        <w:drawing>
          <wp:inline distT="0" distB="0" distL="0" distR="0" wp14:anchorId="42FF7343" wp14:editId="0B9775FA">
            <wp:extent cx="5010150" cy="2924175"/>
            <wp:effectExtent l="0" t="0" r="0" b="9525"/>
            <wp:docPr id="1495620986"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20986" name="Picture 1" descr="A screenshot of a report&#10;&#10;Description automatically generated"/>
                    <pic:cNvPicPr/>
                  </pic:nvPicPr>
                  <pic:blipFill>
                    <a:blip r:embed="rId12"/>
                    <a:stretch>
                      <a:fillRect/>
                    </a:stretch>
                  </pic:blipFill>
                  <pic:spPr>
                    <a:xfrm>
                      <a:off x="0" y="0"/>
                      <a:ext cx="5010150" cy="2924175"/>
                    </a:xfrm>
                    <a:prstGeom prst="rect">
                      <a:avLst/>
                    </a:prstGeom>
                  </pic:spPr>
                </pic:pic>
              </a:graphicData>
            </a:graphic>
          </wp:inline>
        </w:drawing>
      </w:r>
    </w:p>
    <w:p w14:paraId="5A13D228" w14:textId="2778892A" w:rsidR="006D58B1" w:rsidRDefault="006D58B1" w:rsidP="00EB7254">
      <w:pPr>
        <w:spacing w:after="0"/>
        <w:rPr>
          <w:rFonts w:ascii="Arial" w:hAnsi="Arial" w:cs="Arial"/>
          <w:bCs/>
          <w:sz w:val="24"/>
          <w:szCs w:val="24"/>
        </w:rPr>
      </w:pPr>
    </w:p>
    <w:p w14:paraId="0B4B2F29" w14:textId="4A87D9D0" w:rsidR="00EB7254" w:rsidRPr="004025CC" w:rsidRDefault="004025CC" w:rsidP="004025CC">
      <w:pPr>
        <w:pStyle w:val="ListParagraph"/>
        <w:numPr>
          <w:ilvl w:val="0"/>
          <w:numId w:val="32"/>
        </w:numPr>
        <w:spacing w:after="0"/>
        <w:rPr>
          <w:rFonts w:ascii="Arial" w:hAnsi="Arial" w:cs="Arial"/>
          <w:bCs/>
          <w:sz w:val="24"/>
          <w:szCs w:val="24"/>
        </w:rPr>
      </w:pPr>
      <w:r w:rsidRPr="004025CC">
        <w:rPr>
          <w:rFonts w:ascii="Arial" w:hAnsi="Arial" w:cs="Arial"/>
          <w:bCs/>
          <w:sz w:val="24"/>
          <w:szCs w:val="24"/>
        </w:rPr>
        <w:t xml:space="preserve">Per Ref </w:t>
      </w:r>
      <w:r>
        <w:rPr>
          <w:rFonts w:ascii="Arial" w:hAnsi="Arial" w:cs="Arial"/>
          <w:bCs/>
          <w:sz w:val="24"/>
          <w:szCs w:val="24"/>
        </w:rPr>
        <w:t>2</w:t>
      </w:r>
      <w:r w:rsidRPr="004025CC">
        <w:rPr>
          <w:rFonts w:ascii="Arial" w:hAnsi="Arial" w:cs="Arial"/>
          <w:bCs/>
          <w:sz w:val="24"/>
          <w:szCs w:val="24"/>
        </w:rPr>
        <w:t xml:space="preserve"> &amp; Ref </w:t>
      </w:r>
      <w:r>
        <w:rPr>
          <w:rFonts w:ascii="Arial" w:hAnsi="Arial" w:cs="Arial"/>
          <w:bCs/>
          <w:sz w:val="24"/>
          <w:szCs w:val="24"/>
        </w:rPr>
        <w:t>3</w:t>
      </w:r>
      <w:r w:rsidRPr="004025CC">
        <w:rPr>
          <w:rFonts w:ascii="Arial" w:hAnsi="Arial" w:cs="Arial"/>
          <w:bCs/>
          <w:sz w:val="24"/>
          <w:szCs w:val="24"/>
        </w:rPr>
        <w:t xml:space="preserve"> above, OEB staff has complied the following table</w:t>
      </w:r>
      <w:r>
        <w:rPr>
          <w:rFonts w:ascii="Arial" w:hAnsi="Arial" w:cs="Arial"/>
          <w:bCs/>
          <w:sz w:val="24"/>
          <w:szCs w:val="24"/>
        </w:rPr>
        <w:t xml:space="preserve">. </w:t>
      </w:r>
      <w:r w:rsidR="00E66127">
        <w:rPr>
          <w:rFonts w:ascii="Arial" w:hAnsi="Arial" w:cs="Arial"/>
          <w:bCs/>
          <w:sz w:val="24"/>
          <w:szCs w:val="24"/>
        </w:rPr>
        <w:t xml:space="preserve">Based on the column name, the 2022 interest adjustments will be recorded in 2024. </w:t>
      </w:r>
      <w:r w:rsidR="00506B30" w:rsidRPr="004025CC">
        <w:rPr>
          <w:rFonts w:ascii="Arial" w:hAnsi="Arial" w:cs="Arial"/>
          <w:bCs/>
          <w:sz w:val="24"/>
          <w:szCs w:val="24"/>
        </w:rPr>
        <w:t xml:space="preserve">Please explain why the </w:t>
      </w:r>
      <w:r w:rsidR="00CC58F9" w:rsidRPr="004025CC">
        <w:rPr>
          <w:rFonts w:ascii="Arial" w:hAnsi="Arial" w:cs="Arial"/>
          <w:bCs/>
          <w:sz w:val="24"/>
          <w:szCs w:val="24"/>
        </w:rPr>
        <w:t>same interest adjustment</w:t>
      </w:r>
      <w:r w:rsidR="00E66127">
        <w:rPr>
          <w:rFonts w:ascii="Arial" w:hAnsi="Arial" w:cs="Arial"/>
          <w:bCs/>
          <w:sz w:val="24"/>
          <w:szCs w:val="24"/>
        </w:rPr>
        <w:t>s</w:t>
      </w:r>
      <w:r w:rsidR="00CC58F9" w:rsidRPr="004025CC">
        <w:rPr>
          <w:rFonts w:ascii="Arial" w:hAnsi="Arial" w:cs="Arial"/>
          <w:bCs/>
          <w:sz w:val="24"/>
          <w:szCs w:val="24"/>
        </w:rPr>
        <w:t xml:space="preserve"> </w:t>
      </w:r>
      <w:r w:rsidR="00AB7CD7" w:rsidRPr="004025CC">
        <w:rPr>
          <w:rFonts w:ascii="Arial" w:hAnsi="Arial" w:cs="Arial"/>
          <w:bCs/>
          <w:sz w:val="24"/>
          <w:szCs w:val="24"/>
        </w:rPr>
        <w:t xml:space="preserve">in Ref </w:t>
      </w:r>
      <w:r w:rsidR="00213D05" w:rsidRPr="004025CC">
        <w:rPr>
          <w:rFonts w:ascii="Arial" w:hAnsi="Arial" w:cs="Arial"/>
          <w:bCs/>
          <w:sz w:val="24"/>
          <w:szCs w:val="24"/>
        </w:rPr>
        <w:t>3</w:t>
      </w:r>
      <w:r w:rsidR="00AB7CD7" w:rsidRPr="004025CC">
        <w:rPr>
          <w:rFonts w:ascii="Arial" w:hAnsi="Arial" w:cs="Arial"/>
          <w:bCs/>
          <w:sz w:val="24"/>
          <w:szCs w:val="24"/>
        </w:rPr>
        <w:t xml:space="preserve"> </w:t>
      </w:r>
      <w:r w:rsidR="00CC58F9" w:rsidRPr="004025CC">
        <w:rPr>
          <w:rFonts w:ascii="Arial" w:hAnsi="Arial" w:cs="Arial"/>
          <w:bCs/>
          <w:sz w:val="24"/>
          <w:szCs w:val="24"/>
        </w:rPr>
        <w:t>will be recorded again in 2024 per Ref 2.</w:t>
      </w:r>
    </w:p>
    <w:tbl>
      <w:tblPr>
        <w:tblStyle w:val="TableGrid"/>
        <w:tblpPr w:leftFromText="180" w:rightFromText="180" w:vertAnchor="text" w:horzAnchor="page" w:tblpX="2836" w:tblpY="751"/>
        <w:tblOverlap w:val="never"/>
        <w:tblW w:w="5485" w:type="dxa"/>
        <w:tblLook w:val="04A0" w:firstRow="1" w:lastRow="0" w:firstColumn="1" w:lastColumn="0" w:noHBand="0" w:noVBand="1"/>
      </w:tblPr>
      <w:tblGrid>
        <w:gridCol w:w="2239"/>
        <w:gridCol w:w="1619"/>
        <w:gridCol w:w="1627"/>
      </w:tblGrid>
      <w:tr w:rsidR="00416847" w14:paraId="6F9990F0" w14:textId="77777777" w:rsidTr="003854E4">
        <w:tc>
          <w:tcPr>
            <w:tcW w:w="2239" w:type="dxa"/>
          </w:tcPr>
          <w:p w14:paraId="653F57CF" w14:textId="77777777" w:rsidR="00416847" w:rsidRPr="00276633" w:rsidRDefault="00416847" w:rsidP="000F5F05">
            <w:pPr>
              <w:rPr>
                <w:rFonts w:ascii="Arial" w:hAnsi="Arial" w:cs="Arial"/>
                <w:bCs/>
                <w:sz w:val="24"/>
                <w:szCs w:val="24"/>
              </w:rPr>
            </w:pPr>
          </w:p>
        </w:tc>
        <w:tc>
          <w:tcPr>
            <w:tcW w:w="1619" w:type="dxa"/>
          </w:tcPr>
          <w:p w14:paraId="4A189131" w14:textId="35493BAC" w:rsidR="00416847" w:rsidRPr="00276633" w:rsidRDefault="00416847" w:rsidP="000F5F05">
            <w:pPr>
              <w:rPr>
                <w:rFonts w:ascii="Arial" w:hAnsi="Arial" w:cs="Arial"/>
                <w:bCs/>
                <w:sz w:val="24"/>
                <w:szCs w:val="24"/>
              </w:rPr>
            </w:pPr>
            <w:r w:rsidRPr="00276633">
              <w:rPr>
                <w:rFonts w:ascii="Arial" w:hAnsi="Arial" w:cs="Arial"/>
                <w:bCs/>
                <w:sz w:val="24"/>
                <w:szCs w:val="24"/>
              </w:rPr>
              <w:t xml:space="preserve">Interest adjustment </w:t>
            </w:r>
            <w:r>
              <w:rPr>
                <w:rFonts w:ascii="Arial" w:hAnsi="Arial" w:cs="Arial"/>
                <w:bCs/>
                <w:sz w:val="24"/>
                <w:szCs w:val="24"/>
              </w:rPr>
              <w:t xml:space="preserve">during 2022 (Ref </w:t>
            </w:r>
            <w:r w:rsidR="003854E4">
              <w:rPr>
                <w:rFonts w:ascii="Arial" w:hAnsi="Arial" w:cs="Arial"/>
                <w:bCs/>
                <w:sz w:val="24"/>
                <w:szCs w:val="24"/>
              </w:rPr>
              <w:t>3</w:t>
            </w:r>
            <w:r>
              <w:rPr>
                <w:rFonts w:ascii="Arial" w:hAnsi="Arial" w:cs="Arial"/>
                <w:bCs/>
                <w:sz w:val="24"/>
                <w:szCs w:val="24"/>
              </w:rPr>
              <w:t>)</w:t>
            </w:r>
          </w:p>
        </w:tc>
        <w:tc>
          <w:tcPr>
            <w:tcW w:w="1627" w:type="dxa"/>
          </w:tcPr>
          <w:p w14:paraId="2B86DB58" w14:textId="4E29D923" w:rsidR="00416847" w:rsidRPr="00276633" w:rsidRDefault="00B3697B" w:rsidP="000F5F05">
            <w:pPr>
              <w:rPr>
                <w:rFonts w:ascii="Arial" w:hAnsi="Arial" w:cs="Arial"/>
                <w:bCs/>
                <w:sz w:val="24"/>
                <w:szCs w:val="24"/>
              </w:rPr>
            </w:pPr>
            <w:r>
              <w:rPr>
                <w:rFonts w:ascii="Arial" w:hAnsi="Arial" w:cs="Arial"/>
                <w:bCs/>
                <w:sz w:val="24"/>
                <w:szCs w:val="24"/>
              </w:rPr>
              <w:t>2022 Interest Adjustments recorded in 2024</w:t>
            </w:r>
            <w:r w:rsidR="003854E4">
              <w:rPr>
                <w:rFonts w:ascii="Arial" w:hAnsi="Arial" w:cs="Arial"/>
                <w:bCs/>
                <w:sz w:val="24"/>
                <w:szCs w:val="24"/>
              </w:rPr>
              <w:t xml:space="preserve"> (Ref 2)</w:t>
            </w:r>
          </w:p>
        </w:tc>
      </w:tr>
      <w:tr w:rsidR="00416847" w14:paraId="28E64CB6" w14:textId="77777777" w:rsidTr="003854E4">
        <w:tc>
          <w:tcPr>
            <w:tcW w:w="2239" w:type="dxa"/>
          </w:tcPr>
          <w:p w14:paraId="715A3C73" w14:textId="77777777" w:rsidR="00416847" w:rsidRPr="00276633" w:rsidRDefault="00416847" w:rsidP="000F5F05">
            <w:pPr>
              <w:rPr>
                <w:rFonts w:ascii="Arial" w:hAnsi="Arial" w:cs="Arial"/>
                <w:bCs/>
                <w:sz w:val="24"/>
                <w:szCs w:val="24"/>
              </w:rPr>
            </w:pPr>
            <w:r>
              <w:rPr>
                <w:rFonts w:ascii="Arial" w:hAnsi="Arial" w:cs="Arial"/>
                <w:bCs/>
                <w:sz w:val="24"/>
                <w:szCs w:val="24"/>
              </w:rPr>
              <w:t>1580 RSVA WMS</w:t>
            </w:r>
          </w:p>
        </w:tc>
        <w:tc>
          <w:tcPr>
            <w:tcW w:w="1619" w:type="dxa"/>
          </w:tcPr>
          <w:p w14:paraId="2DCDEBF5" w14:textId="77777777" w:rsidR="00416847" w:rsidRPr="006E44C4" w:rsidRDefault="00416847" w:rsidP="000F5F05">
            <w:pPr>
              <w:jc w:val="right"/>
              <w:rPr>
                <w:rFonts w:ascii="Arial" w:hAnsi="Arial" w:cs="Arial"/>
                <w:bCs/>
                <w:color w:val="FF0000"/>
                <w:sz w:val="24"/>
                <w:szCs w:val="24"/>
              </w:rPr>
            </w:pPr>
            <w:r w:rsidRPr="006E44C4">
              <w:rPr>
                <w:rFonts w:ascii="Arial" w:hAnsi="Arial" w:cs="Arial"/>
                <w:bCs/>
                <w:color w:val="FF0000"/>
                <w:sz w:val="24"/>
                <w:szCs w:val="24"/>
              </w:rPr>
              <w:t>($5,948)</w:t>
            </w:r>
          </w:p>
        </w:tc>
        <w:tc>
          <w:tcPr>
            <w:tcW w:w="1627" w:type="dxa"/>
          </w:tcPr>
          <w:p w14:paraId="4FE1EA4C" w14:textId="14F32CAF" w:rsidR="00416847" w:rsidRPr="00B3697B" w:rsidRDefault="00B3697B" w:rsidP="000F5F05">
            <w:pPr>
              <w:jc w:val="right"/>
              <w:rPr>
                <w:rFonts w:ascii="Arial" w:hAnsi="Arial" w:cs="Arial"/>
                <w:bCs/>
                <w:color w:val="FF0000"/>
                <w:sz w:val="24"/>
                <w:szCs w:val="24"/>
              </w:rPr>
            </w:pPr>
            <w:r w:rsidRPr="00B3697B">
              <w:rPr>
                <w:rFonts w:ascii="Arial" w:hAnsi="Arial" w:cs="Arial"/>
                <w:bCs/>
                <w:color w:val="FF0000"/>
                <w:sz w:val="24"/>
                <w:szCs w:val="24"/>
              </w:rPr>
              <w:t>(</w:t>
            </w:r>
            <w:r w:rsidR="00416847" w:rsidRPr="00B3697B">
              <w:rPr>
                <w:rFonts w:ascii="Arial" w:hAnsi="Arial" w:cs="Arial"/>
                <w:bCs/>
                <w:color w:val="FF0000"/>
                <w:sz w:val="24"/>
                <w:szCs w:val="24"/>
              </w:rPr>
              <w:t>$5,948</w:t>
            </w:r>
            <w:r w:rsidRPr="00B3697B">
              <w:rPr>
                <w:rFonts w:ascii="Arial" w:hAnsi="Arial" w:cs="Arial"/>
                <w:bCs/>
                <w:color w:val="FF0000"/>
                <w:sz w:val="24"/>
                <w:szCs w:val="24"/>
              </w:rPr>
              <w:t>)</w:t>
            </w:r>
          </w:p>
        </w:tc>
      </w:tr>
      <w:tr w:rsidR="00416847" w14:paraId="2CEA48E6" w14:textId="77777777" w:rsidTr="003854E4">
        <w:tc>
          <w:tcPr>
            <w:tcW w:w="2239" w:type="dxa"/>
          </w:tcPr>
          <w:p w14:paraId="2619B98F" w14:textId="77777777" w:rsidR="00416847" w:rsidRPr="00276633" w:rsidRDefault="00416847" w:rsidP="000F5F05">
            <w:pPr>
              <w:rPr>
                <w:rFonts w:ascii="Arial" w:hAnsi="Arial" w:cs="Arial"/>
                <w:bCs/>
                <w:sz w:val="24"/>
                <w:szCs w:val="24"/>
              </w:rPr>
            </w:pPr>
            <w:r>
              <w:rPr>
                <w:rFonts w:ascii="Arial" w:hAnsi="Arial" w:cs="Arial"/>
                <w:bCs/>
                <w:sz w:val="24"/>
                <w:szCs w:val="24"/>
              </w:rPr>
              <w:t>1580 CBR Class B</w:t>
            </w:r>
          </w:p>
        </w:tc>
        <w:tc>
          <w:tcPr>
            <w:tcW w:w="1619" w:type="dxa"/>
          </w:tcPr>
          <w:p w14:paraId="43F07BD0" w14:textId="77777777" w:rsidR="00416847" w:rsidRPr="006E44C4" w:rsidRDefault="00416847" w:rsidP="000F5F05">
            <w:pPr>
              <w:jc w:val="right"/>
              <w:rPr>
                <w:rFonts w:ascii="Arial" w:hAnsi="Arial" w:cs="Arial"/>
                <w:bCs/>
                <w:color w:val="FF0000"/>
                <w:sz w:val="24"/>
                <w:szCs w:val="24"/>
              </w:rPr>
            </w:pPr>
            <w:r w:rsidRPr="006E44C4">
              <w:rPr>
                <w:rFonts w:ascii="Arial" w:hAnsi="Arial" w:cs="Arial"/>
                <w:bCs/>
                <w:color w:val="FF0000"/>
                <w:sz w:val="24"/>
                <w:szCs w:val="24"/>
              </w:rPr>
              <w:t>($1,780)</w:t>
            </w:r>
          </w:p>
        </w:tc>
        <w:tc>
          <w:tcPr>
            <w:tcW w:w="1627" w:type="dxa"/>
          </w:tcPr>
          <w:p w14:paraId="7BCAC4BC" w14:textId="0F0C5AEA" w:rsidR="00416847" w:rsidRPr="00B3697B" w:rsidRDefault="00B3697B" w:rsidP="000F5F05">
            <w:pPr>
              <w:jc w:val="right"/>
              <w:rPr>
                <w:rFonts w:ascii="Arial" w:hAnsi="Arial" w:cs="Arial"/>
                <w:bCs/>
                <w:color w:val="FF0000"/>
                <w:sz w:val="24"/>
                <w:szCs w:val="24"/>
              </w:rPr>
            </w:pPr>
            <w:r w:rsidRPr="00B3697B">
              <w:rPr>
                <w:rFonts w:ascii="Arial" w:hAnsi="Arial" w:cs="Arial"/>
                <w:bCs/>
                <w:color w:val="FF0000"/>
                <w:sz w:val="24"/>
                <w:szCs w:val="24"/>
              </w:rPr>
              <w:t>(</w:t>
            </w:r>
            <w:r w:rsidR="00416847" w:rsidRPr="00B3697B">
              <w:rPr>
                <w:rFonts w:ascii="Arial" w:hAnsi="Arial" w:cs="Arial"/>
                <w:bCs/>
                <w:color w:val="FF0000"/>
                <w:sz w:val="24"/>
                <w:szCs w:val="24"/>
              </w:rPr>
              <w:t>$1,780</w:t>
            </w:r>
            <w:r w:rsidRPr="00B3697B">
              <w:rPr>
                <w:rFonts w:ascii="Arial" w:hAnsi="Arial" w:cs="Arial"/>
                <w:bCs/>
                <w:color w:val="FF0000"/>
                <w:sz w:val="24"/>
                <w:szCs w:val="24"/>
              </w:rPr>
              <w:t>)</w:t>
            </w:r>
          </w:p>
        </w:tc>
      </w:tr>
      <w:tr w:rsidR="00416847" w14:paraId="4097960A" w14:textId="77777777" w:rsidTr="003854E4">
        <w:tc>
          <w:tcPr>
            <w:tcW w:w="2239" w:type="dxa"/>
          </w:tcPr>
          <w:p w14:paraId="32FB68E9" w14:textId="77777777" w:rsidR="00416847" w:rsidRPr="00276633" w:rsidRDefault="00416847" w:rsidP="000F5F05">
            <w:pPr>
              <w:rPr>
                <w:rFonts w:ascii="Arial" w:hAnsi="Arial" w:cs="Arial"/>
                <w:bCs/>
                <w:sz w:val="24"/>
                <w:szCs w:val="24"/>
              </w:rPr>
            </w:pPr>
            <w:r>
              <w:rPr>
                <w:rFonts w:ascii="Arial" w:hAnsi="Arial" w:cs="Arial"/>
                <w:bCs/>
                <w:sz w:val="24"/>
                <w:szCs w:val="24"/>
              </w:rPr>
              <w:t>1588 RSVA-Power</w:t>
            </w:r>
          </w:p>
        </w:tc>
        <w:tc>
          <w:tcPr>
            <w:tcW w:w="1619" w:type="dxa"/>
          </w:tcPr>
          <w:p w14:paraId="71F485D0" w14:textId="77777777" w:rsidR="00416847" w:rsidRPr="00276633" w:rsidRDefault="00416847" w:rsidP="000F5F05">
            <w:pPr>
              <w:jc w:val="right"/>
              <w:rPr>
                <w:rFonts w:ascii="Arial" w:hAnsi="Arial" w:cs="Arial"/>
                <w:bCs/>
                <w:sz w:val="24"/>
                <w:szCs w:val="24"/>
              </w:rPr>
            </w:pPr>
            <w:r>
              <w:rPr>
                <w:rFonts w:ascii="Arial" w:hAnsi="Arial" w:cs="Arial"/>
                <w:bCs/>
                <w:sz w:val="24"/>
                <w:szCs w:val="24"/>
              </w:rPr>
              <w:t>$6,249</w:t>
            </w:r>
          </w:p>
        </w:tc>
        <w:tc>
          <w:tcPr>
            <w:tcW w:w="1627" w:type="dxa"/>
          </w:tcPr>
          <w:p w14:paraId="4CBE6E3A" w14:textId="27770791" w:rsidR="00416847" w:rsidRPr="00276633" w:rsidRDefault="00416847" w:rsidP="000F5F05">
            <w:pPr>
              <w:jc w:val="right"/>
              <w:rPr>
                <w:rFonts w:ascii="Arial" w:hAnsi="Arial" w:cs="Arial"/>
                <w:bCs/>
                <w:sz w:val="24"/>
                <w:szCs w:val="24"/>
              </w:rPr>
            </w:pPr>
            <w:r w:rsidRPr="00B3697B">
              <w:rPr>
                <w:rFonts w:ascii="Arial" w:hAnsi="Arial" w:cs="Arial"/>
                <w:bCs/>
                <w:sz w:val="24"/>
                <w:szCs w:val="24"/>
              </w:rPr>
              <w:t>$6,249</w:t>
            </w:r>
          </w:p>
        </w:tc>
      </w:tr>
      <w:tr w:rsidR="00416847" w14:paraId="07AF89FB" w14:textId="77777777" w:rsidTr="003854E4">
        <w:tc>
          <w:tcPr>
            <w:tcW w:w="2239" w:type="dxa"/>
          </w:tcPr>
          <w:p w14:paraId="1263D7D9" w14:textId="77777777" w:rsidR="00416847" w:rsidRPr="00276633" w:rsidRDefault="00416847" w:rsidP="000F5F05">
            <w:pPr>
              <w:rPr>
                <w:rFonts w:ascii="Arial" w:hAnsi="Arial" w:cs="Arial"/>
                <w:bCs/>
                <w:sz w:val="24"/>
                <w:szCs w:val="24"/>
              </w:rPr>
            </w:pPr>
            <w:r>
              <w:rPr>
                <w:rFonts w:ascii="Arial" w:hAnsi="Arial" w:cs="Arial"/>
                <w:bCs/>
                <w:sz w:val="24"/>
                <w:szCs w:val="24"/>
              </w:rPr>
              <w:t>1589 RSVA-GA</w:t>
            </w:r>
          </w:p>
        </w:tc>
        <w:tc>
          <w:tcPr>
            <w:tcW w:w="1619" w:type="dxa"/>
          </w:tcPr>
          <w:p w14:paraId="1B5C6DFC" w14:textId="77777777" w:rsidR="00416847" w:rsidRPr="00276633" w:rsidRDefault="00416847" w:rsidP="000F5F05">
            <w:pPr>
              <w:jc w:val="right"/>
              <w:rPr>
                <w:rFonts w:ascii="Arial" w:hAnsi="Arial" w:cs="Arial"/>
                <w:bCs/>
                <w:sz w:val="24"/>
                <w:szCs w:val="24"/>
              </w:rPr>
            </w:pPr>
            <w:r w:rsidRPr="00FA6129">
              <w:rPr>
                <w:rFonts w:ascii="Arial" w:hAnsi="Arial" w:cs="Arial"/>
                <w:bCs/>
                <w:color w:val="FF0000"/>
                <w:sz w:val="24"/>
                <w:szCs w:val="24"/>
              </w:rPr>
              <w:t>($323,867)</w:t>
            </w:r>
          </w:p>
        </w:tc>
        <w:tc>
          <w:tcPr>
            <w:tcW w:w="1627" w:type="dxa"/>
          </w:tcPr>
          <w:p w14:paraId="43F42155" w14:textId="2A8D8790" w:rsidR="00416847" w:rsidRPr="00276633" w:rsidRDefault="00B3697B" w:rsidP="000F5F05">
            <w:pPr>
              <w:jc w:val="right"/>
              <w:rPr>
                <w:rFonts w:ascii="Arial" w:hAnsi="Arial" w:cs="Arial"/>
                <w:bCs/>
                <w:sz w:val="24"/>
                <w:szCs w:val="24"/>
              </w:rPr>
            </w:pPr>
            <w:r w:rsidRPr="00B3697B">
              <w:rPr>
                <w:rFonts w:ascii="Arial" w:hAnsi="Arial" w:cs="Arial"/>
                <w:bCs/>
                <w:color w:val="FF0000"/>
                <w:sz w:val="24"/>
                <w:szCs w:val="24"/>
              </w:rPr>
              <w:t>(</w:t>
            </w:r>
            <w:r w:rsidR="00416847" w:rsidRPr="00B3697B">
              <w:rPr>
                <w:rFonts w:ascii="Arial" w:hAnsi="Arial" w:cs="Arial"/>
                <w:bCs/>
                <w:color w:val="FF0000"/>
                <w:sz w:val="24"/>
                <w:szCs w:val="24"/>
              </w:rPr>
              <w:t>$323,867</w:t>
            </w:r>
            <w:r w:rsidRPr="00B3697B">
              <w:rPr>
                <w:rFonts w:ascii="Arial" w:hAnsi="Arial" w:cs="Arial"/>
                <w:bCs/>
                <w:color w:val="FF0000"/>
                <w:sz w:val="24"/>
                <w:szCs w:val="24"/>
              </w:rPr>
              <w:t>)</w:t>
            </w:r>
          </w:p>
        </w:tc>
      </w:tr>
    </w:tbl>
    <w:p w14:paraId="7415898A" w14:textId="77777777" w:rsidR="00824749" w:rsidRDefault="00691B57" w:rsidP="00691B57">
      <w:pPr>
        <w:spacing w:after="0"/>
        <w:rPr>
          <w:rFonts w:ascii="Arial" w:hAnsi="Arial" w:cs="Arial"/>
          <w:b/>
          <w:sz w:val="24"/>
          <w:szCs w:val="24"/>
        </w:rPr>
      </w:pPr>
      <w:r>
        <w:rPr>
          <w:rFonts w:ascii="Arial" w:hAnsi="Arial" w:cs="Arial"/>
          <w:b/>
          <w:sz w:val="24"/>
          <w:szCs w:val="24"/>
        </w:rPr>
        <w:t xml:space="preserve"> </w:t>
      </w:r>
      <w:r>
        <w:rPr>
          <w:noProof/>
        </w:rPr>
        <w:drawing>
          <wp:inline distT="0" distB="0" distL="0" distR="0" wp14:anchorId="15FCE606" wp14:editId="5F52A72B">
            <wp:extent cx="1114425" cy="2905125"/>
            <wp:effectExtent l="0" t="0" r="9525" b="9525"/>
            <wp:docPr id="1363545182" name="Picture 1" descr="A close-up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0337" name="Picture 1" descr="A close-up of numbers&#10;&#10;Description automatically generated"/>
                    <pic:cNvPicPr/>
                  </pic:nvPicPr>
                  <pic:blipFill>
                    <a:blip r:embed="rId13"/>
                    <a:stretch>
                      <a:fillRect/>
                    </a:stretch>
                  </pic:blipFill>
                  <pic:spPr>
                    <a:xfrm>
                      <a:off x="0" y="0"/>
                      <a:ext cx="1114425" cy="2905125"/>
                    </a:xfrm>
                    <a:prstGeom prst="rect">
                      <a:avLst/>
                    </a:prstGeom>
                  </pic:spPr>
                </pic:pic>
              </a:graphicData>
            </a:graphic>
          </wp:inline>
        </w:drawing>
      </w:r>
    </w:p>
    <w:p w14:paraId="3870F967" w14:textId="77777777" w:rsidR="00824749" w:rsidRDefault="00824749" w:rsidP="00691B57">
      <w:pPr>
        <w:spacing w:after="0"/>
        <w:rPr>
          <w:rFonts w:ascii="Arial" w:hAnsi="Arial" w:cs="Arial"/>
          <w:b/>
          <w:sz w:val="24"/>
          <w:szCs w:val="24"/>
        </w:rPr>
      </w:pPr>
    </w:p>
    <w:p w14:paraId="05B8B828" w14:textId="77777777" w:rsidR="00D2089F" w:rsidRDefault="00691B57" w:rsidP="00824749">
      <w:pPr>
        <w:spacing w:after="0"/>
        <w:rPr>
          <w:rFonts w:ascii="Arial" w:hAnsi="Arial" w:cs="Arial"/>
          <w:b/>
          <w:sz w:val="24"/>
          <w:szCs w:val="24"/>
        </w:rPr>
      </w:pPr>
      <w:r>
        <w:rPr>
          <w:rFonts w:ascii="Arial" w:hAnsi="Arial" w:cs="Arial"/>
          <w:b/>
          <w:sz w:val="24"/>
          <w:szCs w:val="24"/>
        </w:rPr>
        <w:br w:type="textWrapping" w:clear="all"/>
      </w:r>
    </w:p>
    <w:p w14:paraId="5D57FE12" w14:textId="77777777" w:rsidR="00D2089F" w:rsidRDefault="00D2089F" w:rsidP="00824749">
      <w:pPr>
        <w:spacing w:after="0"/>
        <w:rPr>
          <w:rFonts w:ascii="Arial" w:hAnsi="Arial" w:cs="Arial"/>
          <w:b/>
          <w:sz w:val="24"/>
          <w:szCs w:val="24"/>
        </w:rPr>
      </w:pPr>
    </w:p>
    <w:p w14:paraId="0176214B" w14:textId="77777777" w:rsidR="00D2089F" w:rsidRDefault="00D2089F" w:rsidP="00824749">
      <w:pPr>
        <w:spacing w:after="0"/>
        <w:rPr>
          <w:rFonts w:ascii="Arial" w:hAnsi="Arial" w:cs="Arial"/>
          <w:b/>
          <w:sz w:val="24"/>
          <w:szCs w:val="24"/>
        </w:rPr>
      </w:pPr>
    </w:p>
    <w:p w14:paraId="7B7AE52C" w14:textId="77777777" w:rsidR="00D2089F" w:rsidRDefault="00D2089F" w:rsidP="00824749">
      <w:pPr>
        <w:spacing w:after="0"/>
        <w:rPr>
          <w:rFonts w:ascii="Arial" w:hAnsi="Arial" w:cs="Arial"/>
          <w:b/>
          <w:sz w:val="24"/>
          <w:szCs w:val="24"/>
        </w:rPr>
      </w:pPr>
    </w:p>
    <w:p w14:paraId="4D5C95F9" w14:textId="2BE7ECF9" w:rsidR="00824749" w:rsidRDefault="00824749" w:rsidP="00824749">
      <w:pPr>
        <w:spacing w:after="0"/>
        <w:rPr>
          <w:rFonts w:ascii="Arial" w:hAnsi="Arial" w:cs="Arial"/>
          <w:b/>
          <w:sz w:val="24"/>
          <w:szCs w:val="24"/>
        </w:rPr>
      </w:pPr>
      <w:r>
        <w:rPr>
          <w:rFonts w:ascii="Arial" w:hAnsi="Arial" w:cs="Arial"/>
          <w:b/>
          <w:sz w:val="24"/>
          <w:szCs w:val="24"/>
        </w:rPr>
        <w:lastRenderedPageBreak/>
        <w:t>Follow up Question - 5</w:t>
      </w:r>
    </w:p>
    <w:p w14:paraId="73F241A1" w14:textId="44FFDAAF" w:rsidR="00824749" w:rsidRDefault="00824749" w:rsidP="00824749">
      <w:pPr>
        <w:spacing w:after="0"/>
        <w:rPr>
          <w:rFonts w:ascii="Arial" w:hAnsi="Arial" w:cs="Arial"/>
          <w:b/>
          <w:sz w:val="24"/>
          <w:szCs w:val="24"/>
        </w:rPr>
      </w:pPr>
      <w:r>
        <w:rPr>
          <w:rFonts w:ascii="Arial" w:hAnsi="Arial" w:cs="Arial"/>
          <w:b/>
          <w:sz w:val="24"/>
          <w:szCs w:val="24"/>
        </w:rPr>
        <w:t>Ref 1: 2025 IRM rate model_20250114, Tab 11 RTSR – UTRs &amp; Sub-Tx, EB-2024-0</w:t>
      </w:r>
      <w:r w:rsidR="008E6117">
        <w:rPr>
          <w:rFonts w:ascii="Arial" w:hAnsi="Arial" w:cs="Arial"/>
          <w:b/>
          <w:sz w:val="24"/>
          <w:szCs w:val="24"/>
        </w:rPr>
        <w:t xml:space="preserve">244 </w:t>
      </w:r>
      <w:r>
        <w:rPr>
          <w:rFonts w:ascii="Arial" w:hAnsi="Arial" w:cs="Arial"/>
          <w:b/>
          <w:sz w:val="24"/>
          <w:szCs w:val="24"/>
        </w:rPr>
        <w:t xml:space="preserve"> </w:t>
      </w:r>
      <w:r w:rsidR="008E6117" w:rsidRPr="008E6117">
        <w:rPr>
          <w:rFonts w:ascii="Arial" w:hAnsi="Arial" w:cs="Arial"/>
          <w:b/>
          <w:sz w:val="24"/>
          <w:szCs w:val="24"/>
        </w:rPr>
        <w:t>2025 UNIFORM TRANSMISSION RATES</w:t>
      </w:r>
      <w:r w:rsidR="008E6117">
        <w:rPr>
          <w:rFonts w:ascii="Arial" w:hAnsi="Arial" w:cs="Arial"/>
          <w:b/>
          <w:sz w:val="24"/>
          <w:szCs w:val="24"/>
        </w:rPr>
        <w:t xml:space="preserve"> </w:t>
      </w:r>
      <w:r>
        <w:rPr>
          <w:rFonts w:ascii="Arial" w:hAnsi="Arial" w:cs="Arial"/>
          <w:b/>
          <w:sz w:val="24"/>
          <w:szCs w:val="24"/>
        </w:rPr>
        <w:t xml:space="preserve">January 21, </w:t>
      </w:r>
      <w:proofErr w:type="gramStart"/>
      <w:r>
        <w:rPr>
          <w:rFonts w:ascii="Arial" w:hAnsi="Arial" w:cs="Arial"/>
          <w:b/>
          <w:sz w:val="24"/>
          <w:szCs w:val="24"/>
        </w:rPr>
        <w:t>202</w:t>
      </w:r>
      <w:r w:rsidR="008E6117">
        <w:rPr>
          <w:rFonts w:ascii="Arial" w:hAnsi="Arial" w:cs="Arial"/>
          <w:b/>
          <w:sz w:val="24"/>
          <w:szCs w:val="24"/>
        </w:rPr>
        <w:t>5</w:t>
      </w:r>
      <w:proofErr w:type="gramEnd"/>
      <w:r>
        <w:rPr>
          <w:rFonts w:ascii="Arial" w:hAnsi="Arial" w:cs="Arial"/>
          <w:b/>
          <w:sz w:val="24"/>
          <w:szCs w:val="24"/>
        </w:rPr>
        <w:t xml:space="preserve"> and EB-2024-0032 Hydro One Networks Inc. Rate Order, December 19, 2024</w:t>
      </w:r>
    </w:p>
    <w:p w14:paraId="0D7004D9" w14:textId="77777777" w:rsidR="00D2089F" w:rsidRPr="004C6352" w:rsidRDefault="00D2089F" w:rsidP="00D2089F">
      <w:pPr>
        <w:spacing w:before="100" w:beforeAutospacing="1" w:after="100" w:afterAutospacing="1"/>
        <w:rPr>
          <w:rFonts w:ascii="Arial" w:eastAsia="Times New Roman" w:hAnsi="Arial" w:cs="Arial"/>
          <w:sz w:val="24"/>
          <w:szCs w:val="24"/>
          <w:lang w:val="en-US"/>
        </w:rPr>
      </w:pPr>
      <w:r w:rsidRPr="004C6352">
        <w:rPr>
          <w:rFonts w:ascii="Arial" w:eastAsia="Times New Roman" w:hAnsi="Arial" w:cs="Arial"/>
          <w:sz w:val="24"/>
          <w:szCs w:val="24"/>
          <w:lang w:val="en-US"/>
        </w:rPr>
        <w:t>Preamble:</w:t>
      </w:r>
    </w:p>
    <w:p w14:paraId="1D769FF3" w14:textId="0C3A8177" w:rsidR="00D2089F" w:rsidRPr="00DD2E38" w:rsidRDefault="00D2089F" w:rsidP="00D2089F">
      <w:p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Distributors must enter the applicable rates in the Rate Generator Model for the preliminary Uniform Transmission Rates (UTRs)</w:t>
      </w:r>
      <w:r>
        <w:rPr>
          <w:rFonts w:ascii="Arial" w:eastAsia="Times New Roman" w:hAnsi="Arial" w:cs="Arial"/>
          <w:sz w:val="24"/>
          <w:szCs w:val="24"/>
          <w:lang w:val="en-US"/>
        </w:rPr>
        <w:t xml:space="preserve"> and </w:t>
      </w:r>
      <w:r w:rsidRPr="00DD2E38">
        <w:rPr>
          <w:rFonts w:ascii="Arial" w:eastAsia="Times New Roman" w:hAnsi="Arial" w:cs="Arial"/>
          <w:sz w:val="24"/>
          <w:szCs w:val="24"/>
          <w:lang w:val="en-US"/>
        </w:rPr>
        <w:t>Hydro One Sub-Transmission Rates</w:t>
      </w:r>
      <w:r>
        <w:rPr>
          <w:rFonts w:ascii="Arial" w:eastAsia="Times New Roman" w:hAnsi="Arial" w:cs="Arial"/>
          <w:sz w:val="24"/>
          <w:szCs w:val="24"/>
          <w:lang w:val="en-US"/>
        </w:rPr>
        <w:t xml:space="preserve">. </w:t>
      </w:r>
      <w:r w:rsidRPr="00DD2E38">
        <w:rPr>
          <w:rFonts w:ascii="Arial" w:eastAsia="Times New Roman" w:hAnsi="Arial" w:cs="Arial"/>
          <w:sz w:val="24"/>
          <w:szCs w:val="24"/>
          <w:lang w:val="en-US"/>
        </w:rPr>
        <w:t>These rates must align with the most recent rates and charges issued by the OEB.  </w:t>
      </w:r>
    </w:p>
    <w:p w14:paraId="6AE2F0B6" w14:textId="77777777" w:rsidR="00D2089F" w:rsidRPr="004C6352" w:rsidRDefault="00D2089F" w:rsidP="00D2089F">
      <w:pPr>
        <w:spacing w:before="100" w:beforeAutospacing="1" w:after="100" w:afterAutospacing="1"/>
        <w:rPr>
          <w:rFonts w:ascii="Times New Roman" w:eastAsia="Times New Roman" w:hAnsi="Times New Roman" w:cs="Times New Roman"/>
          <w:sz w:val="24"/>
          <w:szCs w:val="24"/>
          <w:lang w:val="en-US"/>
        </w:rPr>
      </w:pPr>
      <w:r w:rsidRPr="004C6352">
        <w:rPr>
          <w:rFonts w:ascii="Times New Roman" w:eastAsia="Times New Roman" w:hAnsi="Times New Roman" w:cs="Times New Roman"/>
          <w:sz w:val="24"/>
          <w:szCs w:val="24"/>
          <w:lang w:val="en-US"/>
        </w:rPr>
        <w:t> </w:t>
      </w:r>
      <w:r w:rsidRPr="004C6352">
        <w:rPr>
          <w:rFonts w:ascii="Arial" w:eastAsia="Times New Roman" w:hAnsi="Arial" w:cs="Arial"/>
          <w:sz w:val="24"/>
          <w:szCs w:val="24"/>
          <w:lang w:val="en-US"/>
        </w:rPr>
        <w:t>Question(s):  </w:t>
      </w:r>
    </w:p>
    <w:p w14:paraId="1F39623E" w14:textId="77777777" w:rsidR="00D2089F" w:rsidRPr="00DD2E38" w:rsidRDefault="00D2089F" w:rsidP="00D2089F">
      <w:pPr>
        <w:numPr>
          <w:ilvl w:val="0"/>
          <w:numId w:val="33"/>
        </w:numPr>
        <w:spacing w:before="100" w:beforeAutospacing="1" w:after="100" w:afterAutospacing="1"/>
        <w:rPr>
          <w:rFonts w:ascii="Arial" w:eastAsia="Times New Roman" w:hAnsi="Arial" w:cs="Arial"/>
          <w:sz w:val="24"/>
          <w:szCs w:val="24"/>
          <w:lang w:val="en-US"/>
        </w:rPr>
      </w:pPr>
      <w:r w:rsidRPr="00DD2E38">
        <w:rPr>
          <w:rFonts w:ascii="Arial" w:eastAsia="Times New Roman" w:hAnsi="Arial" w:cs="Arial"/>
          <w:sz w:val="24"/>
          <w:szCs w:val="24"/>
          <w:lang w:val="en-US"/>
        </w:rPr>
        <w:t>OEB staff has updated</w:t>
      </w:r>
      <w:r w:rsidRPr="00566D90">
        <w:rPr>
          <w:rFonts w:ascii="Arial" w:eastAsia="Times New Roman" w:hAnsi="Arial" w:cs="Arial"/>
          <w:sz w:val="24"/>
          <w:szCs w:val="24"/>
          <w:lang w:val="en-US"/>
        </w:rPr>
        <w:t xml:space="preserve"> Tab </w:t>
      </w:r>
      <w:r w:rsidRPr="00566D90">
        <w:rPr>
          <w:rFonts w:ascii="Arial" w:hAnsi="Arial" w:cs="Arial"/>
          <w:sz w:val="24"/>
          <w:szCs w:val="24"/>
        </w:rPr>
        <w:t>11 RTSR – UTRs &amp; Sub Tx</w:t>
      </w:r>
      <w:r w:rsidRPr="00566D90">
        <w:rPr>
          <w:rFonts w:ascii="Arial" w:hAnsi="Arial" w:cs="Arial"/>
          <w:b/>
          <w:sz w:val="24"/>
          <w:szCs w:val="24"/>
        </w:rPr>
        <w:t xml:space="preserve"> </w:t>
      </w:r>
      <w:r w:rsidRPr="00DD2E38">
        <w:rPr>
          <w:rFonts w:ascii="Arial" w:eastAsia="Times New Roman" w:hAnsi="Arial" w:cs="Arial"/>
          <w:sz w:val="24"/>
          <w:szCs w:val="24"/>
          <w:lang w:val="en-US"/>
        </w:rPr>
        <w:t xml:space="preserve">UTRs. Please </w:t>
      </w:r>
      <w:r>
        <w:rPr>
          <w:rFonts w:ascii="Arial" w:eastAsia="Times New Roman" w:hAnsi="Arial" w:cs="Arial"/>
          <w:sz w:val="24"/>
          <w:szCs w:val="24"/>
          <w:lang w:val="en-US"/>
        </w:rPr>
        <w:t>confirm</w:t>
      </w:r>
      <w:r w:rsidRPr="00DD2E38">
        <w:rPr>
          <w:rFonts w:ascii="Arial" w:eastAsia="Times New Roman" w:hAnsi="Arial" w:cs="Arial"/>
          <w:sz w:val="24"/>
          <w:szCs w:val="24"/>
          <w:lang w:val="en-US"/>
        </w:rPr>
        <w:t xml:space="preserve"> the update</w:t>
      </w:r>
      <w:r>
        <w:rPr>
          <w:rFonts w:ascii="Arial" w:eastAsia="Times New Roman" w:hAnsi="Arial" w:cs="Arial"/>
          <w:sz w:val="24"/>
          <w:szCs w:val="24"/>
          <w:lang w:val="en-US"/>
        </w:rPr>
        <w:t>s</w:t>
      </w:r>
      <w:r w:rsidRPr="00DD2E38">
        <w:rPr>
          <w:rFonts w:ascii="Arial" w:eastAsia="Times New Roman" w:hAnsi="Arial" w:cs="Arial"/>
          <w:sz w:val="24"/>
          <w:szCs w:val="24"/>
          <w:lang w:val="en-US"/>
        </w:rPr>
        <w:t xml:space="preserve"> and ensure that all tabs are updated accordingly.  </w:t>
      </w:r>
    </w:p>
    <w:p w14:paraId="02BC50AF" w14:textId="77777777" w:rsidR="00D2089F" w:rsidRDefault="00D2089F" w:rsidP="00824749">
      <w:pPr>
        <w:spacing w:after="0"/>
        <w:rPr>
          <w:rFonts w:ascii="Arial" w:hAnsi="Arial" w:cs="Arial"/>
          <w:b/>
          <w:sz w:val="24"/>
          <w:szCs w:val="24"/>
        </w:rPr>
      </w:pPr>
    </w:p>
    <w:p w14:paraId="47AE7BE6" w14:textId="2FCCA4F7" w:rsidR="006D58B1" w:rsidRDefault="006D58B1" w:rsidP="00691B57">
      <w:pPr>
        <w:spacing w:after="0"/>
        <w:rPr>
          <w:rFonts w:ascii="Arial" w:hAnsi="Arial" w:cs="Arial"/>
          <w:b/>
          <w:sz w:val="24"/>
          <w:szCs w:val="24"/>
        </w:rPr>
      </w:pPr>
    </w:p>
    <w:p w14:paraId="1443BE96" w14:textId="77777777" w:rsidR="00CD4C5B" w:rsidRPr="00CD4C5B" w:rsidRDefault="00CD4C5B" w:rsidP="00FE26B6">
      <w:pPr>
        <w:spacing w:after="0"/>
        <w:rPr>
          <w:rFonts w:ascii="Arial" w:hAnsi="Arial" w:cs="Arial"/>
          <w:bCs/>
          <w:sz w:val="24"/>
          <w:szCs w:val="24"/>
        </w:rPr>
      </w:pPr>
    </w:p>
    <w:sectPr w:rsidR="00CD4C5B" w:rsidRPr="00CD4C5B" w:rsidSect="00EA0919">
      <w:headerReference w:type="default" r:id="rId14"/>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91CF" w14:textId="77777777" w:rsidR="00FC75C5" w:rsidRDefault="00FC75C5" w:rsidP="00D77124">
      <w:pPr>
        <w:spacing w:after="0" w:line="240" w:lineRule="auto"/>
      </w:pPr>
      <w:r>
        <w:separator/>
      </w:r>
    </w:p>
  </w:endnote>
  <w:endnote w:type="continuationSeparator" w:id="0">
    <w:p w14:paraId="0115DF9A" w14:textId="77777777" w:rsidR="00FC75C5" w:rsidRDefault="00FC75C5" w:rsidP="00D77124">
      <w:pPr>
        <w:spacing w:after="0" w:line="240" w:lineRule="auto"/>
      </w:pPr>
      <w:r>
        <w:continuationSeparator/>
      </w:r>
    </w:p>
  </w:endnote>
  <w:endnote w:type="continuationNotice" w:id="1">
    <w:p w14:paraId="4FDAF108" w14:textId="77777777" w:rsidR="002A7D42" w:rsidRDefault="002A7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1701" w14:textId="77777777" w:rsidR="00FC75C5" w:rsidRDefault="00FC75C5" w:rsidP="00D77124">
      <w:pPr>
        <w:spacing w:after="0" w:line="240" w:lineRule="auto"/>
      </w:pPr>
      <w:r>
        <w:separator/>
      </w:r>
    </w:p>
  </w:footnote>
  <w:footnote w:type="continuationSeparator" w:id="0">
    <w:p w14:paraId="4F0DE282" w14:textId="77777777" w:rsidR="00FC75C5" w:rsidRDefault="00FC75C5" w:rsidP="00D77124">
      <w:pPr>
        <w:spacing w:after="0" w:line="240" w:lineRule="auto"/>
      </w:pPr>
      <w:r>
        <w:continuationSeparator/>
      </w:r>
    </w:p>
  </w:footnote>
  <w:footnote w:type="continuationNotice" w:id="1">
    <w:p w14:paraId="7BEABE74" w14:textId="77777777" w:rsidR="002A7D42" w:rsidRDefault="002A7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5AF3B7E7" w:rsidR="00DC489D" w:rsidRDefault="00247442" w:rsidP="00247442">
    <w:pPr>
      <w:pStyle w:val="Header"/>
      <w:jc w:val="right"/>
    </w:pPr>
    <w:r>
      <w:t>London Hydro Inc.</w:t>
    </w:r>
  </w:p>
  <w:p w14:paraId="4C4BD2A4" w14:textId="27F660F2" w:rsidR="00DC489D" w:rsidRDefault="00DC489D">
    <w:pPr>
      <w:pStyle w:val="Header"/>
    </w:pPr>
    <w:r>
      <w:tab/>
    </w:r>
    <w:r>
      <w:tab/>
      <w:t>OEB Staff Questions</w:t>
    </w:r>
  </w:p>
  <w:p w14:paraId="31F1E28E" w14:textId="2F6CEFAA" w:rsidR="00DC489D" w:rsidRDefault="00DC489D">
    <w:pPr>
      <w:pStyle w:val="Header"/>
    </w:pPr>
    <w:r>
      <w:tab/>
    </w:r>
    <w:r>
      <w:tab/>
      <w:t>EB-20</w:t>
    </w:r>
    <w:r w:rsidR="00247442">
      <w:t>24-0040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B5DED"/>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D03D07"/>
    <w:multiLevelType w:val="hybridMultilevel"/>
    <w:tmpl w:val="F3465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CF209E"/>
    <w:multiLevelType w:val="multilevel"/>
    <w:tmpl w:val="80DC0C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77523F"/>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A469C6"/>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F9003E8"/>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7389052">
    <w:abstractNumId w:val="0"/>
  </w:num>
  <w:num w:numId="2" w16cid:durableId="1817183121">
    <w:abstractNumId w:val="7"/>
  </w:num>
  <w:num w:numId="3" w16cid:durableId="1825269186">
    <w:abstractNumId w:val="22"/>
  </w:num>
  <w:num w:numId="4" w16cid:durableId="1119179632">
    <w:abstractNumId w:val="31"/>
  </w:num>
  <w:num w:numId="5" w16cid:durableId="2091417003">
    <w:abstractNumId w:val="13"/>
  </w:num>
  <w:num w:numId="6" w16cid:durableId="252014472">
    <w:abstractNumId w:val="10"/>
  </w:num>
  <w:num w:numId="7" w16cid:durableId="1793011066">
    <w:abstractNumId w:val="18"/>
  </w:num>
  <w:num w:numId="8" w16cid:durableId="1794320803">
    <w:abstractNumId w:val="14"/>
  </w:num>
  <w:num w:numId="9" w16cid:durableId="1829709702">
    <w:abstractNumId w:val="15"/>
  </w:num>
  <w:num w:numId="10" w16cid:durableId="1115251463">
    <w:abstractNumId w:val="6"/>
  </w:num>
  <w:num w:numId="11" w16cid:durableId="1887520468">
    <w:abstractNumId w:val="17"/>
  </w:num>
  <w:num w:numId="12" w16cid:durableId="1441336080">
    <w:abstractNumId w:val="24"/>
  </w:num>
  <w:num w:numId="13" w16cid:durableId="1780180625">
    <w:abstractNumId w:val="5"/>
  </w:num>
  <w:num w:numId="14" w16cid:durableId="1590384501">
    <w:abstractNumId w:val="2"/>
  </w:num>
  <w:num w:numId="15" w16cid:durableId="427196099">
    <w:abstractNumId w:val="28"/>
  </w:num>
  <w:num w:numId="16" w16cid:durableId="1661301170">
    <w:abstractNumId w:val="8"/>
  </w:num>
  <w:num w:numId="17" w16cid:durableId="580800399">
    <w:abstractNumId w:val="20"/>
  </w:num>
  <w:num w:numId="18" w16cid:durableId="1835102567">
    <w:abstractNumId w:val="26"/>
  </w:num>
  <w:num w:numId="19" w16cid:durableId="1966807704">
    <w:abstractNumId w:val="27"/>
  </w:num>
  <w:num w:numId="20" w16cid:durableId="1330401671">
    <w:abstractNumId w:val="12"/>
  </w:num>
  <w:num w:numId="21" w16cid:durableId="1192495916">
    <w:abstractNumId w:val="25"/>
  </w:num>
  <w:num w:numId="22" w16cid:durableId="82845605">
    <w:abstractNumId w:val="11"/>
  </w:num>
  <w:num w:numId="23" w16cid:durableId="1261449128">
    <w:abstractNumId w:val="23"/>
  </w:num>
  <w:num w:numId="24" w16cid:durableId="1669995">
    <w:abstractNumId w:val="21"/>
  </w:num>
  <w:num w:numId="25" w16cid:durableId="965695596">
    <w:abstractNumId w:val="3"/>
  </w:num>
  <w:num w:numId="26" w16cid:durableId="331496830">
    <w:abstractNumId w:val="16"/>
  </w:num>
  <w:num w:numId="27" w16cid:durableId="1873108183">
    <w:abstractNumId w:val="19"/>
  </w:num>
  <w:num w:numId="28" w16cid:durableId="164637839">
    <w:abstractNumId w:val="4"/>
  </w:num>
  <w:num w:numId="29" w16cid:durableId="134181538">
    <w:abstractNumId w:val="1"/>
  </w:num>
  <w:num w:numId="30" w16cid:durableId="2104689340">
    <w:abstractNumId w:val="32"/>
  </w:num>
  <w:num w:numId="31" w16cid:durableId="741104445">
    <w:abstractNumId w:val="30"/>
  </w:num>
  <w:num w:numId="32" w16cid:durableId="1996110068">
    <w:abstractNumId w:val="29"/>
  </w:num>
  <w:num w:numId="33" w16cid:durableId="216741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423BE"/>
    <w:rsid w:val="00054071"/>
    <w:rsid w:val="00057630"/>
    <w:rsid w:val="0006126D"/>
    <w:rsid w:val="00067F57"/>
    <w:rsid w:val="00071BEC"/>
    <w:rsid w:val="00074514"/>
    <w:rsid w:val="000832D4"/>
    <w:rsid w:val="00090160"/>
    <w:rsid w:val="000A67A4"/>
    <w:rsid w:val="000A6A3C"/>
    <w:rsid w:val="000B3E7E"/>
    <w:rsid w:val="000C5E85"/>
    <w:rsid w:val="000C703A"/>
    <w:rsid w:val="000D223C"/>
    <w:rsid w:val="000E4006"/>
    <w:rsid w:val="000F0A76"/>
    <w:rsid w:val="000F1E3A"/>
    <w:rsid w:val="000F3DEA"/>
    <w:rsid w:val="000F5F05"/>
    <w:rsid w:val="001134AB"/>
    <w:rsid w:val="00116EE3"/>
    <w:rsid w:val="00133BE1"/>
    <w:rsid w:val="001503EB"/>
    <w:rsid w:val="00164E99"/>
    <w:rsid w:val="00167B3D"/>
    <w:rsid w:val="00183CC8"/>
    <w:rsid w:val="00187E9B"/>
    <w:rsid w:val="001927C2"/>
    <w:rsid w:val="001A3C32"/>
    <w:rsid w:val="001A4DCD"/>
    <w:rsid w:val="001D526D"/>
    <w:rsid w:val="001E6A3B"/>
    <w:rsid w:val="001E7F27"/>
    <w:rsid w:val="00202AA1"/>
    <w:rsid w:val="00203092"/>
    <w:rsid w:val="00211C47"/>
    <w:rsid w:val="00213D05"/>
    <w:rsid w:val="002208C0"/>
    <w:rsid w:val="00224C06"/>
    <w:rsid w:val="00247442"/>
    <w:rsid w:val="00247D05"/>
    <w:rsid w:val="0025687C"/>
    <w:rsid w:val="0027155B"/>
    <w:rsid w:val="0027296B"/>
    <w:rsid w:val="00274A48"/>
    <w:rsid w:val="00276633"/>
    <w:rsid w:val="00291CCC"/>
    <w:rsid w:val="002A1723"/>
    <w:rsid w:val="002A6415"/>
    <w:rsid w:val="002A7D42"/>
    <w:rsid w:val="002B2B11"/>
    <w:rsid w:val="002B7B7C"/>
    <w:rsid w:val="002C0170"/>
    <w:rsid w:val="002C2BF2"/>
    <w:rsid w:val="002C7EF6"/>
    <w:rsid w:val="002D4924"/>
    <w:rsid w:val="002E7172"/>
    <w:rsid w:val="002F4756"/>
    <w:rsid w:val="002F7904"/>
    <w:rsid w:val="00302509"/>
    <w:rsid w:val="003049C5"/>
    <w:rsid w:val="0031139C"/>
    <w:rsid w:val="00317823"/>
    <w:rsid w:val="00324B3D"/>
    <w:rsid w:val="00324FFB"/>
    <w:rsid w:val="003303BF"/>
    <w:rsid w:val="00340542"/>
    <w:rsid w:val="00340C00"/>
    <w:rsid w:val="003524EC"/>
    <w:rsid w:val="00353065"/>
    <w:rsid w:val="00355AF7"/>
    <w:rsid w:val="00363192"/>
    <w:rsid w:val="003702D1"/>
    <w:rsid w:val="00373FAD"/>
    <w:rsid w:val="00375F7F"/>
    <w:rsid w:val="003777B5"/>
    <w:rsid w:val="003832E7"/>
    <w:rsid w:val="003854E4"/>
    <w:rsid w:val="003962DD"/>
    <w:rsid w:val="003A20A0"/>
    <w:rsid w:val="003A58B0"/>
    <w:rsid w:val="003C6AAE"/>
    <w:rsid w:val="003E2E05"/>
    <w:rsid w:val="003E42FD"/>
    <w:rsid w:val="00400DFC"/>
    <w:rsid w:val="004025CC"/>
    <w:rsid w:val="00406315"/>
    <w:rsid w:val="00412DC6"/>
    <w:rsid w:val="00416847"/>
    <w:rsid w:val="00425009"/>
    <w:rsid w:val="004274B3"/>
    <w:rsid w:val="00430BF1"/>
    <w:rsid w:val="004377B0"/>
    <w:rsid w:val="00442601"/>
    <w:rsid w:val="00450606"/>
    <w:rsid w:val="00472C81"/>
    <w:rsid w:val="00475032"/>
    <w:rsid w:val="004859EF"/>
    <w:rsid w:val="00493EC5"/>
    <w:rsid w:val="00496FD5"/>
    <w:rsid w:val="0049773E"/>
    <w:rsid w:val="004A08E5"/>
    <w:rsid w:val="004C163D"/>
    <w:rsid w:val="004C6352"/>
    <w:rsid w:val="004E31BF"/>
    <w:rsid w:val="004E45BB"/>
    <w:rsid w:val="004E7C36"/>
    <w:rsid w:val="004F674F"/>
    <w:rsid w:val="00506792"/>
    <w:rsid w:val="00506B30"/>
    <w:rsid w:val="00511EC2"/>
    <w:rsid w:val="00515C56"/>
    <w:rsid w:val="005164F5"/>
    <w:rsid w:val="00523767"/>
    <w:rsid w:val="00523918"/>
    <w:rsid w:val="0052560F"/>
    <w:rsid w:val="0054362A"/>
    <w:rsid w:val="00543B54"/>
    <w:rsid w:val="00553705"/>
    <w:rsid w:val="00565FBE"/>
    <w:rsid w:val="00566124"/>
    <w:rsid w:val="005666F2"/>
    <w:rsid w:val="00572064"/>
    <w:rsid w:val="005754E7"/>
    <w:rsid w:val="00584369"/>
    <w:rsid w:val="00587A35"/>
    <w:rsid w:val="00591871"/>
    <w:rsid w:val="00594D72"/>
    <w:rsid w:val="005C7F10"/>
    <w:rsid w:val="005D3525"/>
    <w:rsid w:val="005E27C0"/>
    <w:rsid w:val="005E6001"/>
    <w:rsid w:val="005F4693"/>
    <w:rsid w:val="005F6C0C"/>
    <w:rsid w:val="00603BDD"/>
    <w:rsid w:val="006048E0"/>
    <w:rsid w:val="00621D39"/>
    <w:rsid w:val="00623602"/>
    <w:rsid w:val="00632383"/>
    <w:rsid w:val="0064279A"/>
    <w:rsid w:val="00651C98"/>
    <w:rsid w:val="00652F9D"/>
    <w:rsid w:val="00660544"/>
    <w:rsid w:val="00672DDD"/>
    <w:rsid w:val="006866E2"/>
    <w:rsid w:val="00691B57"/>
    <w:rsid w:val="006A1257"/>
    <w:rsid w:val="006A5D23"/>
    <w:rsid w:val="006B6613"/>
    <w:rsid w:val="006D58B1"/>
    <w:rsid w:val="006D5D61"/>
    <w:rsid w:val="006E1204"/>
    <w:rsid w:val="006E2015"/>
    <w:rsid w:val="006E3D58"/>
    <w:rsid w:val="006E44C4"/>
    <w:rsid w:val="006E5B1C"/>
    <w:rsid w:val="00704459"/>
    <w:rsid w:val="00704EE5"/>
    <w:rsid w:val="007066E2"/>
    <w:rsid w:val="0072241F"/>
    <w:rsid w:val="00722640"/>
    <w:rsid w:val="00725139"/>
    <w:rsid w:val="00730DD2"/>
    <w:rsid w:val="0073197E"/>
    <w:rsid w:val="00734D3A"/>
    <w:rsid w:val="00746080"/>
    <w:rsid w:val="007508EC"/>
    <w:rsid w:val="00772B57"/>
    <w:rsid w:val="00781D04"/>
    <w:rsid w:val="007C2D45"/>
    <w:rsid w:val="007C5575"/>
    <w:rsid w:val="007F49EB"/>
    <w:rsid w:val="00805FDA"/>
    <w:rsid w:val="00810492"/>
    <w:rsid w:val="00810D52"/>
    <w:rsid w:val="00812C1B"/>
    <w:rsid w:val="00812C73"/>
    <w:rsid w:val="008173B1"/>
    <w:rsid w:val="00824749"/>
    <w:rsid w:val="00825BA6"/>
    <w:rsid w:val="0082770B"/>
    <w:rsid w:val="00835AD0"/>
    <w:rsid w:val="00841787"/>
    <w:rsid w:val="008556A8"/>
    <w:rsid w:val="0085650E"/>
    <w:rsid w:val="00863698"/>
    <w:rsid w:val="00863B54"/>
    <w:rsid w:val="00863C8C"/>
    <w:rsid w:val="008747B3"/>
    <w:rsid w:val="008813C3"/>
    <w:rsid w:val="008862FE"/>
    <w:rsid w:val="008926F0"/>
    <w:rsid w:val="008964E8"/>
    <w:rsid w:val="00897ACB"/>
    <w:rsid w:val="008A46CB"/>
    <w:rsid w:val="008A48F6"/>
    <w:rsid w:val="008A5040"/>
    <w:rsid w:val="008B241C"/>
    <w:rsid w:val="008C05DC"/>
    <w:rsid w:val="008E11FE"/>
    <w:rsid w:val="008E6045"/>
    <w:rsid w:val="008E6117"/>
    <w:rsid w:val="008F5CE3"/>
    <w:rsid w:val="009000B4"/>
    <w:rsid w:val="0090113B"/>
    <w:rsid w:val="00920D64"/>
    <w:rsid w:val="00931BFE"/>
    <w:rsid w:val="0093258A"/>
    <w:rsid w:val="009325A9"/>
    <w:rsid w:val="009406E9"/>
    <w:rsid w:val="00940FDB"/>
    <w:rsid w:val="0094373C"/>
    <w:rsid w:val="00946DEE"/>
    <w:rsid w:val="00951E2B"/>
    <w:rsid w:val="0095288E"/>
    <w:rsid w:val="00952939"/>
    <w:rsid w:val="00956D91"/>
    <w:rsid w:val="00961EA0"/>
    <w:rsid w:val="009675EB"/>
    <w:rsid w:val="00973492"/>
    <w:rsid w:val="009751DD"/>
    <w:rsid w:val="00991141"/>
    <w:rsid w:val="009A0CA3"/>
    <w:rsid w:val="009A5C44"/>
    <w:rsid w:val="009B03AF"/>
    <w:rsid w:val="009B1ADD"/>
    <w:rsid w:val="009B330C"/>
    <w:rsid w:val="009C4216"/>
    <w:rsid w:val="009C7993"/>
    <w:rsid w:val="009D59D9"/>
    <w:rsid w:val="009D5B96"/>
    <w:rsid w:val="009D5F4B"/>
    <w:rsid w:val="009E626E"/>
    <w:rsid w:val="009E7CBF"/>
    <w:rsid w:val="009F799F"/>
    <w:rsid w:val="00A0147C"/>
    <w:rsid w:val="00A07077"/>
    <w:rsid w:val="00A138EF"/>
    <w:rsid w:val="00A50BEE"/>
    <w:rsid w:val="00A50DD0"/>
    <w:rsid w:val="00A516B0"/>
    <w:rsid w:val="00A51FA7"/>
    <w:rsid w:val="00A5620A"/>
    <w:rsid w:val="00A60094"/>
    <w:rsid w:val="00A73B9A"/>
    <w:rsid w:val="00A766FD"/>
    <w:rsid w:val="00A76E50"/>
    <w:rsid w:val="00A84DFC"/>
    <w:rsid w:val="00AA06D9"/>
    <w:rsid w:val="00AA738B"/>
    <w:rsid w:val="00AB251C"/>
    <w:rsid w:val="00AB7CD7"/>
    <w:rsid w:val="00AC2406"/>
    <w:rsid w:val="00AD2352"/>
    <w:rsid w:val="00AD3FCF"/>
    <w:rsid w:val="00AD53AC"/>
    <w:rsid w:val="00AE6250"/>
    <w:rsid w:val="00AF4276"/>
    <w:rsid w:val="00B01126"/>
    <w:rsid w:val="00B03802"/>
    <w:rsid w:val="00B069AA"/>
    <w:rsid w:val="00B11783"/>
    <w:rsid w:val="00B17A37"/>
    <w:rsid w:val="00B17AA9"/>
    <w:rsid w:val="00B23A36"/>
    <w:rsid w:val="00B23EDE"/>
    <w:rsid w:val="00B24676"/>
    <w:rsid w:val="00B25576"/>
    <w:rsid w:val="00B25EF5"/>
    <w:rsid w:val="00B30195"/>
    <w:rsid w:val="00B3697B"/>
    <w:rsid w:val="00B50EB2"/>
    <w:rsid w:val="00B55959"/>
    <w:rsid w:val="00B61A88"/>
    <w:rsid w:val="00B61E5E"/>
    <w:rsid w:val="00B6722A"/>
    <w:rsid w:val="00B71239"/>
    <w:rsid w:val="00B82D78"/>
    <w:rsid w:val="00B82EF4"/>
    <w:rsid w:val="00B95D7C"/>
    <w:rsid w:val="00BA434C"/>
    <w:rsid w:val="00BC25FA"/>
    <w:rsid w:val="00BC4647"/>
    <w:rsid w:val="00BC5241"/>
    <w:rsid w:val="00BC6680"/>
    <w:rsid w:val="00BD4F65"/>
    <w:rsid w:val="00BD7607"/>
    <w:rsid w:val="00BF6DFA"/>
    <w:rsid w:val="00C03511"/>
    <w:rsid w:val="00C06F9E"/>
    <w:rsid w:val="00C13E6B"/>
    <w:rsid w:val="00C144DD"/>
    <w:rsid w:val="00C2370B"/>
    <w:rsid w:val="00C27193"/>
    <w:rsid w:val="00C333D8"/>
    <w:rsid w:val="00C55812"/>
    <w:rsid w:val="00C624D5"/>
    <w:rsid w:val="00C829E4"/>
    <w:rsid w:val="00C848A0"/>
    <w:rsid w:val="00C859E5"/>
    <w:rsid w:val="00C878C5"/>
    <w:rsid w:val="00C9525C"/>
    <w:rsid w:val="00C96AEA"/>
    <w:rsid w:val="00CA1064"/>
    <w:rsid w:val="00CC0B6D"/>
    <w:rsid w:val="00CC58F9"/>
    <w:rsid w:val="00CD01B4"/>
    <w:rsid w:val="00CD4C5B"/>
    <w:rsid w:val="00CE1CD3"/>
    <w:rsid w:val="00CE4F01"/>
    <w:rsid w:val="00D11143"/>
    <w:rsid w:val="00D2089F"/>
    <w:rsid w:val="00D30F16"/>
    <w:rsid w:val="00D55546"/>
    <w:rsid w:val="00D55F52"/>
    <w:rsid w:val="00D57E8C"/>
    <w:rsid w:val="00D6213C"/>
    <w:rsid w:val="00D647C0"/>
    <w:rsid w:val="00D71C4D"/>
    <w:rsid w:val="00D77124"/>
    <w:rsid w:val="00D77694"/>
    <w:rsid w:val="00D77B0F"/>
    <w:rsid w:val="00DB6B52"/>
    <w:rsid w:val="00DC489D"/>
    <w:rsid w:val="00DC54F7"/>
    <w:rsid w:val="00DE5488"/>
    <w:rsid w:val="00DE75AC"/>
    <w:rsid w:val="00DF44AA"/>
    <w:rsid w:val="00DF5A52"/>
    <w:rsid w:val="00DF5D3F"/>
    <w:rsid w:val="00E01CFB"/>
    <w:rsid w:val="00E0506B"/>
    <w:rsid w:val="00E16CF2"/>
    <w:rsid w:val="00E17C58"/>
    <w:rsid w:val="00E231C2"/>
    <w:rsid w:val="00E429DA"/>
    <w:rsid w:val="00E616AB"/>
    <w:rsid w:val="00E62C2A"/>
    <w:rsid w:val="00E66127"/>
    <w:rsid w:val="00E70ABC"/>
    <w:rsid w:val="00E7346D"/>
    <w:rsid w:val="00E73D2B"/>
    <w:rsid w:val="00E8586E"/>
    <w:rsid w:val="00E86D0A"/>
    <w:rsid w:val="00E86F26"/>
    <w:rsid w:val="00E91E12"/>
    <w:rsid w:val="00E96A06"/>
    <w:rsid w:val="00EA0919"/>
    <w:rsid w:val="00EB5240"/>
    <w:rsid w:val="00EB7254"/>
    <w:rsid w:val="00EC0B55"/>
    <w:rsid w:val="00ED10B8"/>
    <w:rsid w:val="00ED452A"/>
    <w:rsid w:val="00ED7009"/>
    <w:rsid w:val="00EE3753"/>
    <w:rsid w:val="00EF6068"/>
    <w:rsid w:val="00F034BF"/>
    <w:rsid w:val="00F11C1F"/>
    <w:rsid w:val="00F233A3"/>
    <w:rsid w:val="00F23D7A"/>
    <w:rsid w:val="00F24648"/>
    <w:rsid w:val="00F26D30"/>
    <w:rsid w:val="00F27020"/>
    <w:rsid w:val="00F270D6"/>
    <w:rsid w:val="00F52A4F"/>
    <w:rsid w:val="00F57152"/>
    <w:rsid w:val="00F57ED4"/>
    <w:rsid w:val="00F7362C"/>
    <w:rsid w:val="00F921C2"/>
    <w:rsid w:val="00F92477"/>
    <w:rsid w:val="00F92F61"/>
    <w:rsid w:val="00F973A6"/>
    <w:rsid w:val="00FA3E02"/>
    <w:rsid w:val="00FA6129"/>
    <w:rsid w:val="00FA6618"/>
    <w:rsid w:val="00FB4974"/>
    <w:rsid w:val="00FB6F10"/>
    <w:rsid w:val="00FC4CF8"/>
    <w:rsid w:val="00FC5DA7"/>
    <w:rsid w:val="00FC75C5"/>
    <w:rsid w:val="00FD24E7"/>
    <w:rsid w:val="00FD452E"/>
    <w:rsid w:val="00FE26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730DD2"/>
    <w:rPr>
      <w:color w:val="0000FF" w:themeColor="hyperlink"/>
      <w:u w:val="single"/>
    </w:rPr>
  </w:style>
  <w:style w:type="character" w:styleId="UnresolvedMention">
    <w:name w:val="Unresolved Mention"/>
    <w:basedOn w:val="DefaultParagraphFont"/>
    <w:uiPriority w:val="99"/>
    <w:semiHidden/>
    <w:unhideWhenUsed/>
    <w:rsid w:val="0073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s.oeb.ca/CMWebDrawer/Record/849753/File/docu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Kelli Benincasa</cp:lastModifiedBy>
  <cp:revision>12</cp:revision>
  <cp:lastPrinted>2014-09-29T14:43:00Z</cp:lastPrinted>
  <dcterms:created xsi:type="dcterms:W3CDTF">2025-01-20T16:35:00Z</dcterms:created>
  <dcterms:modified xsi:type="dcterms:W3CDTF">2025-01-22T16:32:00Z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