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FC46" w14:textId="6A1D3FA8" w:rsidR="00065ED4" w:rsidRPr="00604616" w:rsidRDefault="00735385" w:rsidP="00065ED4">
      <w:pPr>
        <w:pStyle w:val="Default"/>
        <w:jc w:val="center"/>
        <w:rPr>
          <w:rFonts w:ascii="Arial" w:hAnsi="Arial" w:cs="Arial"/>
          <w:b/>
          <w:bCs/>
          <w:sz w:val="28"/>
          <w:szCs w:val="28"/>
        </w:rPr>
      </w:pPr>
      <w:r>
        <w:rPr>
          <w:rFonts w:ascii="Arial" w:hAnsi="Arial" w:cs="Arial"/>
          <w:b/>
          <w:bCs/>
          <w:sz w:val="28"/>
          <w:szCs w:val="28"/>
        </w:rPr>
        <w:t>Synergy</w:t>
      </w:r>
      <w:r w:rsidR="00E263C9">
        <w:rPr>
          <w:rFonts w:ascii="Arial" w:hAnsi="Arial" w:cs="Arial"/>
          <w:b/>
          <w:bCs/>
          <w:sz w:val="28"/>
          <w:szCs w:val="28"/>
        </w:rPr>
        <w:t xml:space="preserve"> North</w:t>
      </w:r>
      <w:r w:rsidR="001D02D7" w:rsidRPr="00604616">
        <w:rPr>
          <w:rFonts w:ascii="Arial" w:hAnsi="Arial" w:cs="Arial"/>
          <w:b/>
          <w:bCs/>
          <w:sz w:val="28"/>
          <w:szCs w:val="28"/>
        </w:rPr>
        <w:t xml:space="preserve"> </w:t>
      </w:r>
      <w:r w:rsidR="00E263C9">
        <w:rPr>
          <w:rFonts w:ascii="Arial" w:hAnsi="Arial" w:cs="Arial"/>
          <w:b/>
          <w:bCs/>
          <w:sz w:val="28"/>
          <w:szCs w:val="28"/>
        </w:rPr>
        <w:t>Corporation</w:t>
      </w:r>
      <w:r w:rsidR="008E178E" w:rsidRPr="00604616">
        <w:rPr>
          <w:rFonts w:ascii="Arial" w:hAnsi="Arial" w:cs="Arial"/>
          <w:b/>
          <w:bCs/>
          <w:sz w:val="28"/>
          <w:szCs w:val="28"/>
        </w:rPr>
        <w:t>.</w:t>
      </w:r>
    </w:p>
    <w:p w14:paraId="63AEBA1A" w14:textId="7361869A" w:rsidR="0079339F" w:rsidRPr="00604616" w:rsidRDefault="0079339F" w:rsidP="0079339F">
      <w:pPr>
        <w:spacing w:after="0"/>
        <w:jc w:val="center"/>
        <w:rPr>
          <w:rFonts w:ascii="Arial" w:hAnsi="Arial" w:cs="Arial"/>
          <w:b/>
          <w:sz w:val="24"/>
        </w:rPr>
      </w:pPr>
      <w:bookmarkStart w:id="0" w:name="_Hlk55806661"/>
      <w:r w:rsidRPr="00604616">
        <w:rPr>
          <w:rFonts w:ascii="Arial" w:hAnsi="Arial" w:cs="Arial"/>
          <w:b/>
          <w:sz w:val="24"/>
        </w:rPr>
        <w:t>EB-202</w:t>
      </w:r>
      <w:r w:rsidR="0041088C">
        <w:rPr>
          <w:rFonts w:ascii="Arial" w:hAnsi="Arial" w:cs="Arial"/>
          <w:b/>
          <w:sz w:val="24"/>
        </w:rPr>
        <w:t>4</w:t>
      </w:r>
      <w:r w:rsidRPr="00604616">
        <w:rPr>
          <w:rFonts w:ascii="Arial" w:hAnsi="Arial" w:cs="Arial"/>
          <w:b/>
          <w:sz w:val="24"/>
        </w:rPr>
        <w:t>-00</w:t>
      </w:r>
      <w:r w:rsidR="00E263C9">
        <w:rPr>
          <w:rFonts w:ascii="Arial" w:hAnsi="Arial" w:cs="Arial"/>
          <w:b/>
          <w:sz w:val="24"/>
        </w:rPr>
        <w:t>55</w:t>
      </w:r>
    </w:p>
    <w:p w14:paraId="0D41BD95" w14:textId="1F68E156" w:rsidR="00065ED4" w:rsidRPr="00604616" w:rsidRDefault="00292B89" w:rsidP="0079339F">
      <w:pPr>
        <w:spacing w:after="0"/>
        <w:jc w:val="center"/>
        <w:rPr>
          <w:rFonts w:ascii="Arial" w:hAnsi="Arial" w:cs="Arial"/>
          <w:b/>
          <w:sz w:val="24"/>
        </w:rPr>
      </w:pPr>
      <w:r>
        <w:rPr>
          <w:rFonts w:ascii="Arial" w:hAnsi="Arial" w:cs="Arial"/>
          <w:b/>
          <w:sz w:val="24"/>
        </w:rPr>
        <w:t>Fe</w:t>
      </w:r>
      <w:r w:rsidR="00677C9E">
        <w:rPr>
          <w:rFonts w:ascii="Arial" w:hAnsi="Arial" w:cs="Arial"/>
          <w:b/>
          <w:sz w:val="24"/>
        </w:rPr>
        <w:t>bruary</w:t>
      </w:r>
      <w:r w:rsidR="00DC3AE9">
        <w:rPr>
          <w:rFonts w:ascii="Arial" w:hAnsi="Arial" w:cs="Arial"/>
          <w:b/>
          <w:sz w:val="24"/>
        </w:rPr>
        <w:t xml:space="preserve"> 2</w:t>
      </w:r>
      <w:r w:rsidR="00677C9E">
        <w:rPr>
          <w:rFonts w:ascii="Arial" w:hAnsi="Arial" w:cs="Arial"/>
          <w:b/>
          <w:sz w:val="24"/>
        </w:rPr>
        <w:t>6</w:t>
      </w:r>
      <w:r w:rsidR="00FA47D9" w:rsidRPr="00604616">
        <w:rPr>
          <w:rFonts w:ascii="Arial" w:hAnsi="Arial" w:cs="Arial"/>
          <w:b/>
          <w:sz w:val="24"/>
        </w:rPr>
        <w:t>, 202</w:t>
      </w:r>
      <w:r w:rsidR="00DC3AE9">
        <w:rPr>
          <w:rFonts w:ascii="Arial" w:hAnsi="Arial" w:cs="Arial"/>
          <w:b/>
          <w:sz w:val="24"/>
        </w:rPr>
        <w:t>5</w:t>
      </w:r>
    </w:p>
    <w:p w14:paraId="10A2BF53" w14:textId="0286ED14" w:rsidR="00065ED4" w:rsidRPr="00604616" w:rsidRDefault="00065ED4" w:rsidP="0079339F">
      <w:pPr>
        <w:spacing w:after="0"/>
        <w:jc w:val="center"/>
        <w:rPr>
          <w:rFonts w:ascii="Arial" w:hAnsi="Arial" w:cs="Arial"/>
          <w:b/>
          <w:sz w:val="24"/>
        </w:rPr>
      </w:pPr>
      <w:r w:rsidRPr="00604616">
        <w:rPr>
          <w:rFonts w:ascii="Arial" w:hAnsi="Arial" w:cs="Arial"/>
          <w:b/>
          <w:sz w:val="24"/>
        </w:rPr>
        <w:t>OEB Staff Questions</w:t>
      </w:r>
    </w:p>
    <w:p w14:paraId="72222ACD" w14:textId="63FC312B" w:rsidR="00FA47D9" w:rsidRPr="00604616" w:rsidRDefault="00FA47D9" w:rsidP="00D33274">
      <w:pPr>
        <w:spacing w:after="0"/>
        <w:jc w:val="center"/>
        <w:rPr>
          <w:rFonts w:ascii="Arial" w:hAnsi="Arial" w:cs="Arial"/>
          <w:b/>
          <w:sz w:val="24"/>
        </w:rPr>
      </w:pPr>
      <w:r w:rsidRPr="00604616">
        <w:rPr>
          <w:rFonts w:ascii="Arial" w:hAnsi="Arial" w:cs="Arial"/>
          <w:b/>
          <w:sz w:val="24"/>
        </w:rPr>
        <w:t xml:space="preserve"> </w:t>
      </w:r>
    </w:p>
    <w:p w14:paraId="2A0CB1B0" w14:textId="2D235E9C" w:rsidR="00E86F26" w:rsidRPr="00FC1CD6" w:rsidRDefault="00E86F26" w:rsidP="0053039B">
      <w:pPr>
        <w:autoSpaceDE w:val="0"/>
        <w:autoSpaceDN w:val="0"/>
        <w:adjustRightInd w:val="0"/>
        <w:spacing w:after="240"/>
        <w:rPr>
          <w:rFonts w:ascii="Arial" w:eastAsia="Calibri" w:hAnsi="Arial" w:cs="Arial"/>
          <w:sz w:val="24"/>
          <w:szCs w:val="24"/>
        </w:rPr>
      </w:pPr>
      <w:r w:rsidRPr="00FC1CD6">
        <w:rPr>
          <w:rFonts w:ascii="Arial" w:eastAsia="Calibri" w:hAnsi="Arial" w:cs="Arial"/>
          <w:sz w:val="24"/>
          <w:szCs w:val="24"/>
        </w:rPr>
        <w:t xml:space="preserve">Please note </w:t>
      </w:r>
      <w:r w:rsidR="003820C7" w:rsidRPr="00FC1CD6">
        <w:rPr>
          <w:rFonts w:ascii="Arial" w:eastAsia="Calibri" w:hAnsi="Arial" w:cs="Arial"/>
          <w:sz w:val="24"/>
          <w:szCs w:val="24"/>
        </w:rPr>
        <w:t xml:space="preserve">that </w:t>
      </w:r>
      <w:r w:rsidR="005036C0" w:rsidRPr="00FC1CD6">
        <w:rPr>
          <w:rFonts w:ascii="Arial" w:eastAsia="Calibri" w:hAnsi="Arial" w:cs="Arial"/>
          <w:sz w:val="24"/>
          <w:szCs w:val="24"/>
        </w:rPr>
        <w:t>Synergy North Corporation</w:t>
      </w:r>
      <w:r w:rsidR="00B633F1" w:rsidRPr="00FC1CD6">
        <w:rPr>
          <w:rFonts w:ascii="Arial" w:eastAsia="Calibri" w:hAnsi="Arial" w:cs="Arial"/>
          <w:sz w:val="24"/>
          <w:szCs w:val="24"/>
        </w:rPr>
        <w:t xml:space="preserve"> </w:t>
      </w:r>
      <w:r w:rsidR="0050313C" w:rsidRPr="00FC1CD6">
        <w:rPr>
          <w:rFonts w:ascii="Arial" w:eastAsia="Calibri" w:hAnsi="Arial" w:cs="Arial"/>
          <w:sz w:val="24"/>
          <w:szCs w:val="24"/>
        </w:rPr>
        <w:t>(</w:t>
      </w:r>
      <w:r w:rsidR="00016E69" w:rsidRPr="00FC1CD6">
        <w:rPr>
          <w:rFonts w:ascii="Arial" w:eastAsia="Calibri" w:hAnsi="Arial" w:cs="Arial"/>
          <w:sz w:val="24"/>
          <w:szCs w:val="24"/>
        </w:rPr>
        <w:t>Syn</w:t>
      </w:r>
      <w:r w:rsidR="0050313C" w:rsidRPr="00FC1CD6">
        <w:rPr>
          <w:rFonts w:ascii="Arial" w:eastAsia="Calibri" w:hAnsi="Arial" w:cs="Arial"/>
          <w:sz w:val="24"/>
          <w:szCs w:val="24"/>
        </w:rPr>
        <w:t>ergy</w:t>
      </w:r>
      <w:r w:rsidR="00016E69" w:rsidRPr="00FC1CD6">
        <w:rPr>
          <w:rFonts w:ascii="Arial" w:eastAsia="Calibri" w:hAnsi="Arial" w:cs="Arial"/>
          <w:sz w:val="24"/>
          <w:szCs w:val="24"/>
        </w:rPr>
        <w:t xml:space="preserve"> North</w:t>
      </w:r>
      <w:r w:rsidR="0050313C" w:rsidRPr="00FC1CD6">
        <w:rPr>
          <w:rFonts w:ascii="Arial" w:eastAsia="Calibri" w:hAnsi="Arial" w:cs="Arial"/>
          <w:sz w:val="24"/>
          <w:szCs w:val="24"/>
        </w:rPr>
        <w:t xml:space="preserve">) </w:t>
      </w:r>
      <w:r w:rsidRPr="00FC1CD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FC1CD6">
        <w:rPr>
          <w:rFonts w:ascii="Arial" w:eastAsia="Calibri" w:hAnsi="Arial" w:cs="Arial"/>
          <w:i/>
          <w:iCs/>
          <w:sz w:val="24"/>
          <w:szCs w:val="24"/>
        </w:rPr>
        <w:t>Freedom of Information and Protection of Privacy Act</w:t>
      </w:r>
      <w:r w:rsidRPr="00FC1CD6">
        <w:rPr>
          <w:rFonts w:ascii="Arial" w:eastAsia="Calibri" w:hAnsi="Arial" w:cs="Arial"/>
          <w:sz w:val="24"/>
          <w:szCs w:val="24"/>
        </w:rPr>
        <w:t xml:space="preserve"> unless filed in accordance with rule 9A of the OEB’s </w:t>
      </w:r>
      <w:r w:rsidRPr="00FC1CD6">
        <w:rPr>
          <w:rFonts w:ascii="Arial" w:eastAsia="Calibri" w:hAnsi="Arial" w:cs="Arial"/>
          <w:i/>
          <w:iCs/>
          <w:sz w:val="24"/>
          <w:szCs w:val="24"/>
        </w:rPr>
        <w:t>Rules of Practice and Procedure</w:t>
      </w:r>
      <w:r w:rsidRPr="00FC1CD6">
        <w:rPr>
          <w:rFonts w:ascii="Arial" w:eastAsia="Calibri" w:hAnsi="Arial" w:cs="Arial"/>
          <w:sz w:val="24"/>
          <w:szCs w:val="24"/>
        </w:rPr>
        <w:t>.</w:t>
      </w:r>
    </w:p>
    <w:bookmarkEnd w:id="0"/>
    <w:p w14:paraId="241176CC" w14:textId="77777777" w:rsidR="009F5AB8" w:rsidRPr="00FC1CD6" w:rsidRDefault="009F5AB8" w:rsidP="0053039B">
      <w:pPr>
        <w:rPr>
          <w:rFonts w:ascii="Arial" w:hAnsi="Arial" w:cs="Arial"/>
          <w:sz w:val="24"/>
          <w:szCs w:val="24"/>
        </w:rPr>
      </w:pPr>
    </w:p>
    <w:p w14:paraId="0DC647EF" w14:textId="5DBD3AE0" w:rsidR="001E45C3" w:rsidRDefault="00421F68" w:rsidP="001E45C3">
      <w:pPr>
        <w:rPr>
          <w:rFonts w:ascii="Arial" w:hAnsi="Arial" w:cs="Arial"/>
          <w:b/>
          <w:bCs/>
          <w:sz w:val="24"/>
          <w:szCs w:val="24"/>
        </w:rPr>
      </w:pPr>
      <w:r>
        <w:rPr>
          <w:rFonts w:ascii="Arial" w:hAnsi="Arial" w:cs="Arial"/>
          <w:b/>
          <w:bCs/>
          <w:sz w:val="24"/>
          <w:szCs w:val="24"/>
        </w:rPr>
        <w:t>3</w:t>
      </w:r>
      <w:r w:rsidR="001E45C3" w:rsidRPr="00B144CB">
        <w:rPr>
          <w:rFonts w:ascii="Arial" w:hAnsi="Arial" w:cs="Arial"/>
          <w:b/>
          <w:bCs/>
          <w:sz w:val="24"/>
          <w:szCs w:val="24"/>
        </w:rPr>
        <w:t xml:space="preserve">-Staff-1  </w:t>
      </w:r>
    </w:p>
    <w:p w14:paraId="5E3523F6" w14:textId="77777777" w:rsidR="00977163" w:rsidRDefault="00977163" w:rsidP="00977163">
      <w:pPr>
        <w:spacing w:after="0"/>
        <w:ind w:left="360" w:hanging="360"/>
        <w:rPr>
          <w:rFonts w:ascii="Arial" w:hAnsi="Arial" w:cs="Arial"/>
          <w:b/>
          <w:bCs/>
          <w:sz w:val="24"/>
          <w:szCs w:val="24"/>
        </w:rPr>
      </w:pPr>
      <w:r w:rsidRPr="00D718C9">
        <w:rPr>
          <w:rFonts w:ascii="Arial" w:hAnsi="Arial" w:cs="Arial"/>
          <w:b/>
          <w:bCs/>
          <w:sz w:val="24"/>
          <w:szCs w:val="24"/>
        </w:rPr>
        <w:t>Ref 1: 2025 IRM Application_20241030, EB-2024-0055, Section 3.2.6 Review and</w:t>
      </w:r>
    </w:p>
    <w:p w14:paraId="37B1880F" w14:textId="77777777" w:rsidR="00977163" w:rsidRPr="00D718C9" w:rsidRDefault="00977163" w:rsidP="00977163">
      <w:pPr>
        <w:spacing w:after="0"/>
        <w:ind w:left="360" w:firstLine="360"/>
        <w:rPr>
          <w:rFonts w:ascii="Arial" w:hAnsi="Arial" w:cs="Arial"/>
          <w:b/>
          <w:bCs/>
          <w:sz w:val="24"/>
          <w:szCs w:val="24"/>
        </w:rPr>
      </w:pPr>
      <w:r w:rsidRPr="00D718C9">
        <w:rPr>
          <w:rFonts w:ascii="Arial" w:hAnsi="Arial" w:cs="Arial"/>
          <w:b/>
          <w:bCs/>
          <w:sz w:val="24"/>
          <w:szCs w:val="24"/>
        </w:rPr>
        <w:t>Disposition of Group 1 Deferral and Variance Account balance, Page 15</w:t>
      </w:r>
    </w:p>
    <w:p w14:paraId="30BD6C4F" w14:textId="77777777" w:rsidR="00977163" w:rsidRPr="00D718C9" w:rsidRDefault="00977163" w:rsidP="00977163">
      <w:pPr>
        <w:spacing w:after="0"/>
        <w:ind w:left="360" w:hanging="360"/>
        <w:rPr>
          <w:rFonts w:ascii="Arial" w:hAnsi="Arial" w:cs="Arial"/>
          <w:b/>
          <w:bCs/>
          <w:sz w:val="24"/>
          <w:szCs w:val="24"/>
        </w:rPr>
      </w:pPr>
      <w:r w:rsidRPr="00D718C9">
        <w:rPr>
          <w:rFonts w:ascii="Arial" w:hAnsi="Arial" w:cs="Arial"/>
          <w:b/>
          <w:bCs/>
          <w:sz w:val="24"/>
          <w:szCs w:val="24"/>
        </w:rPr>
        <w:t>Ref 2: TB DVA Continuity</w:t>
      </w:r>
      <w:r>
        <w:rPr>
          <w:rFonts w:ascii="Arial" w:hAnsi="Arial" w:cs="Arial"/>
          <w:b/>
          <w:bCs/>
          <w:sz w:val="24"/>
          <w:szCs w:val="24"/>
        </w:rPr>
        <w:t xml:space="preserve"> schedule</w:t>
      </w:r>
      <w:r w:rsidRPr="00D718C9">
        <w:rPr>
          <w:rFonts w:ascii="Arial" w:hAnsi="Arial" w:cs="Arial"/>
          <w:b/>
          <w:bCs/>
          <w:sz w:val="24"/>
          <w:szCs w:val="24"/>
        </w:rPr>
        <w:t>_20250124, Tab 3</w:t>
      </w:r>
    </w:p>
    <w:p w14:paraId="6DF0E9C3" w14:textId="77777777" w:rsidR="00977163" w:rsidRPr="00D718C9" w:rsidRDefault="00977163" w:rsidP="00977163">
      <w:pPr>
        <w:spacing w:after="0"/>
        <w:ind w:left="360" w:hanging="360"/>
        <w:rPr>
          <w:rFonts w:ascii="Arial" w:hAnsi="Arial" w:cs="Arial"/>
          <w:b/>
          <w:bCs/>
          <w:sz w:val="24"/>
          <w:szCs w:val="24"/>
        </w:rPr>
      </w:pPr>
      <w:r w:rsidRPr="00D718C9">
        <w:rPr>
          <w:rFonts w:ascii="Arial" w:hAnsi="Arial" w:cs="Arial"/>
          <w:b/>
          <w:bCs/>
          <w:sz w:val="24"/>
          <w:szCs w:val="24"/>
        </w:rPr>
        <w:t>Ref 3: KN DVA Continuity</w:t>
      </w:r>
      <w:r>
        <w:rPr>
          <w:rFonts w:ascii="Arial" w:hAnsi="Arial" w:cs="Arial"/>
          <w:b/>
          <w:bCs/>
          <w:sz w:val="24"/>
          <w:szCs w:val="24"/>
        </w:rPr>
        <w:t xml:space="preserve"> schedule</w:t>
      </w:r>
      <w:r w:rsidRPr="00D718C9">
        <w:rPr>
          <w:rFonts w:ascii="Arial" w:hAnsi="Arial" w:cs="Arial"/>
          <w:b/>
          <w:bCs/>
          <w:sz w:val="24"/>
          <w:szCs w:val="24"/>
        </w:rPr>
        <w:t>_20250124, Tab 3</w:t>
      </w:r>
    </w:p>
    <w:p w14:paraId="4E44E097" w14:textId="77777777" w:rsidR="00977163" w:rsidRPr="00D718C9" w:rsidRDefault="00977163" w:rsidP="00977163">
      <w:pPr>
        <w:spacing w:after="0"/>
        <w:ind w:left="720" w:hanging="360"/>
        <w:rPr>
          <w:rFonts w:ascii="Arial" w:hAnsi="Arial" w:cs="Arial"/>
          <w:sz w:val="24"/>
          <w:szCs w:val="24"/>
        </w:rPr>
      </w:pPr>
    </w:p>
    <w:p w14:paraId="4368D959" w14:textId="77777777" w:rsidR="00977163" w:rsidRDefault="00977163" w:rsidP="00977163">
      <w:pPr>
        <w:spacing w:after="0"/>
        <w:ind w:left="360" w:hanging="360"/>
        <w:rPr>
          <w:rFonts w:ascii="Arial" w:hAnsi="Arial" w:cs="Arial"/>
          <w:sz w:val="24"/>
          <w:szCs w:val="24"/>
        </w:rPr>
      </w:pPr>
      <w:r w:rsidRPr="00D718C9">
        <w:rPr>
          <w:rFonts w:ascii="Arial" w:hAnsi="Arial" w:cs="Arial"/>
          <w:sz w:val="24"/>
          <w:szCs w:val="24"/>
        </w:rPr>
        <w:t xml:space="preserve">Per Ref 1, </w:t>
      </w:r>
      <w:r>
        <w:rPr>
          <w:rFonts w:ascii="Arial" w:hAnsi="Arial" w:cs="Arial"/>
          <w:sz w:val="24"/>
          <w:szCs w:val="24"/>
        </w:rPr>
        <w:t>Synergy North states that</w:t>
      </w:r>
      <w:r w:rsidRPr="00D718C9">
        <w:rPr>
          <w:rFonts w:ascii="Arial" w:hAnsi="Arial" w:cs="Arial"/>
          <w:sz w:val="24"/>
          <w:szCs w:val="24"/>
        </w:rPr>
        <w:t xml:space="preserve"> both Kenora and Thunder Bay, Tab 3.</w:t>
      </w:r>
      <w:r>
        <w:rPr>
          <w:rFonts w:ascii="Arial" w:hAnsi="Arial" w:cs="Arial"/>
          <w:sz w:val="24"/>
          <w:szCs w:val="24"/>
        </w:rPr>
        <w:t xml:space="preserve"> C</w:t>
      </w:r>
      <w:r w:rsidRPr="00D718C9">
        <w:rPr>
          <w:rFonts w:ascii="Arial" w:hAnsi="Arial" w:cs="Arial"/>
          <w:sz w:val="24"/>
          <w:szCs w:val="24"/>
        </w:rPr>
        <w:t xml:space="preserve">ontinuity, </w:t>
      </w:r>
    </w:p>
    <w:p w14:paraId="2866F2AA" w14:textId="77777777" w:rsidR="00977163" w:rsidRDefault="00977163" w:rsidP="00977163">
      <w:pPr>
        <w:spacing w:after="0"/>
        <w:ind w:left="360" w:hanging="360"/>
        <w:rPr>
          <w:rFonts w:ascii="Arial" w:hAnsi="Arial" w:cs="Arial"/>
          <w:sz w:val="24"/>
          <w:szCs w:val="24"/>
        </w:rPr>
      </w:pPr>
      <w:r>
        <w:rPr>
          <w:rFonts w:ascii="Arial" w:hAnsi="Arial" w:cs="Arial"/>
          <w:sz w:val="24"/>
          <w:szCs w:val="24"/>
        </w:rPr>
        <w:t>t</w:t>
      </w:r>
      <w:r w:rsidRPr="00D718C9">
        <w:rPr>
          <w:rFonts w:ascii="Arial" w:hAnsi="Arial" w:cs="Arial"/>
          <w:sz w:val="24"/>
          <w:szCs w:val="24"/>
        </w:rPr>
        <w:t>he presentation of Group 1 balances by Zone plus the addition of January through April</w:t>
      </w:r>
    </w:p>
    <w:p w14:paraId="10783A9A" w14:textId="77777777" w:rsidR="00977163" w:rsidRDefault="00977163" w:rsidP="00977163">
      <w:pPr>
        <w:spacing w:after="0"/>
        <w:ind w:left="360" w:hanging="360"/>
        <w:rPr>
          <w:rFonts w:ascii="Arial" w:hAnsi="Arial" w:cs="Arial"/>
          <w:sz w:val="24"/>
          <w:szCs w:val="24"/>
        </w:rPr>
      </w:pPr>
      <w:r>
        <w:rPr>
          <w:rFonts w:ascii="Arial" w:hAnsi="Arial" w:cs="Arial"/>
          <w:sz w:val="24"/>
          <w:szCs w:val="24"/>
        </w:rPr>
        <w:t>2</w:t>
      </w:r>
      <w:r w:rsidRPr="00D718C9">
        <w:rPr>
          <w:rFonts w:ascii="Arial" w:hAnsi="Arial" w:cs="Arial"/>
          <w:sz w:val="24"/>
          <w:szCs w:val="24"/>
        </w:rPr>
        <w:t>024 activity, created variances in each account when compared to the 2023 RRR</w:t>
      </w:r>
      <w:r>
        <w:rPr>
          <w:rFonts w:ascii="Arial" w:hAnsi="Arial" w:cs="Arial"/>
          <w:sz w:val="24"/>
          <w:szCs w:val="24"/>
        </w:rPr>
        <w:t xml:space="preserve"> </w:t>
      </w:r>
    </w:p>
    <w:p w14:paraId="6F6CED6D" w14:textId="77777777" w:rsidR="00977163" w:rsidRDefault="00977163" w:rsidP="00977163">
      <w:pPr>
        <w:spacing w:after="0"/>
        <w:ind w:left="360" w:hanging="360"/>
        <w:rPr>
          <w:rFonts w:ascii="Arial" w:hAnsi="Arial" w:cs="Arial"/>
          <w:sz w:val="24"/>
          <w:szCs w:val="24"/>
        </w:rPr>
      </w:pPr>
      <w:r>
        <w:rPr>
          <w:rFonts w:ascii="Arial" w:hAnsi="Arial" w:cs="Arial"/>
          <w:sz w:val="24"/>
          <w:szCs w:val="24"/>
        </w:rPr>
        <w:t>b</w:t>
      </w:r>
      <w:r w:rsidRPr="00D718C9">
        <w:rPr>
          <w:rFonts w:ascii="Arial" w:hAnsi="Arial" w:cs="Arial"/>
          <w:sz w:val="24"/>
          <w:szCs w:val="24"/>
        </w:rPr>
        <w:t>alances.</w:t>
      </w:r>
    </w:p>
    <w:p w14:paraId="40DD5360" w14:textId="77777777" w:rsidR="00977163" w:rsidRDefault="00977163" w:rsidP="00977163">
      <w:pPr>
        <w:spacing w:after="0"/>
        <w:ind w:left="360" w:hanging="360"/>
        <w:rPr>
          <w:rFonts w:ascii="Arial" w:hAnsi="Arial" w:cs="Arial"/>
          <w:sz w:val="24"/>
          <w:szCs w:val="24"/>
        </w:rPr>
      </w:pPr>
    </w:p>
    <w:p w14:paraId="05D46F8E" w14:textId="77777777" w:rsidR="00977163" w:rsidRDefault="00977163" w:rsidP="00977163">
      <w:pPr>
        <w:spacing w:after="0"/>
        <w:ind w:left="360" w:hanging="360"/>
        <w:rPr>
          <w:rFonts w:ascii="Arial" w:hAnsi="Arial" w:cs="Arial"/>
          <w:sz w:val="24"/>
          <w:szCs w:val="24"/>
        </w:rPr>
      </w:pPr>
      <w:r>
        <w:rPr>
          <w:rFonts w:ascii="Arial" w:hAnsi="Arial" w:cs="Arial"/>
          <w:sz w:val="24"/>
          <w:szCs w:val="24"/>
        </w:rPr>
        <w:lastRenderedPageBreak/>
        <w:t>Per Ref 2 &amp; 3, OEB staff has compiled the following table comparing the expected 2023</w:t>
      </w:r>
    </w:p>
    <w:p w14:paraId="41C860B8" w14:textId="77777777" w:rsidR="00977163" w:rsidRDefault="00977163" w:rsidP="00977163">
      <w:pPr>
        <w:spacing w:after="0"/>
        <w:ind w:left="360" w:hanging="360"/>
        <w:rPr>
          <w:rFonts w:ascii="Arial" w:hAnsi="Arial" w:cs="Arial"/>
          <w:sz w:val="24"/>
          <w:szCs w:val="24"/>
        </w:rPr>
      </w:pPr>
      <w:r>
        <w:rPr>
          <w:rFonts w:ascii="Arial" w:hAnsi="Arial" w:cs="Arial"/>
          <w:sz w:val="24"/>
          <w:szCs w:val="24"/>
        </w:rPr>
        <w:t>RRR balances on a combined rate zone basis, using the two DVA continuity schedules</w:t>
      </w:r>
    </w:p>
    <w:p w14:paraId="3F334D48" w14:textId="77777777" w:rsidR="00977163" w:rsidRDefault="00977163" w:rsidP="00977163">
      <w:pPr>
        <w:spacing w:after="0"/>
        <w:ind w:left="360" w:hanging="360"/>
        <w:rPr>
          <w:rFonts w:ascii="Arial" w:hAnsi="Arial" w:cs="Arial"/>
          <w:sz w:val="24"/>
          <w:szCs w:val="24"/>
        </w:rPr>
      </w:pPr>
      <w:r>
        <w:rPr>
          <w:rFonts w:ascii="Arial" w:hAnsi="Arial" w:cs="Arial"/>
          <w:sz w:val="24"/>
          <w:szCs w:val="24"/>
        </w:rPr>
        <w:t>filed and the actual reported 2023 RRR balances for all Group 1 DVAs:</w:t>
      </w:r>
    </w:p>
    <w:p w14:paraId="5C0BE76F" w14:textId="77777777" w:rsidR="00C00C03" w:rsidRDefault="00C00C03" w:rsidP="00C00C03">
      <w:pPr>
        <w:rPr>
          <w:rFonts w:ascii="Arial" w:hAnsi="Arial" w:cs="Arial"/>
          <w:b/>
          <w:bCs/>
          <w:sz w:val="24"/>
          <w:szCs w:val="24"/>
        </w:rPr>
      </w:pPr>
    </w:p>
    <w:tbl>
      <w:tblPr>
        <w:tblStyle w:val="TableGrid"/>
        <w:tblW w:w="9715" w:type="dxa"/>
        <w:jc w:val="center"/>
        <w:tblLayout w:type="fixed"/>
        <w:tblLook w:val="04A0" w:firstRow="1" w:lastRow="0" w:firstColumn="1" w:lastColumn="0" w:noHBand="0" w:noVBand="1"/>
      </w:tblPr>
      <w:tblGrid>
        <w:gridCol w:w="1435"/>
        <w:gridCol w:w="2430"/>
        <w:gridCol w:w="2250"/>
        <w:gridCol w:w="1260"/>
        <w:gridCol w:w="1260"/>
        <w:gridCol w:w="1080"/>
      </w:tblGrid>
      <w:tr w:rsidR="00386FF5" w14:paraId="2D3AC0FB" w14:textId="77777777" w:rsidTr="00C35DF3">
        <w:trPr>
          <w:jc w:val="center"/>
        </w:trPr>
        <w:tc>
          <w:tcPr>
            <w:tcW w:w="1435" w:type="dxa"/>
          </w:tcPr>
          <w:p w14:paraId="68867584" w14:textId="77777777" w:rsidR="00386FF5" w:rsidRPr="00134A29" w:rsidRDefault="00386FF5" w:rsidP="00C35DF3">
            <w:pPr>
              <w:rPr>
                <w:rFonts w:ascii="Arial" w:hAnsi="Arial" w:cs="Arial"/>
                <w:sz w:val="20"/>
                <w:szCs w:val="20"/>
              </w:rPr>
            </w:pPr>
            <w:r w:rsidRPr="00134A29">
              <w:rPr>
                <w:rFonts w:ascii="Arial" w:hAnsi="Arial" w:cs="Arial"/>
                <w:b/>
                <w:bCs/>
                <w:sz w:val="20"/>
                <w:szCs w:val="20"/>
              </w:rPr>
              <w:t>Kenora + Thunder Bay</w:t>
            </w:r>
          </w:p>
        </w:tc>
        <w:tc>
          <w:tcPr>
            <w:tcW w:w="2430" w:type="dxa"/>
          </w:tcPr>
          <w:p w14:paraId="095749D5" w14:textId="77777777" w:rsidR="00386FF5" w:rsidRPr="00134A29" w:rsidRDefault="00386FF5" w:rsidP="00C35DF3">
            <w:pPr>
              <w:rPr>
                <w:rFonts w:ascii="Arial" w:hAnsi="Arial" w:cs="Arial"/>
                <w:b/>
                <w:bCs/>
                <w:sz w:val="20"/>
                <w:szCs w:val="20"/>
              </w:rPr>
            </w:pPr>
            <w:r w:rsidRPr="00FF63BF">
              <w:rPr>
                <w:rFonts w:ascii="Arial" w:hAnsi="Arial" w:cs="Arial"/>
                <w:b/>
                <w:bCs/>
                <w:sz w:val="20"/>
                <w:szCs w:val="20"/>
              </w:rPr>
              <w:t>TB rate zone 2023 closing Principal + 2023 Interest and backing out Jan to Apil 2024 PA</w:t>
            </w:r>
          </w:p>
        </w:tc>
        <w:tc>
          <w:tcPr>
            <w:tcW w:w="2250" w:type="dxa"/>
          </w:tcPr>
          <w:p w14:paraId="74B83409" w14:textId="77777777" w:rsidR="00386FF5" w:rsidRPr="00134A29" w:rsidRDefault="00386FF5" w:rsidP="00C35DF3">
            <w:pPr>
              <w:rPr>
                <w:rFonts w:ascii="Arial" w:hAnsi="Arial" w:cs="Arial"/>
                <w:b/>
                <w:bCs/>
                <w:sz w:val="20"/>
                <w:szCs w:val="20"/>
              </w:rPr>
            </w:pPr>
            <w:r w:rsidRPr="00FF63BF">
              <w:rPr>
                <w:rFonts w:ascii="Arial" w:hAnsi="Arial" w:cs="Arial"/>
                <w:b/>
                <w:bCs/>
                <w:sz w:val="20"/>
                <w:szCs w:val="20"/>
              </w:rPr>
              <w:t>KN rate zone 2023 closing Principal + 2023 Interest backing out Jan to Apil 2024 PA</w:t>
            </w:r>
          </w:p>
        </w:tc>
        <w:tc>
          <w:tcPr>
            <w:tcW w:w="1260" w:type="dxa"/>
          </w:tcPr>
          <w:p w14:paraId="59B13E4B" w14:textId="77777777" w:rsidR="00386FF5" w:rsidRPr="00134A29" w:rsidRDefault="00386FF5" w:rsidP="00C35DF3">
            <w:pPr>
              <w:rPr>
                <w:rFonts w:ascii="Arial" w:hAnsi="Arial" w:cs="Arial"/>
                <w:b/>
                <w:bCs/>
                <w:sz w:val="20"/>
                <w:szCs w:val="20"/>
              </w:rPr>
            </w:pPr>
            <w:r w:rsidRPr="00744184">
              <w:rPr>
                <w:rFonts w:ascii="Arial" w:hAnsi="Arial" w:cs="Arial"/>
                <w:b/>
                <w:bCs/>
                <w:sz w:val="20"/>
                <w:szCs w:val="20"/>
              </w:rPr>
              <w:t>2023 Combined balances for Both rate zones that should be reported in RRR</w:t>
            </w:r>
          </w:p>
        </w:tc>
        <w:tc>
          <w:tcPr>
            <w:tcW w:w="1260" w:type="dxa"/>
          </w:tcPr>
          <w:p w14:paraId="7FAFBB5A" w14:textId="77777777" w:rsidR="00386FF5" w:rsidRDefault="00386FF5" w:rsidP="00C35DF3">
            <w:pPr>
              <w:jc w:val="center"/>
              <w:rPr>
                <w:rFonts w:ascii="Arial" w:hAnsi="Arial" w:cs="Arial"/>
                <w:b/>
                <w:bCs/>
                <w:sz w:val="20"/>
                <w:szCs w:val="20"/>
              </w:rPr>
            </w:pPr>
            <w:r>
              <w:rPr>
                <w:rFonts w:ascii="Arial" w:hAnsi="Arial" w:cs="Arial"/>
                <w:b/>
                <w:bCs/>
                <w:sz w:val="20"/>
                <w:szCs w:val="20"/>
              </w:rPr>
              <w:t>2.1.7</w:t>
            </w:r>
          </w:p>
          <w:p w14:paraId="13B3726B" w14:textId="77777777" w:rsidR="00386FF5" w:rsidRDefault="00386FF5" w:rsidP="00C35DF3">
            <w:pPr>
              <w:jc w:val="center"/>
              <w:rPr>
                <w:rFonts w:ascii="Arial" w:hAnsi="Arial" w:cs="Arial"/>
                <w:b/>
                <w:bCs/>
                <w:sz w:val="20"/>
                <w:szCs w:val="20"/>
              </w:rPr>
            </w:pPr>
            <w:r>
              <w:rPr>
                <w:rFonts w:ascii="Arial" w:hAnsi="Arial" w:cs="Arial"/>
                <w:b/>
                <w:bCs/>
                <w:sz w:val="20"/>
                <w:szCs w:val="20"/>
              </w:rPr>
              <w:t>SNC RRR</w:t>
            </w:r>
          </w:p>
          <w:p w14:paraId="66393D1F" w14:textId="77777777" w:rsidR="00386FF5" w:rsidRPr="00134A29" w:rsidRDefault="00386FF5" w:rsidP="00C35DF3">
            <w:pPr>
              <w:jc w:val="center"/>
              <w:rPr>
                <w:rFonts w:ascii="Arial" w:hAnsi="Arial" w:cs="Arial"/>
                <w:b/>
                <w:bCs/>
                <w:sz w:val="20"/>
                <w:szCs w:val="20"/>
              </w:rPr>
            </w:pPr>
            <w:r>
              <w:rPr>
                <w:rFonts w:ascii="Arial" w:hAnsi="Arial" w:cs="Arial"/>
                <w:b/>
                <w:bCs/>
                <w:sz w:val="20"/>
                <w:szCs w:val="20"/>
              </w:rPr>
              <w:t>As of Dec 31, 2023</w:t>
            </w:r>
          </w:p>
        </w:tc>
        <w:tc>
          <w:tcPr>
            <w:tcW w:w="1080" w:type="dxa"/>
          </w:tcPr>
          <w:p w14:paraId="3CEACEB0" w14:textId="77777777" w:rsidR="00386FF5" w:rsidRDefault="00386FF5" w:rsidP="00C35DF3">
            <w:pPr>
              <w:jc w:val="center"/>
              <w:rPr>
                <w:rFonts w:ascii="Arial" w:hAnsi="Arial" w:cs="Arial"/>
                <w:b/>
                <w:bCs/>
                <w:sz w:val="20"/>
                <w:szCs w:val="20"/>
              </w:rPr>
            </w:pPr>
          </w:p>
          <w:p w14:paraId="17081C84" w14:textId="77777777" w:rsidR="00386FF5" w:rsidRDefault="00386FF5" w:rsidP="00C35DF3">
            <w:pPr>
              <w:jc w:val="center"/>
              <w:rPr>
                <w:rFonts w:ascii="Arial" w:hAnsi="Arial" w:cs="Arial"/>
                <w:b/>
                <w:bCs/>
                <w:sz w:val="20"/>
                <w:szCs w:val="20"/>
              </w:rPr>
            </w:pPr>
            <w:r>
              <w:rPr>
                <w:rFonts w:ascii="Arial" w:hAnsi="Arial" w:cs="Arial"/>
                <w:b/>
                <w:bCs/>
                <w:sz w:val="20"/>
                <w:szCs w:val="20"/>
              </w:rPr>
              <w:t>Variance</w:t>
            </w:r>
          </w:p>
        </w:tc>
      </w:tr>
      <w:tr w:rsidR="00386FF5" w14:paraId="7A4F1226" w14:textId="77777777" w:rsidTr="00C35DF3">
        <w:trPr>
          <w:jc w:val="center"/>
        </w:trPr>
        <w:tc>
          <w:tcPr>
            <w:tcW w:w="1435" w:type="dxa"/>
          </w:tcPr>
          <w:p w14:paraId="420A2C88" w14:textId="77777777" w:rsidR="00386FF5" w:rsidRPr="00134A29" w:rsidRDefault="00386FF5" w:rsidP="00C35DF3">
            <w:pPr>
              <w:rPr>
                <w:rFonts w:ascii="Arial" w:hAnsi="Arial" w:cs="Arial"/>
                <w:sz w:val="20"/>
                <w:szCs w:val="20"/>
              </w:rPr>
            </w:pPr>
          </w:p>
        </w:tc>
        <w:tc>
          <w:tcPr>
            <w:tcW w:w="2430" w:type="dxa"/>
          </w:tcPr>
          <w:p w14:paraId="1B5B44F6" w14:textId="77777777" w:rsidR="00386FF5" w:rsidRPr="00134A29" w:rsidRDefault="00386FF5" w:rsidP="00C35DF3">
            <w:pPr>
              <w:jc w:val="center"/>
              <w:rPr>
                <w:rFonts w:ascii="Arial" w:hAnsi="Arial" w:cs="Arial"/>
                <w:b/>
                <w:bCs/>
                <w:sz w:val="20"/>
                <w:szCs w:val="20"/>
              </w:rPr>
            </w:pPr>
            <w:r w:rsidRPr="00134A29">
              <w:rPr>
                <w:rFonts w:ascii="Arial" w:hAnsi="Arial" w:cs="Arial"/>
                <w:b/>
                <w:bCs/>
                <w:sz w:val="20"/>
                <w:szCs w:val="20"/>
              </w:rPr>
              <w:t>A</w:t>
            </w:r>
          </w:p>
        </w:tc>
        <w:tc>
          <w:tcPr>
            <w:tcW w:w="2250" w:type="dxa"/>
          </w:tcPr>
          <w:p w14:paraId="177145E5" w14:textId="77777777" w:rsidR="00386FF5" w:rsidRPr="00134A29" w:rsidRDefault="00386FF5" w:rsidP="00C35DF3">
            <w:pPr>
              <w:jc w:val="center"/>
              <w:rPr>
                <w:rFonts w:ascii="Arial" w:hAnsi="Arial" w:cs="Arial"/>
                <w:b/>
                <w:bCs/>
                <w:sz w:val="20"/>
                <w:szCs w:val="20"/>
              </w:rPr>
            </w:pPr>
            <w:r w:rsidRPr="00134A29">
              <w:rPr>
                <w:rFonts w:ascii="Arial" w:hAnsi="Arial" w:cs="Arial"/>
                <w:b/>
                <w:bCs/>
                <w:sz w:val="20"/>
                <w:szCs w:val="20"/>
              </w:rPr>
              <w:t>B</w:t>
            </w:r>
          </w:p>
        </w:tc>
        <w:tc>
          <w:tcPr>
            <w:tcW w:w="1260" w:type="dxa"/>
          </w:tcPr>
          <w:p w14:paraId="6F932254" w14:textId="77777777" w:rsidR="00386FF5" w:rsidRPr="00134A29" w:rsidRDefault="00386FF5" w:rsidP="00C35DF3">
            <w:pPr>
              <w:jc w:val="center"/>
              <w:rPr>
                <w:rFonts w:ascii="Arial" w:hAnsi="Arial" w:cs="Arial"/>
                <w:b/>
                <w:bCs/>
                <w:sz w:val="20"/>
                <w:szCs w:val="20"/>
              </w:rPr>
            </w:pPr>
            <w:r w:rsidRPr="00134A29">
              <w:rPr>
                <w:rFonts w:ascii="Arial" w:hAnsi="Arial" w:cs="Arial"/>
                <w:b/>
                <w:bCs/>
                <w:sz w:val="20"/>
                <w:szCs w:val="20"/>
              </w:rPr>
              <w:t>C=A+</w:t>
            </w:r>
            <w:r>
              <w:rPr>
                <w:rFonts w:ascii="Arial" w:hAnsi="Arial" w:cs="Arial"/>
                <w:b/>
                <w:bCs/>
                <w:sz w:val="20"/>
                <w:szCs w:val="20"/>
              </w:rPr>
              <w:t>B</w:t>
            </w:r>
          </w:p>
        </w:tc>
        <w:tc>
          <w:tcPr>
            <w:tcW w:w="1260" w:type="dxa"/>
          </w:tcPr>
          <w:p w14:paraId="7A98DCEF" w14:textId="77777777" w:rsidR="00386FF5" w:rsidRPr="00134A29" w:rsidRDefault="00386FF5" w:rsidP="00C35DF3">
            <w:pPr>
              <w:jc w:val="center"/>
              <w:rPr>
                <w:rFonts w:ascii="Arial" w:hAnsi="Arial" w:cs="Arial"/>
                <w:b/>
                <w:bCs/>
                <w:sz w:val="20"/>
                <w:szCs w:val="20"/>
              </w:rPr>
            </w:pPr>
            <w:r>
              <w:rPr>
                <w:rFonts w:ascii="Arial" w:hAnsi="Arial" w:cs="Arial"/>
                <w:b/>
                <w:bCs/>
                <w:sz w:val="20"/>
                <w:szCs w:val="20"/>
              </w:rPr>
              <w:t>D</w:t>
            </w:r>
          </w:p>
        </w:tc>
        <w:tc>
          <w:tcPr>
            <w:tcW w:w="1080" w:type="dxa"/>
          </w:tcPr>
          <w:p w14:paraId="5560B6BB" w14:textId="77777777" w:rsidR="00386FF5" w:rsidRDefault="00386FF5" w:rsidP="00C35DF3">
            <w:pPr>
              <w:jc w:val="center"/>
              <w:rPr>
                <w:rFonts w:ascii="Arial" w:hAnsi="Arial" w:cs="Arial"/>
                <w:b/>
                <w:bCs/>
                <w:sz w:val="20"/>
                <w:szCs w:val="20"/>
              </w:rPr>
            </w:pPr>
            <w:r>
              <w:rPr>
                <w:rFonts w:ascii="Arial" w:hAnsi="Arial" w:cs="Arial"/>
                <w:b/>
                <w:bCs/>
                <w:sz w:val="20"/>
                <w:szCs w:val="20"/>
              </w:rPr>
              <w:t>E=C-D</w:t>
            </w:r>
          </w:p>
        </w:tc>
      </w:tr>
      <w:tr w:rsidR="00386FF5" w14:paraId="4F086983" w14:textId="77777777" w:rsidTr="00C35DF3">
        <w:trPr>
          <w:jc w:val="center"/>
        </w:trPr>
        <w:tc>
          <w:tcPr>
            <w:tcW w:w="1435" w:type="dxa"/>
          </w:tcPr>
          <w:p w14:paraId="4678436D" w14:textId="77777777" w:rsidR="00386FF5" w:rsidRPr="00134A29" w:rsidRDefault="00386FF5" w:rsidP="00C35DF3">
            <w:pPr>
              <w:rPr>
                <w:rFonts w:ascii="Arial" w:hAnsi="Arial" w:cs="Arial"/>
                <w:sz w:val="20"/>
                <w:szCs w:val="20"/>
              </w:rPr>
            </w:pPr>
            <w:r w:rsidRPr="00134A29">
              <w:rPr>
                <w:rFonts w:ascii="Arial" w:hAnsi="Arial" w:cs="Arial"/>
                <w:sz w:val="20"/>
                <w:szCs w:val="20"/>
              </w:rPr>
              <w:t>1551-Smart Metering Entity</w:t>
            </w:r>
          </w:p>
        </w:tc>
        <w:tc>
          <w:tcPr>
            <w:tcW w:w="2430" w:type="dxa"/>
          </w:tcPr>
          <w:p w14:paraId="0EBF7DC0" w14:textId="77777777" w:rsidR="00386FF5" w:rsidRPr="00134A29" w:rsidRDefault="00386FF5" w:rsidP="00C35DF3">
            <w:pPr>
              <w:jc w:val="center"/>
              <w:rPr>
                <w:rFonts w:ascii="Arial" w:hAnsi="Arial" w:cs="Arial"/>
                <w:b/>
                <w:bCs/>
                <w:color w:val="FF0000"/>
                <w:sz w:val="20"/>
                <w:szCs w:val="20"/>
              </w:rPr>
            </w:pPr>
            <w:r w:rsidRPr="00134A29">
              <w:rPr>
                <w:rFonts w:ascii="Arial" w:hAnsi="Arial" w:cs="Arial"/>
                <w:b/>
                <w:bCs/>
                <w:color w:val="FF0000"/>
                <w:sz w:val="20"/>
                <w:szCs w:val="20"/>
              </w:rPr>
              <w:t>($</w:t>
            </w:r>
            <w:r>
              <w:rPr>
                <w:rFonts w:ascii="Arial" w:hAnsi="Arial" w:cs="Arial"/>
                <w:b/>
                <w:bCs/>
                <w:color w:val="FF0000"/>
                <w:sz w:val="20"/>
                <w:szCs w:val="20"/>
              </w:rPr>
              <w:t>244,028</w:t>
            </w:r>
            <w:r w:rsidRPr="00134A29">
              <w:rPr>
                <w:rFonts w:ascii="Arial" w:hAnsi="Arial" w:cs="Arial"/>
                <w:b/>
                <w:bCs/>
                <w:color w:val="FF0000"/>
                <w:sz w:val="20"/>
                <w:szCs w:val="20"/>
              </w:rPr>
              <w:t>)</w:t>
            </w:r>
          </w:p>
          <w:p w14:paraId="6347D75C"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w:t>
            </w:r>
            <w:proofErr w:type="gramStart"/>
            <w:r>
              <w:rPr>
                <w:rFonts w:ascii="Arial" w:hAnsi="Arial" w:cs="Arial"/>
                <w:sz w:val="20"/>
                <w:szCs w:val="20"/>
              </w:rPr>
              <w:t>239,066)-</w:t>
            </w:r>
            <w:r w:rsidRPr="00134A29">
              <w:rPr>
                <w:rFonts w:ascii="Arial" w:hAnsi="Arial" w:cs="Arial"/>
                <w:sz w:val="20"/>
                <w:szCs w:val="20"/>
              </w:rPr>
              <w:t>(</w:t>
            </w:r>
            <w:proofErr w:type="gramEnd"/>
            <w:r w:rsidRPr="00134A29">
              <w:rPr>
                <w:rFonts w:ascii="Arial" w:hAnsi="Arial" w:cs="Arial"/>
                <w:sz w:val="20"/>
                <w:szCs w:val="20"/>
              </w:rPr>
              <w:t>5,640)</w:t>
            </w:r>
            <w:r>
              <w:rPr>
                <w:rFonts w:ascii="Arial" w:hAnsi="Arial" w:cs="Arial"/>
                <w:sz w:val="20"/>
                <w:szCs w:val="20"/>
              </w:rPr>
              <w:t>+(10,602)</w:t>
            </w:r>
          </w:p>
        </w:tc>
        <w:tc>
          <w:tcPr>
            <w:tcW w:w="2250" w:type="dxa"/>
          </w:tcPr>
          <w:p w14:paraId="561DCF7E" w14:textId="77777777" w:rsidR="00386FF5" w:rsidRPr="00134A29" w:rsidRDefault="00386FF5" w:rsidP="00C35DF3">
            <w:pPr>
              <w:jc w:val="center"/>
              <w:rPr>
                <w:rFonts w:ascii="Arial" w:hAnsi="Arial" w:cs="Arial"/>
                <w:b/>
                <w:bCs/>
                <w:color w:val="FF0000"/>
                <w:sz w:val="20"/>
                <w:szCs w:val="20"/>
              </w:rPr>
            </w:pPr>
            <w:r w:rsidRPr="00134A29">
              <w:rPr>
                <w:rFonts w:ascii="Arial" w:hAnsi="Arial" w:cs="Arial"/>
                <w:b/>
                <w:bCs/>
                <w:color w:val="FF0000"/>
                <w:sz w:val="20"/>
                <w:szCs w:val="20"/>
              </w:rPr>
              <w:t>($2</w:t>
            </w:r>
            <w:r>
              <w:rPr>
                <w:rFonts w:ascii="Arial" w:hAnsi="Arial" w:cs="Arial"/>
                <w:b/>
                <w:bCs/>
                <w:color w:val="FF0000"/>
                <w:sz w:val="20"/>
                <w:szCs w:val="20"/>
              </w:rPr>
              <w:t>5,902</w:t>
            </w:r>
            <w:r w:rsidRPr="00134A29">
              <w:rPr>
                <w:rFonts w:ascii="Arial" w:hAnsi="Arial" w:cs="Arial"/>
                <w:b/>
                <w:bCs/>
                <w:color w:val="FF0000"/>
                <w:sz w:val="20"/>
                <w:szCs w:val="20"/>
              </w:rPr>
              <w:t>)</w:t>
            </w:r>
          </w:p>
          <w:p w14:paraId="50AE0444"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(24,738)-106+(1,058)</w:t>
            </w:r>
          </w:p>
        </w:tc>
        <w:tc>
          <w:tcPr>
            <w:tcW w:w="1260" w:type="dxa"/>
          </w:tcPr>
          <w:p w14:paraId="3EE68955" w14:textId="77777777" w:rsidR="00386FF5" w:rsidRPr="00134A29" w:rsidRDefault="00386FF5" w:rsidP="00C35DF3">
            <w:pPr>
              <w:jc w:val="center"/>
              <w:rPr>
                <w:rFonts w:ascii="Arial" w:hAnsi="Arial" w:cs="Arial"/>
                <w:b/>
                <w:bCs/>
                <w:color w:val="FF0000"/>
                <w:sz w:val="20"/>
                <w:szCs w:val="20"/>
              </w:rPr>
            </w:pPr>
            <w:r>
              <w:rPr>
                <w:rFonts w:ascii="Arial" w:hAnsi="Arial" w:cs="Arial"/>
                <w:b/>
                <w:bCs/>
                <w:color w:val="FF0000"/>
                <w:sz w:val="20"/>
                <w:szCs w:val="20"/>
              </w:rPr>
              <w:t>($269,930)</w:t>
            </w:r>
          </w:p>
        </w:tc>
        <w:tc>
          <w:tcPr>
            <w:tcW w:w="1260" w:type="dxa"/>
          </w:tcPr>
          <w:p w14:paraId="2D2F598C" w14:textId="77777777" w:rsidR="00386FF5" w:rsidRPr="00134A29" w:rsidRDefault="00386FF5" w:rsidP="00C35DF3">
            <w:pPr>
              <w:jc w:val="center"/>
              <w:rPr>
                <w:rFonts w:ascii="Arial" w:hAnsi="Arial" w:cs="Arial"/>
                <w:b/>
                <w:bCs/>
                <w:color w:val="FF0000"/>
                <w:sz w:val="20"/>
                <w:szCs w:val="20"/>
              </w:rPr>
            </w:pPr>
            <w:r>
              <w:rPr>
                <w:rFonts w:ascii="Arial" w:hAnsi="Arial" w:cs="Arial"/>
                <w:b/>
                <w:bCs/>
                <w:color w:val="FF0000"/>
                <w:sz w:val="20"/>
                <w:szCs w:val="20"/>
              </w:rPr>
              <w:t>($269,930)</w:t>
            </w:r>
          </w:p>
        </w:tc>
        <w:tc>
          <w:tcPr>
            <w:tcW w:w="1080" w:type="dxa"/>
          </w:tcPr>
          <w:p w14:paraId="0C8B1745" w14:textId="77777777" w:rsidR="00386FF5" w:rsidRDefault="00386FF5" w:rsidP="00C35DF3">
            <w:pPr>
              <w:jc w:val="center"/>
              <w:rPr>
                <w:rFonts w:ascii="Arial" w:hAnsi="Arial" w:cs="Arial"/>
                <w:b/>
                <w:bCs/>
                <w:color w:val="FF0000"/>
                <w:sz w:val="20"/>
                <w:szCs w:val="20"/>
              </w:rPr>
            </w:pPr>
            <w:r w:rsidRPr="005C0EDB">
              <w:rPr>
                <w:rFonts w:ascii="Arial" w:hAnsi="Arial" w:cs="Arial"/>
                <w:b/>
                <w:bCs/>
                <w:color w:val="0000FF"/>
                <w:sz w:val="20"/>
                <w:szCs w:val="20"/>
              </w:rPr>
              <w:t>0</w:t>
            </w:r>
          </w:p>
        </w:tc>
      </w:tr>
      <w:tr w:rsidR="00386FF5" w14:paraId="1924E1BA" w14:textId="77777777" w:rsidTr="00C35DF3">
        <w:trPr>
          <w:jc w:val="center"/>
        </w:trPr>
        <w:tc>
          <w:tcPr>
            <w:tcW w:w="1435" w:type="dxa"/>
          </w:tcPr>
          <w:p w14:paraId="10C4B051" w14:textId="77777777" w:rsidR="00386FF5" w:rsidRPr="00134A29" w:rsidRDefault="00386FF5" w:rsidP="00C35DF3">
            <w:pPr>
              <w:rPr>
                <w:rFonts w:ascii="Arial" w:hAnsi="Arial" w:cs="Arial"/>
                <w:sz w:val="20"/>
                <w:szCs w:val="20"/>
              </w:rPr>
            </w:pPr>
            <w:r w:rsidRPr="00134A29">
              <w:rPr>
                <w:rFonts w:ascii="Arial" w:hAnsi="Arial" w:cs="Arial"/>
                <w:sz w:val="20"/>
                <w:szCs w:val="20"/>
              </w:rPr>
              <w:t>1580-RSVA WMS</w:t>
            </w:r>
          </w:p>
        </w:tc>
        <w:tc>
          <w:tcPr>
            <w:tcW w:w="2430" w:type="dxa"/>
          </w:tcPr>
          <w:p w14:paraId="64ACD237" w14:textId="77777777" w:rsidR="00386FF5" w:rsidRPr="00FF42A9" w:rsidRDefault="00386FF5" w:rsidP="00C35DF3">
            <w:pPr>
              <w:jc w:val="center"/>
              <w:rPr>
                <w:rFonts w:ascii="Arial" w:hAnsi="Arial" w:cs="Arial"/>
                <w:b/>
                <w:bCs/>
                <w:color w:val="0000FF"/>
                <w:sz w:val="20"/>
                <w:szCs w:val="20"/>
              </w:rPr>
            </w:pPr>
            <w:r w:rsidRPr="00FF42A9">
              <w:rPr>
                <w:rFonts w:ascii="Arial" w:hAnsi="Arial" w:cs="Arial"/>
                <w:b/>
                <w:bCs/>
                <w:color w:val="0000FF"/>
                <w:sz w:val="20"/>
                <w:szCs w:val="20"/>
              </w:rPr>
              <w:t>$</w:t>
            </w:r>
            <w:r>
              <w:rPr>
                <w:rFonts w:ascii="Arial" w:hAnsi="Arial" w:cs="Arial"/>
                <w:b/>
                <w:bCs/>
                <w:color w:val="0000FF"/>
                <w:sz w:val="20"/>
                <w:szCs w:val="20"/>
              </w:rPr>
              <w:t>810,761</w:t>
            </w:r>
          </w:p>
          <w:p w14:paraId="55096A10"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666,035-</w:t>
            </w:r>
            <w:r w:rsidRPr="00134A29">
              <w:rPr>
                <w:rFonts w:ascii="Arial" w:hAnsi="Arial" w:cs="Arial"/>
                <w:sz w:val="20"/>
                <w:szCs w:val="20"/>
              </w:rPr>
              <w:t>(</w:t>
            </w:r>
            <w:proofErr w:type="gramStart"/>
            <w:r w:rsidRPr="00134A29">
              <w:rPr>
                <w:rFonts w:ascii="Arial" w:hAnsi="Arial" w:cs="Arial"/>
                <w:sz w:val="20"/>
                <w:szCs w:val="20"/>
              </w:rPr>
              <w:t>59,254)+</w:t>
            </w:r>
            <w:proofErr w:type="gramEnd"/>
            <w:r>
              <w:rPr>
                <w:rFonts w:ascii="Arial" w:hAnsi="Arial" w:cs="Arial"/>
                <w:sz w:val="20"/>
                <w:szCs w:val="20"/>
              </w:rPr>
              <w:t>85,472</w:t>
            </w:r>
          </w:p>
        </w:tc>
        <w:tc>
          <w:tcPr>
            <w:tcW w:w="2250" w:type="dxa"/>
          </w:tcPr>
          <w:p w14:paraId="6536B8BC" w14:textId="77777777" w:rsidR="00386FF5" w:rsidRPr="00134A29" w:rsidRDefault="00386FF5" w:rsidP="00C35DF3">
            <w:pPr>
              <w:jc w:val="center"/>
              <w:rPr>
                <w:rFonts w:ascii="Arial" w:hAnsi="Arial" w:cs="Arial"/>
                <w:b/>
                <w:bCs/>
                <w:color w:val="0000FF"/>
                <w:sz w:val="20"/>
                <w:szCs w:val="20"/>
              </w:rPr>
            </w:pPr>
            <w:r w:rsidRPr="00134A29">
              <w:rPr>
                <w:rFonts w:ascii="Arial" w:hAnsi="Arial" w:cs="Arial"/>
                <w:b/>
                <w:bCs/>
                <w:color w:val="0000FF"/>
                <w:sz w:val="20"/>
                <w:szCs w:val="20"/>
              </w:rPr>
              <w:t>$</w:t>
            </w:r>
            <w:r>
              <w:rPr>
                <w:rFonts w:ascii="Arial" w:hAnsi="Arial" w:cs="Arial"/>
                <w:b/>
                <w:bCs/>
                <w:color w:val="0000FF"/>
                <w:sz w:val="20"/>
                <w:szCs w:val="20"/>
              </w:rPr>
              <w:t>116,083</w:t>
            </w:r>
          </w:p>
          <w:p w14:paraId="7F59E4BA"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111,194-4,790+9,679</w:t>
            </w:r>
          </w:p>
        </w:tc>
        <w:tc>
          <w:tcPr>
            <w:tcW w:w="1260" w:type="dxa"/>
            <w:vMerge w:val="restart"/>
          </w:tcPr>
          <w:p w14:paraId="36A8AB02" w14:textId="77777777" w:rsidR="00386FF5" w:rsidRDefault="00386FF5" w:rsidP="00C35DF3">
            <w:pPr>
              <w:jc w:val="center"/>
              <w:rPr>
                <w:rFonts w:ascii="Arial" w:hAnsi="Arial" w:cs="Arial"/>
                <w:b/>
                <w:bCs/>
                <w:color w:val="0000FF"/>
                <w:sz w:val="20"/>
                <w:szCs w:val="20"/>
              </w:rPr>
            </w:pPr>
          </w:p>
          <w:p w14:paraId="7FB533E1"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$873,538</w:t>
            </w:r>
          </w:p>
        </w:tc>
        <w:tc>
          <w:tcPr>
            <w:tcW w:w="1260" w:type="dxa"/>
            <w:vMerge w:val="restart"/>
          </w:tcPr>
          <w:p w14:paraId="65943BDE" w14:textId="77777777" w:rsidR="00386FF5" w:rsidRDefault="00386FF5" w:rsidP="00C35DF3">
            <w:pPr>
              <w:jc w:val="center"/>
              <w:rPr>
                <w:rFonts w:ascii="Arial" w:hAnsi="Arial" w:cs="Arial"/>
                <w:b/>
                <w:bCs/>
                <w:color w:val="0000FF"/>
                <w:sz w:val="20"/>
                <w:szCs w:val="20"/>
              </w:rPr>
            </w:pPr>
          </w:p>
          <w:p w14:paraId="02C99AAE"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$873,536</w:t>
            </w:r>
          </w:p>
        </w:tc>
        <w:tc>
          <w:tcPr>
            <w:tcW w:w="1080" w:type="dxa"/>
            <w:vMerge w:val="restart"/>
          </w:tcPr>
          <w:p w14:paraId="0B3FAF53" w14:textId="77777777" w:rsidR="00386FF5" w:rsidRDefault="00386FF5" w:rsidP="00C35DF3">
            <w:pPr>
              <w:jc w:val="center"/>
              <w:rPr>
                <w:rFonts w:ascii="Arial" w:hAnsi="Arial" w:cs="Arial"/>
                <w:b/>
                <w:bCs/>
                <w:color w:val="0000FF"/>
                <w:sz w:val="20"/>
                <w:szCs w:val="20"/>
              </w:rPr>
            </w:pPr>
          </w:p>
          <w:p w14:paraId="2535B9C8" w14:textId="77777777" w:rsidR="00386FF5" w:rsidRDefault="00386FF5" w:rsidP="00C35DF3">
            <w:pPr>
              <w:jc w:val="center"/>
              <w:rPr>
                <w:rFonts w:ascii="Arial" w:hAnsi="Arial" w:cs="Arial"/>
                <w:b/>
                <w:bCs/>
                <w:color w:val="0000FF"/>
                <w:sz w:val="20"/>
                <w:szCs w:val="20"/>
              </w:rPr>
            </w:pPr>
            <w:r w:rsidRPr="00663724">
              <w:rPr>
                <w:rFonts w:ascii="Arial" w:hAnsi="Arial" w:cs="Arial"/>
                <w:b/>
                <w:bCs/>
                <w:color w:val="0000FF"/>
                <w:sz w:val="20"/>
                <w:szCs w:val="20"/>
              </w:rPr>
              <w:t>$2</w:t>
            </w:r>
          </w:p>
        </w:tc>
      </w:tr>
      <w:tr w:rsidR="00386FF5" w14:paraId="02A6993F" w14:textId="77777777" w:rsidTr="00C35DF3">
        <w:trPr>
          <w:jc w:val="center"/>
        </w:trPr>
        <w:tc>
          <w:tcPr>
            <w:tcW w:w="1435" w:type="dxa"/>
          </w:tcPr>
          <w:p w14:paraId="36F44A04" w14:textId="77777777" w:rsidR="00386FF5" w:rsidRPr="00134A29" w:rsidRDefault="00386FF5" w:rsidP="00C35DF3">
            <w:pPr>
              <w:rPr>
                <w:rFonts w:ascii="Arial" w:hAnsi="Arial" w:cs="Arial"/>
                <w:sz w:val="20"/>
                <w:szCs w:val="20"/>
              </w:rPr>
            </w:pPr>
            <w:r w:rsidRPr="00134A29">
              <w:rPr>
                <w:rFonts w:ascii="Arial" w:hAnsi="Arial" w:cs="Arial"/>
                <w:sz w:val="20"/>
                <w:szCs w:val="20"/>
              </w:rPr>
              <w:t>1580-WMS Class B</w:t>
            </w:r>
          </w:p>
        </w:tc>
        <w:tc>
          <w:tcPr>
            <w:tcW w:w="2430" w:type="dxa"/>
          </w:tcPr>
          <w:p w14:paraId="54C84871" w14:textId="77777777" w:rsidR="00386FF5" w:rsidRPr="00134A29" w:rsidRDefault="00386FF5" w:rsidP="00C35DF3">
            <w:pPr>
              <w:jc w:val="center"/>
              <w:rPr>
                <w:rFonts w:ascii="Arial" w:hAnsi="Arial" w:cs="Arial"/>
                <w:b/>
                <w:bCs/>
                <w:color w:val="FF0000"/>
                <w:sz w:val="20"/>
                <w:szCs w:val="20"/>
              </w:rPr>
            </w:pPr>
            <w:r w:rsidRPr="00134A29">
              <w:rPr>
                <w:rFonts w:ascii="Arial" w:hAnsi="Arial" w:cs="Arial"/>
                <w:b/>
                <w:bCs/>
                <w:color w:val="FF0000"/>
                <w:sz w:val="20"/>
                <w:szCs w:val="20"/>
              </w:rPr>
              <w:t>($</w:t>
            </w:r>
            <w:r>
              <w:rPr>
                <w:rFonts w:ascii="Arial" w:hAnsi="Arial" w:cs="Arial"/>
                <w:b/>
                <w:bCs/>
                <w:color w:val="FF0000"/>
                <w:sz w:val="20"/>
                <w:szCs w:val="20"/>
              </w:rPr>
              <w:t>47,136</w:t>
            </w:r>
            <w:r w:rsidRPr="00134A29">
              <w:rPr>
                <w:rFonts w:ascii="Arial" w:hAnsi="Arial" w:cs="Arial"/>
                <w:b/>
                <w:bCs/>
                <w:color w:val="FF0000"/>
                <w:sz w:val="20"/>
                <w:szCs w:val="20"/>
              </w:rPr>
              <w:t>)</w:t>
            </w:r>
          </w:p>
          <w:p w14:paraId="228FF610"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w:t>
            </w:r>
            <w:proofErr w:type="gramStart"/>
            <w:r>
              <w:rPr>
                <w:rFonts w:ascii="Arial" w:hAnsi="Arial" w:cs="Arial"/>
                <w:sz w:val="20"/>
                <w:szCs w:val="20"/>
              </w:rPr>
              <w:t>70,481)-</w:t>
            </w:r>
            <w:r w:rsidRPr="00134A29">
              <w:rPr>
                <w:rFonts w:ascii="Arial" w:hAnsi="Arial" w:cs="Arial"/>
                <w:sz w:val="20"/>
                <w:szCs w:val="20"/>
              </w:rPr>
              <w:t>(</w:t>
            </w:r>
            <w:proofErr w:type="gramEnd"/>
            <w:r w:rsidRPr="00134A29">
              <w:rPr>
                <w:rFonts w:ascii="Arial" w:hAnsi="Arial" w:cs="Arial"/>
                <w:sz w:val="20"/>
                <w:szCs w:val="20"/>
              </w:rPr>
              <w:t>32,659)+(</w:t>
            </w:r>
            <w:r>
              <w:rPr>
                <w:rFonts w:ascii="Arial" w:hAnsi="Arial" w:cs="Arial"/>
                <w:sz w:val="20"/>
                <w:szCs w:val="20"/>
              </w:rPr>
              <w:t>9,314</w:t>
            </w:r>
            <w:r w:rsidRPr="00134A29">
              <w:rPr>
                <w:rFonts w:ascii="Arial" w:hAnsi="Arial" w:cs="Arial"/>
                <w:sz w:val="20"/>
                <w:szCs w:val="20"/>
              </w:rPr>
              <w:t>)</w:t>
            </w:r>
          </w:p>
        </w:tc>
        <w:tc>
          <w:tcPr>
            <w:tcW w:w="2250" w:type="dxa"/>
          </w:tcPr>
          <w:p w14:paraId="07DF8395" w14:textId="77777777" w:rsidR="00386FF5" w:rsidRPr="005E050E" w:rsidRDefault="00386FF5" w:rsidP="00C35DF3">
            <w:pPr>
              <w:jc w:val="center"/>
              <w:rPr>
                <w:rFonts w:ascii="Arial" w:hAnsi="Arial" w:cs="Arial"/>
                <w:b/>
                <w:bCs/>
                <w:color w:val="FF0000"/>
                <w:sz w:val="20"/>
                <w:szCs w:val="20"/>
              </w:rPr>
            </w:pPr>
            <w:r w:rsidRPr="005E050E">
              <w:rPr>
                <w:rFonts w:ascii="Arial" w:hAnsi="Arial" w:cs="Arial"/>
                <w:b/>
                <w:bCs/>
                <w:color w:val="FF0000"/>
                <w:sz w:val="20"/>
                <w:szCs w:val="20"/>
              </w:rPr>
              <w:t>($6,170)</w:t>
            </w:r>
          </w:p>
          <w:p w14:paraId="24C78E59"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w:t>
            </w:r>
            <w:proofErr w:type="gramStart"/>
            <w:r>
              <w:rPr>
                <w:rFonts w:ascii="Arial" w:hAnsi="Arial" w:cs="Arial"/>
                <w:sz w:val="20"/>
                <w:szCs w:val="20"/>
              </w:rPr>
              <w:t>8,627)-(</w:t>
            </w:r>
            <w:proofErr w:type="gramEnd"/>
            <w:r>
              <w:rPr>
                <w:rFonts w:ascii="Arial" w:hAnsi="Arial" w:cs="Arial"/>
                <w:sz w:val="20"/>
                <w:szCs w:val="20"/>
              </w:rPr>
              <w:t>3,492)+(1,035)</w:t>
            </w:r>
          </w:p>
        </w:tc>
        <w:tc>
          <w:tcPr>
            <w:tcW w:w="1260" w:type="dxa"/>
            <w:vMerge/>
          </w:tcPr>
          <w:p w14:paraId="16ACAE0C" w14:textId="77777777" w:rsidR="00386FF5" w:rsidRPr="00134A29" w:rsidRDefault="00386FF5" w:rsidP="00C35DF3">
            <w:pPr>
              <w:jc w:val="center"/>
              <w:rPr>
                <w:rFonts w:ascii="Arial" w:hAnsi="Arial" w:cs="Arial"/>
                <w:b/>
                <w:bCs/>
                <w:color w:val="0000FF"/>
                <w:sz w:val="20"/>
                <w:szCs w:val="20"/>
              </w:rPr>
            </w:pPr>
          </w:p>
        </w:tc>
        <w:tc>
          <w:tcPr>
            <w:tcW w:w="1260" w:type="dxa"/>
            <w:vMerge/>
          </w:tcPr>
          <w:p w14:paraId="799DC14C" w14:textId="77777777" w:rsidR="00386FF5" w:rsidRPr="00134A29" w:rsidRDefault="00386FF5" w:rsidP="00C35DF3">
            <w:pPr>
              <w:jc w:val="center"/>
              <w:rPr>
                <w:rFonts w:ascii="Arial" w:hAnsi="Arial" w:cs="Arial"/>
                <w:b/>
                <w:bCs/>
                <w:color w:val="0000FF"/>
                <w:sz w:val="20"/>
                <w:szCs w:val="20"/>
              </w:rPr>
            </w:pPr>
          </w:p>
        </w:tc>
        <w:tc>
          <w:tcPr>
            <w:tcW w:w="1080" w:type="dxa"/>
            <w:vMerge/>
          </w:tcPr>
          <w:p w14:paraId="340D70A1" w14:textId="77777777" w:rsidR="00386FF5" w:rsidRPr="00134A29" w:rsidRDefault="00386FF5" w:rsidP="00C35DF3">
            <w:pPr>
              <w:jc w:val="center"/>
              <w:rPr>
                <w:rFonts w:ascii="Arial" w:hAnsi="Arial" w:cs="Arial"/>
                <w:b/>
                <w:bCs/>
                <w:color w:val="0000FF"/>
                <w:sz w:val="20"/>
                <w:szCs w:val="20"/>
              </w:rPr>
            </w:pPr>
          </w:p>
        </w:tc>
      </w:tr>
      <w:tr w:rsidR="00386FF5" w14:paraId="2C64CCFE" w14:textId="77777777" w:rsidTr="00C35DF3">
        <w:trPr>
          <w:jc w:val="center"/>
        </w:trPr>
        <w:tc>
          <w:tcPr>
            <w:tcW w:w="1435" w:type="dxa"/>
          </w:tcPr>
          <w:p w14:paraId="4C51C7AC" w14:textId="77777777" w:rsidR="00386FF5" w:rsidRPr="00134A29" w:rsidRDefault="00386FF5" w:rsidP="00C35DF3">
            <w:pPr>
              <w:rPr>
                <w:rFonts w:ascii="Arial" w:hAnsi="Arial" w:cs="Arial"/>
                <w:sz w:val="20"/>
                <w:szCs w:val="20"/>
              </w:rPr>
            </w:pPr>
            <w:r w:rsidRPr="00134A29">
              <w:rPr>
                <w:rFonts w:ascii="Arial" w:hAnsi="Arial" w:cs="Arial"/>
                <w:sz w:val="20"/>
                <w:szCs w:val="20"/>
              </w:rPr>
              <w:t xml:space="preserve">1584-RSVA Network </w:t>
            </w:r>
          </w:p>
        </w:tc>
        <w:tc>
          <w:tcPr>
            <w:tcW w:w="2430" w:type="dxa"/>
          </w:tcPr>
          <w:p w14:paraId="7865FDC1" w14:textId="77777777" w:rsidR="00386FF5" w:rsidRPr="00134A29" w:rsidRDefault="00386FF5" w:rsidP="00C35DF3">
            <w:pPr>
              <w:jc w:val="center"/>
              <w:rPr>
                <w:rFonts w:ascii="Arial" w:hAnsi="Arial" w:cs="Arial"/>
                <w:b/>
                <w:bCs/>
                <w:color w:val="0000FF"/>
                <w:sz w:val="20"/>
                <w:szCs w:val="20"/>
              </w:rPr>
            </w:pPr>
            <w:r w:rsidRPr="00134A29">
              <w:rPr>
                <w:rFonts w:ascii="Arial" w:hAnsi="Arial" w:cs="Arial"/>
                <w:b/>
                <w:bCs/>
                <w:color w:val="0000FF"/>
                <w:sz w:val="20"/>
                <w:szCs w:val="20"/>
              </w:rPr>
              <w:t>$</w:t>
            </w:r>
            <w:r>
              <w:rPr>
                <w:rFonts w:ascii="Arial" w:hAnsi="Arial" w:cs="Arial"/>
                <w:b/>
                <w:bCs/>
                <w:color w:val="0000FF"/>
                <w:sz w:val="20"/>
                <w:szCs w:val="20"/>
              </w:rPr>
              <w:t>1,263,631</w:t>
            </w:r>
          </w:p>
          <w:p w14:paraId="7BC4D802"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1,244,826-</w:t>
            </w:r>
            <w:r w:rsidRPr="00134A29">
              <w:rPr>
                <w:rFonts w:ascii="Arial" w:hAnsi="Arial" w:cs="Arial"/>
                <w:sz w:val="20"/>
                <w:szCs w:val="20"/>
              </w:rPr>
              <w:t>32,862+</w:t>
            </w:r>
            <w:r>
              <w:rPr>
                <w:rFonts w:ascii="Arial" w:hAnsi="Arial" w:cs="Arial"/>
                <w:sz w:val="20"/>
                <w:szCs w:val="20"/>
              </w:rPr>
              <w:t>51,667</w:t>
            </w:r>
          </w:p>
        </w:tc>
        <w:tc>
          <w:tcPr>
            <w:tcW w:w="2250" w:type="dxa"/>
          </w:tcPr>
          <w:p w14:paraId="499FD184" w14:textId="77777777" w:rsidR="00386FF5" w:rsidRPr="00134A29" w:rsidRDefault="00386FF5" w:rsidP="00C35DF3">
            <w:pPr>
              <w:jc w:val="center"/>
              <w:rPr>
                <w:rFonts w:ascii="Arial" w:hAnsi="Arial" w:cs="Arial"/>
                <w:b/>
                <w:bCs/>
                <w:color w:val="0000FF"/>
                <w:sz w:val="20"/>
                <w:szCs w:val="20"/>
              </w:rPr>
            </w:pPr>
            <w:r w:rsidRPr="00134A29">
              <w:rPr>
                <w:rFonts w:ascii="Arial" w:hAnsi="Arial" w:cs="Arial"/>
                <w:b/>
                <w:bCs/>
                <w:color w:val="0000FF"/>
                <w:sz w:val="20"/>
                <w:szCs w:val="20"/>
              </w:rPr>
              <w:t>$1</w:t>
            </w:r>
            <w:r>
              <w:rPr>
                <w:rFonts w:ascii="Arial" w:hAnsi="Arial" w:cs="Arial"/>
                <w:b/>
                <w:bCs/>
                <w:color w:val="0000FF"/>
                <w:sz w:val="20"/>
                <w:szCs w:val="20"/>
              </w:rPr>
              <w:t>83,776</w:t>
            </w:r>
          </w:p>
          <w:p w14:paraId="13359A7C"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189,134-12,585+7,227</w:t>
            </w:r>
          </w:p>
        </w:tc>
        <w:tc>
          <w:tcPr>
            <w:tcW w:w="1260" w:type="dxa"/>
          </w:tcPr>
          <w:p w14:paraId="0A743F3F"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$1,447,407</w:t>
            </w:r>
          </w:p>
        </w:tc>
        <w:tc>
          <w:tcPr>
            <w:tcW w:w="1260" w:type="dxa"/>
          </w:tcPr>
          <w:p w14:paraId="28AB1035"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$1,447,407</w:t>
            </w:r>
          </w:p>
        </w:tc>
        <w:tc>
          <w:tcPr>
            <w:tcW w:w="1080" w:type="dxa"/>
          </w:tcPr>
          <w:p w14:paraId="45997D32" w14:textId="77777777" w:rsidR="00386FF5" w:rsidRDefault="00386FF5" w:rsidP="00C35DF3">
            <w:pPr>
              <w:jc w:val="center"/>
              <w:rPr>
                <w:rFonts w:ascii="Arial" w:hAnsi="Arial" w:cs="Arial"/>
                <w:b/>
                <w:bCs/>
                <w:color w:val="0000FF"/>
                <w:sz w:val="20"/>
                <w:szCs w:val="20"/>
              </w:rPr>
            </w:pPr>
            <w:r>
              <w:rPr>
                <w:rFonts w:ascii="Arial" w:hAnsi="Arial" w:cs="Arial"/>
                <w:b/>
                <w:bCs/>
                <w:color w:val="0000FF"/>
                <w:sz w:val="20"/>
                <w:szCs w:val="20"/>
              </w:rPr>
              <w:t>0</w:t>
            </w:r>
          </w:p>
        </w:tc>
      </w:tr>
      <w:tr w:rsidR="00386FF5" w14:paraId="5C13F63A" w14:textId="77777777" w:rsidTr="00C35DF3">
        <w:trPr>
          <w:jc w:val="center"/>
        </w:trPr>
        <w:tc>
          <w:tcPr>
            <w:tcW w:w="1435" w:type="dxa"/>
          </w:tcPr>
          <w:p w14:paraId="32190058" w14:textId="77777777" w:rsidR="00386FF5" w:rsidRPr="00134A29" w:rsidRDefault="00386FF5" w:rsidP="00C35DF3">
            <w:pPr>
              <w:rPr>
                <w:rFonts w:ascii="Arial" w:hAnsi="Arial" w:cs="Arial"/>
                <w:sz w:val="20"/>
                <w:szCs w:val="20"/>
              </w:rPr>
            </w:pPr>
            <w:r w:rsidRPr="00134A29">
              <w:rPr>
                <w:rFonts w:ascii="Arial" w:hAnsi="Arial" w:cs="Arial"/>
                <w:sz w:val="20"/>
                <w:szCs w:val="20"/>
              </w:rPr>
              <w:t>1586-RSVA Connection</w:t>
            </w:r>
          </w:p>
        </w:tc>
        <w:tc>
          <w:tcPr>
            <w:tcW w:w="2430" w:type="dxa"/>
          </w:tcPr>
          <w:p w14:paraId="042F022B" w14:textId="77777777" w:rsidR="00386FF5" w:rsidRPr="00B04F3A" w:rsidRDefault="00386FF5" w:rsidP="00C35DF3">
            <w:pPr>
              <w:jc w:val="center"/>
              <w:rPr>
                <w:rFonts w:ascii="Arial" w:hAnsi="Arial" w:cs="Arial"/>
                <w:b/>
                <w:bCs/>
                <w:color w:val="0000FF"/>
                <w:sz w:val="20"/>
                <w:szCs w:val="20"/>
              </w:rPr>
            </w:pPr>
            <w:r w:rsidRPr="00B04F3A">
              <w:rPr>
                <w:rFonts w:ascii="Arial" w:hAnsi="Arial" w:cs="Arial"/>
                <w:b/>
                <w:bCs/>
                <w:color w:val="0000FF"/>
                <w:sz w:val="20"/>
                <w:szCs w:val="20"/>
              </w:rPr>
              <w:t>$759,450</w:t>
            </w:r>
          </w:p>
          <w:p w14:paraId="1A72E911"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693,938-</w:t>
            </w:r>
            <w:r w:rsidRPr="00134A29">
              <w:rPr>
                <w:rFonts w:ascii="Arial" w:hAnsi="Arial" w:cs="Arial"/>
                <w:sz w:val="20"/>
                <w:szCs w:val="20"/>
              </w:rPr>
              <w:t>(</w:t>
            </w:r>
            <w:proofErr w:type="gramStart"/>
            <w:r w:rsidRPr="00134A29">
              <w:rPr>
                <w:rFonts w:ascii="Arial" w:hAnsi="Arial" w:cs="Arial"/>
                <w:sz w:val="20"/>
                <w:szCs w:val="20"/>
              </w:rPr>
              <w:t>32,335)+</w:t>
            </w:r>
            <w:proofErr w:type="gramEnd"/>
            <w:r>
              <w:rPr>
                <w:rFonts w:ascii="Arial" w:hAnsi="Arial" w:cs="Arial"/>
                <w:sz w:val="20"/>
                <w:szCs w:val="20"/>
              </w:rPr>
              <w:t>33,177</w:t>
            </w:r>
          </w:p>
        </w:tc>
        <w:tc>
          <w:tcPr>
            <w:tcW w:w="2250" w:type="dxa"/>
          </w:tcPr>
          <w:p w14:paraId="4563E28E" w14:textId="77777777" w:rsidR="00386FF5" w:rsidRPr="00134A29" w:rsidRDefault="00386FF5" w:rsidP="00C35DF3">
            <w:pPr>
              <w:jc w:val="center"/>
              <w:rPr>
                <w:rFonts w:ascii="Arial" w:hAnsi="Arial" w:cs="Arial"/>
                <w:b/>
                <w:bCs/>
                <w:color w:val="0000FF"/>
                <w:sz w:val="20"/>
                <w:szCs w:val="20"/>
              </w:rPr>
            </w:pPr>
            <w:r w:rsidRPr="00134A29">
              <w:rPr>
                <w:rFonts w:ascii="Arial" w:hAnsi="Arial" w:cs="Arial"/>
                <w:b/>
                <w:bCs/>
                <w:color w:val="0000FF"/>
                <w:sz w:val="20"/>
                <w:szCs w:val="20"/>
              </w:rPr>
              <w:t>$</w:t>
            </w:r>
            <w:r>
              <w:rPr>
                <w:rFonts w:ascii="Arial" w:hAnsi="Arial" w:cs="Arial"/>
                <w:b/>
                <w:bCs/>
                <w:color w:val="0000FF"/>
                <w:sz w:val="20"/>
                <w:szCs w:val="20"/>
              </w:rPr>
              <w:t>27,086</w:t>
            </w:r>
          </w:p>
          <w:p w14:paraId="23F72FF7"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27,050-1,284+1,320</w:t>
            </w:r>
          </w:p>
        </w:tc>
        <w:tc>
          <w:tcPr>
            <w:tcW w:w="1260" w:type="dxa"/>
          </w:tcPr>
          <w:p w14:paraId="5CF7CA0E"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$786,536</w:t>
            </w:r>
          </w:p>
        </w:tc>
        <w:tc>
          <w:tcPr>
            <w:tcW w:w="1260" w:type="dxa"/>
          </w:tcPr>
          <w:p w14:paraId="290F6530"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$786,535</w:t>
            </w:r>
          </w:p>
        </w:tc>
        <w:tc>
          <w:tcPr>
            <w:tcW w:w="1080" w:type="dxa"/>
          </w:tcPr>
          <w:p w14:paraId="4EA99DB5" w14:textId="77777777" w:rsidR="00386FF5" w:rsidRDefault="00386FF5" w:rsidP="00C35DF3">
            <w:pPr>
              <w:jc w:val="center"/>
              <w:rPr>
                <w:rFonts w:ascii="Arial" w:hAnsi="Arial" w:cs="Arial"/>
                <w:b/>
                <w:bCs/>
                <w:color w:val="0000FF"/>
                <w:sz w:val="20"/>
                <w:szCs w:val="20"/>
              </w:rPr>
            </w:pPr>
            <w:r>
              <w:rPr>
                <w:rFonts w:ascii="Arial" w:hAnsi="Arial" w:cs="Arial"/>
                <w:b/>
                <w:bCs/>
                <w:color w:val="0000FF"/>
                <w:sz w:val="20"/>
                <w:szCs w:val="20"/>
              </w:rPr>
              <w:t>$1</w:t>
            </w:r>
          </w:p>
        </w:tc>
      </w:tr>
      <w:tr w:rsidR="00386FF5" w14:paraId="40DDC88C" w14:textId="77777777" w:rsidTr="00C35DF3">
        <w:trPr>
          <w:jc w:val="center"/>
        </w:trPr>
        <w:tc>
          <w:tcPr>
            <w:tcW w:w="1435" w:type="dxa"/>
          </w:tcPr>
          <w:p w14:paraId="04DA083C" w14:textId="77777777" w:rsidR="00386FF5" w:rsidRPr="00134A29" w:rsidRDefault="00386FF5" w:rsidP="00C35DF3">
            <w:pPr>
              <w:rPr>
                <w:rFonts w:ascii="Arial" w:hAnsi="Arial" w:cs="Arial"/>
                <w:sz w:val="20"/>
                <w:szCs w:val="20"/>
              </w:rPr>
            </w:pPr>
            <w:r w:rsidRPr="00134A29">
              <w:rPr>
                <w:rFonts w:ascii="Arial" w:hAnsi="Arial" w:cs="Arial"/>
                <w:sz w:val="20"/>
                <w:szCs w:val="20"/>
              </w:rPr>
              <w:t>1588-RSVA Power</w:t>
            </w:r>
          </w:p>
        </w:tc>
        <w:tc>
          <w:tcPr>
            <w:tcW w:w="2430" w:type="dxa"/>
          </w:tcPr>
          <w:p w14:paraId="3B7A8E42" w14:textId="77777777" w:rsidR="00386FF5" w:rsidRPr="00147230" w:rsidRDefault="00386FF5" w:rsidP="00C35DF3">
            <w:pPr>
              <w:jc w:val="center"/>
              <w:rPr>
                <w:rFonts w:ascii="Arial" w:hAnsi="Arial" w:cs="Arial"/>
                <w:b/>
                <w:bCs/>
                <w:color w:val="FF0000"/>
                <w:sz w:val="20"/>
                <w:szCs w:val="20"/>
              </w:rPr>
            </w:pPr>
            <w:r w:rsidRPr="00147230">
              <w:rPr>
                <w:rFonts w:ascii="Arial" w:hAnsi="Arial" w:cs="Arial"/>
                <w:b/>
                <w:bCs/>
                <w:color w:val="FF0000"/>
                <w:sz w:val="20"/>
                <w:szCs w:val="20"/>
              </w:rPr>
              <w:t>($546,871)</w:t>
            </w:r>
          </w:p>
          <w:p w14:paraId="67B0571C"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(270,000)-</w:t>
            </w:r>
            <w:r w:rsidRPr="00134A29">
              <w:rPr>
                <w:rFonts w:ascii="Arial" w:hAnsi="Arial" w:cs="Arial"/>
                <w:sz w:val="20"/>
                <w:szCs w:val="20"/>
              </w:rPr>
              <w:t>214,019+(</w:t>
            </w:r>
            <w:r>
              <w:rPr>
                <w:rFonts w:ascii="Arial" w:hAnsi="Arial" w:cs="Arial"/>
                <w:sz w:val="20"/>
                <w:szCs w:val="20"/>
              </w:rPr>
              <w:t>62,852</w:t>
            </w:r>
            <w:r w:rsidRPr="00134A29">
              <w:rPr>
                <w:rFonts w:ascii="Arial" w:hAnsi="Arial" w:cs="Arial"/>
                <w:sz w:val="20"/>
                <w:szCs w:val="20"/>
              </w:rPr>
              <w:t>)</w:t>
            </w:r>
          </w:p>
        </w:tc>
        <w:tc>
          <w:tcPr>
            <w:tcW w:w="2250" w:type="dxa"/>
          </w:tcPr>
          <w:p w14:paraId="730AC4E8" w14:textId="77777777" w:rsidR="00386FF5" w:rsidRPr="001A7AA7" w:rsidRDefault="00386FF5" w:rsidP="00C35DF3">
            <w:pPr>
              <w:jc w:val="center"/>
              <w:rPr>
                <w:rFonts w:ascii="Arial" w:hAnsi="Arial" w:cs="Arial"/>
                <w:b/>
                <w:bCs/>
                <w:color w:val="0000FF"/>
                <w:sz w:val="20"/>
                <w:szCs w:val="20"/>
              </w:rPr>
            </w:pPr>
            <w:r w:rsidRPr="001A7AA7">
              <w:rPr>
                <w:rFonts w:ascii="Arial" w:hAnsi="Arial" w:cs="Arial"/>
                <w:b/>
                <w:bCs/>
                <w:color w:val="0000FF"/>
                <w:sz w:val="20"/>
                <w:szCs w:val="20"/>
              </w:rPr>
              <w:t>$193,979</w:t>
            </w:r>
          </w:p>
          <w:p w14:paraId="7F30DC28"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24,898-</w:t>
            </w:r>
            <w:r w:rsidRPr="00134A29">
              <w:rPr>
                <w:rFonts w:ascii="Arial" w:hAnsi="Arial" w:cs="Arial"/>
                <w:sz w:val="20"/>
                <w:szCs w:val="20"/>
              </w:rPr>
              <w:t>(</w:t>
            </w:r>
            <w:proofErr w:type="gramStart"/>
            <w:r>
              <w:rPr>
                <w:rFonts w:ascii="Arial" w:hAnsi="Arial" w:cs="Arial"/>
                <w:sz w:val="20"/>
                <w:szCs w:val="20"/>
              </w:rPr>
              <w:t>188,573</w:t>
            </w:r>
            <w:r w:rsidRPr="00134A29">
              <w:rPr>
                <w:rFonts w:ascii="Arial" w:hAnsi="Arial" w:cs="Arial"/>
                <w:sz w:val="20"/>
                <w:szCs w:val="20"/>
              </w:rPr>
              <w:t>)+(</w:t>
            </w:r>
            <w:proofErr w:type="gramEnd"/>
            <w:r>
              <w:rPr>
                <w:rFonts w:ascii="Arial" w:hAnsi="Arial" w:cs="Arial"/>
                <w:sz w:val="20"/>
                <w:szCs w:val="20"/>
              </w:rPr>
              <w:t>19,492</w:t>
            </w:r>
            <w:r w:rsidRPr="00134A29">
              <w:rPr>
                <w:rFonts w:ascii="Arial" w:hAnsi="Arial" w:cs="Arial"/>
                <w:sz w:val="20"/>
                <w:szCs w:val="20"/>
              </w:rPr>
              <w:t>)</w:t>
            </w:r>
          </w:p>
        </w:tc>
        <w:tc>
          <w:tcPr>
            <w:tcW w:w="1260" w:type="dxa"/>
          </w:tcPr>
          <w:p w14:paraId="107AEFAF" w14:textId="77777777" w:rsidR="00386FF5" w:rsidRPr="00134A29" w:rsidRDefault="00386FF5" w:rsidP="00C35DF3">
            <w:pPr>
              <w:jc w:val="center"/>
              <w:rPr>
                <w:rFonts w:ascii="Arial" w:hAnsi="Arial" w:cs="Arial"/>
                <w:b/>
                <w:bCs/>
                <w:color w:val="FF0000"/>
                <w:sz w:val="20"/>
                <w:szCs w:val="20"/>
              </w:rPr>
            </w:pPr>
            <w:r>
              <w:rPr>
                <w:rFonts w:ascii="Arial" w:hAnsi="Arial" w:cs="Arial"/>
                <w:b/>
                <w:bCs/>
                <w:color w:val="FF0000"/>
                <w:sz w:val="20"/>
                <w:szCs w:val="20"/>
              </w:rPr>
              <w:t>($352,892)</w:t>
            </w:r>
          </w:p>
        </w:tc>
        <w:tc>
          <w:tcPr>
            <w:tcW w:w="1260" w:type="dxa"/>
          </w:tcPr>
          <w:p w14:paraId="5749B782" w14:textId="77777777" w:rsidR="00386FF5" w:rsidRPr="00134A29" w:rsidRDefault="00386FF5" w:rsidP="00C35DF3">
            <w:pPr>
              <w:jc w:val="center"/>
              <w:rPr>
                <w:rFonts w:ascii="Arial" w:hAnsi="Arial" w:cs="Arial"/>
                <w:b/>
                <w:bCs/>
                <w:color w:val="FF0000"/>
                <w:sz w:val="20"/>
                <w:szCs w:val="20"/>
              </w:rPr>
            </w:pPr>
            <w:r>
              <w:rPr>
                <w:rFonts w:ascii="Arial" w:hAnsi="Arial" w:cs="Arial"/>
                <w:b/>
                <w:bCs/>
                <w:color w:val="FF0000"/>
                <w:sz w:val="20"/>
                <w:szCs w:val="20"/>
              </w:rPr>
              <w:t>($487,594)</w:t>
            </w:r>
          </w:p>
        </w:tc>
        <w:tc>
          <w:tcPr>
            <w:tcW w:w="1080" w:type="dxa"/>
          </w:tcPr>
          <w:p w14:paraId="4211D323" w14:textId="77777777" w:rsidR="00386FF5" w:rsidRDefault="00386FF5" w:rsidP="00C35DF3">
            <w:pPr>
              <w:jc w:val="center"/>
              <w:rPr>
                <w:rFonts w:ascii="Arial" w:hAnsi="Arial" w:cs="Arial"/>
                <w:b/>
                <w:bCs/>
                <w:color w:val="FF0000"/>
                <w:sz w:val="20"/>
                <w:szCs w:val="20"/>
              </w:rPr>
            </w:pPr>
            <w:r w:rsidRPr="00FE17A3">
              <w:rPr>
                <w:rFonts w:ascii="Arial" w:hAnsi="Arial" w:cs="Arial"/>
                <w:b/>
                <w:bCs/>
                <w:color w:val="0000FF"/>
                <w:sz w:val="20"/>
                <w:szCs w:val="20"/>
              </w:rPr>
              <w:t>$134,702</w:t>
            </w:r>
          </w:p>
        </w:tc>
      </w:tr>
      <w:tr w:rsidR="00386FF5" w14:paraId="4EF69786" w14:textId="77777777" w:rsidTr="00C35DF3">
        <w:trPr>
          <w:jc w:val="center"/>
        </w:trPr>
        <w:tc>
          <w:tcPr>
            <w:tcW w:w="1435" w:type="dxa"/>
          </w:tcPr>
          <w:p w14:paraId="17636CBE" w14:textId="77777777" w:rsidR="00386FF5" w:rsidRPr="00134A29" w:rsidRDefault="00386FF5" w:rsidP="00C35DF3">
            <w:pPr>
              <w:rPr>
                <w:rFonts w:ascii="Arial" w:hAnsi="Arial" w:cs="Arial"/>
                <w:sz w:val="20"/>
                <w:szCs w:val="20"/>
              </w:rPr>
            </w:pPr>
            <w:r w:rsidRPr="00134A29">
              <w:rPr>
                <w:rFonts w:ascii="Arial" w:hAnsi="Arial" w:cs="Arial"/>
                <w:sz w:val="20"/>
                <w:szCs w:val="20"/>
              </w:rPr>
              <w:t>1589-RSVA GA</w:t>
            </w:r>
          </w:p>
        </w:tc>
        <w:tc>
          <w:tcPr>
            <w:tcW w:w="2430" w:type="dxa"/>
          </w:tcPr>
          <w:p w14:paraId="5C4F6C3F" w14:textId="77777777" w:rsidR="00386FF5" w:rsidRPr="00C878CC" w:rsidRDefault="00386FF5" w:rsidP="00C35DF3">
            <w:pPr>
              <w:jc w:val="center"/>
              <w:rPr>
                <w:rFonts w:ascii="Arial" w:hAnsi="Arial" w:cs="Arial"/>
                <w:b/>
                <w:bCs/>
                <w:color w:val="0000FF"/>
                <w:sz w:val="20"/>
                <w:szCs w:val="20"/>
              </w:rPr>
            </w:pPr>
            <w:r w:rsidRPr="00C878CC">
              <w:rPr>
                <w:rFonts w:ascii="Arial" w:hAnsi="Arial" w:cs="Arial"/>
                <w:b/>
                <w:bCs/>
                <w:color w:val="0000FF"/>
                <w:sz w:val="20"/>
                <w:szCs w:val="20"/>
              </w:rPr>
              <w:t>$750,623</w:t>
            </w:r>
          </w:p>
          <w:p w14:paraId="6DF881B4"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24,967-</w:t>
            </w:r>
            <w:r w:rsidRPr="00134A29">
              <w:rPr>
                <w:rFonts w:ascii="Arial" w:hAnsi="Arial" w:cs="Arial"/>
                <w:sz w:val="20"/>
                <w:szCs w:val="20"/>
              </w:rPr>
              <w:t>(</w:t>
            </w:r>
            <w:proofErr w:type="gramStart"/>
            <w:r w:rsidRPr="00134A29">
              <w:rPr>
                <w:rFonts w:ascii="Arial" w:hAnsi="Arial" w:cs="Arial"/>
                <w:sz w:val="20"/>
                <w:szCs w:val="20"/>
              </w:rPr>
              <w:t>680,255)</w:t>
            </w:r>
            <w:r>
              <w:rPr>
                <w:rFonts w:ascii="Arial" w:hAnsi="Arial" w:cs="Arial"/>
                <w:sz w:val="20"/>
                <w:szCs w:val="20"/>
              </w:rPr>
              <w:t>+</w:t>
            </w:r>
            <w:proofErr w:type="gramEnd"/>
            <w:r>
              <w:rPr>
                <w:rFonts w:ascii="Arial" w:hAnsi="Arial" w:cs="Arial"/>
                <w:sz w:val="20"/>
                <w:szCs w:val="20"/>
              </w:rPr>
              <w:t>45,401</w:t>
            </w:r>
          </w:p>
        </w:tc>
        <w:tc>
          <w:tcPr>
            <w:tcW w:w="2250" w:type="dxa"/>
          </w:tcPr>
          <w:p w14:paraId="7194C7E7" w14:textId="77777777" w:rsidR="00386FF5" w:rsidRPr="00134A29" w:rsidRDefault="00386FF5" w:rsidP="00C35DF3">
            <w:pPr>
              <w:jc w:val="center"/>
              <w:rPr>
                <w:rFonts w:ascii="Arial" w:hAnsi="Arial" w:cs="Arial"/>
                <w:b/>
                <w:bCs/>
                <w:color w:val="0000FF"/>
                <w:sz w:val="20"/>
                <w:szCs w:val="20"/>
              </w:rPr>
            </w:pPr>
            <w:r w:rsidRPr="00134A29">
              <w:rPr>
                <w:rFonts w:ascii="Arial" w:hAnsi="Arial" w:cs="Arial"/>
                <w:b/>
                <w:bCs/>
                <w:color w:val="0000FF"/>
                <w:sz w:val="20"/>
                <w:szCs w:val="20"/>
              </w:rPr>
              <w:t>$</w:t>
            </w:r>
            <w:r>
              <w:rPr>
                <w:rFonts w:ascii="Arial" w:hAnsi="Arial" w:cs="Arial"/>
                <w:b/>
                <w:bCs/>
                <w:color w:val="0000FF"/>
                <w:sz w:val="20"/>
                <w:szCs w:val="20"/>
              </w:rPr>
              <w:t>65,236</w:t>
            </w:r>
          </w:p>
          <w:p w14:paraId="73C5F050" w14:textId="77777777" w:rsidR="00386FF5" w:rsidRPr="00134A29" w:rsidRDefault="00386FF5" w:rsidP="00C35DF3">
            <w:pPr>
              <w:rPr>
                <w:rFonts w:ascii="Arial" w:hAnsi="Arial" w:cs="Arial"/>
                <w:sz w:val="20"/>
                <w:szCs w:val="20"/>
              </w:rPr>
            </w:pPr>
            <w:r w:rsidRPr="00134A29">
              <w:rPr>
                <w:rFonts w:ascii="Arial" w:hAnsi="Arial" w:cs="Arial"/>
                <w:sz w:val="20"/>
                <w:szCs w:val="20"/>
              </w:rPr>
              <w:t>**</w:t>
            </w:r>
            <w:r>
              <w:rPr>
                <w:rFonts w:ascii="Arial" w:hAnsi="Arial" w:cs="Arial"/>
                <w:sz w:val="20"/>
                <w:szCs w:val="20"/>
              </w:rPr>
              <w:t>(</w:t>
            </w:r>
            <w:proofErr w:type="gramStart"/>
            <w:r>
              <w:rPr>
                <w:rFonts w:ascii="Arial" w:hAnsi="Arial" w:cs="Arial"/>
                <w:sz w:val="20"/>
                <w:szCs w:val="20"/>
              </w:rPr>
              <w:t>65,781)-(</w:t>
            </w:r>
            <w:proofErr w:type="gramEnd"/>
            <w:r>
              <w:rPr>
                <w:rFonts w:ascii="Arial" w:hAnsi="Arial" w:cs="Arial"/>
                <w:sz w:val="20"/>
                <w:szCs w:val="20"/>
              </w:rPr>
              <w:t>124,756)</w:t>
            </w:r>
            <w:r w:rsidRPr="00134A29">
              <w:rPr>
                <w:rFonts w:ascii="Arial" w:hAnsi="Arial" w:cs="Arial"/>
                <w:sz w:val="20"/>
                <w:szCs w:val="20"/>
              </w:rPr>
              <w:t>+</w:t>
            </w:r>
            <w:r>
              <w:rPr>
                <w:rFonts w:ascii="Arial" w:hAnsi="Arial" w:cs="Arial"/>
                <w:sz w:val="20"/>
                <w:szCs w:val="20"/>
              </w:rPr>
              <w:t>6,261</w:t>
            </w:r>
          </w:p>
        </w:tc>
        <w:tc>
          <w:tcPr>
            <w:tcW w:w="1260" w:type="dxa"/>
          </w:tcPr>
          <w:p w14:paraId="0BA10F99"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$815,859</w:t>
            </w:r>
          </w:p>
        </w:tc>
        <w:tc>
          <w:tcPr>
            <w:tcW w:w="1260" w:type="dxa"/>
          </w:tcPr>
          <w:p w14:paraId="3CE00EAA" w14:textId="77777777" w:rsidR="00386FF5" w:rsidRPr="00134A29" w:rsidRDefault="00386FF5" w:rsidP="00C35DF3">
            <w:pPr>
              <w:jc w:val="center"/>
              <w:rPr>
                <w:rFonts w:ascii="Arial" w:hAnsi="Arial" w:cs="Arial"/>
                <w:b/>
                <w:bCs/>
                <w:color w:val="0000FF"/>
                <w:sz w:val="20"/>
                <w:szCs w:val="20"/>
              </w:rPr>
            </w:pPr>
            <w:r>
              <w:rPr>
                <w:rFonts w:ascii="Arial" w:hAnsi="Arial" w:cs="Arial"/>
                <w:b/>
                <w:bCs/>
                <w:color w:val="0000FF"/>
                <w:sz w:val="20"/>
                <w:szCs w:val="20"/>
              </w:rPr>
              <w:t>$816,345</w:t>
            </w:r>
          </w:p>
        </w:tc>
        <w:tc>
          <w:tcPr>
            <w:tcW w:w="1080" w:type="dxa"/>
          </w:tcPr>
          <w:p w14:paraId="7A9F5E6E" w14:textId="77777777" w:rsidR="00386FF5" w:rsidRDefault="00386FF5" w:rsidP="00C35DF3">
            <w:pPr>
              <w:jc w:val="center"/>
              <w:rPr>
                <w:rFonts w:ascii="Arial" w:hAnsi="Arial" w:cs="Arial"/>
                <w:b/>
                <w:bCs/>
                <w:color w:val="0000FF"/>
                <w:sz w:val="20"/>
                <w:szCs w:val="20"/>
              </w:rPr>
            </w:pPr>
            <w:r w:rsidRPr="00CD5B7A">
              <w:rPr>
                <w:rFonts w:ascii="Arial" w:hAnsi="Arial" w:cs="Arial"/>
                <w:b/>
                <w:bCs/>
                <w:color w:val="FF0000"/>
                <w:sz w:val="20"/>
                <w:szCs w:val="20"/>
              </w:rPr>
              <w:t>($486)</w:t>
            </w:r>
          </w:p>
        </w:tc>
      </w:tr>
    </w:tbl>
    <w:p w14:paraId="140A41AE" w14:textId="77777777" w:rsidR="00386FF5" w:rsidRDefault="00386FF5" w:rsidP="00C00C03">
      <w:pPr>
        <w:rPr>
          <w:rFonts w:ascii="Arial" w:hAnsi="Arial" w:cs="Arial"/>
          <w:b/>
          <w:bCs/>
          <w:sz w:val="24"/>
          <w:szCs w:val="24"/>
        </w:rPr>
      </w:pPr>
    </w:p>
    <w:p w14:paraId="442C1A8E" w14:textId="77777777" w:rsidR="00A918DB" w:rsidRPr="00A92288" w:rsidRDefault="00A918DB" w:rsidP="00A918DB">
      <w:pPr>
        <w:spacing w:after="0"/>
        <w:rPr>
          <w:rFonts w:ascii="Arial" w:hAnsi="Arial" w:cs="Arial"/>
          <w:b/>
          <w:bCs/>
          <w:sz w:val="24"/>
          <w:szCs w:val="24"/>
        </w:rPr>
      </w:pPr>
      <w:r w:rsidRPr="00A92288">
        <w:rPr>
          <w:rFonts w:ascii="Arial" w:hAnsi="Arial" w:cs="Arial"/>
          <w:b/>
          <w:bCs/>
          <w:sz w:val="24"/>
          <w:szCs w:val="24"/>
        </w:rPr>
        <w:t>Question</w:t>
      </w:r>
      <w:r>
        <w:rPr>
          <w:rFonts w:ascii="Arial" w:hAnsi="Arial" w:cs="Arial"/>
          <w:b/>
          <w:bCs/>
          <w:sz w:val="24"/>
          <w:szCs w:val="24"/>
        </w:rPr>
        <w:t>(</w:t>
      </w:r>
      <w:r w:rsidRPr="00A92288">
        <w:rPr>
          <w:rFonts w:ascii="Arial" w:hAnsi="Arial" w:cs="Arial"/>
          <w:b/>
          <w:bCs/>
          <w:sz w:val="24"/>
          <w:szCs w:val="24"/>
        </w:rPr>
        <w:t>s</w:t>
      </w:r>
      <w:r>
        <w:rPr>
          <w:rFonts w:ascii="Arial" w:hAnsi="Arial" w:cs="Arial"/>
          <w:b/>
          <w:bCs/>
          <w:sz w:val="24"/>
          <w:szCs w:val="24"/>
        </w:rPr>
        <w:t>)</w:t>
      </w:r>
      <w:r w:rsidRPr="00A92288">
        <w:rPr>
          <w:rFonts w:ascii="Arial" w:hAnsi="Arial" w:cs="Arial"/>
          <w:b/>
          <w:bCs/>
          <w:sz w:val="24"/>
          <w:szCs w:val="24"/>
        </w:rPr>
        <w:t>:</w:t>
      </w:r>
    </w:p>
    <w:p w14:paraId="6B03A4BB" w14:textId="77777777" w:rsidR="00A918DB" w:rsidRDefault="00A918DB" w:rsidP="00A918DB">
      <w:pPr>
        <w:pStyle w:val="ListParagraph"/>
        <w:numPr>
          <w:ilvl w:val="0"/>
          <w:numId w:val="50"/>
        </w:numPr>
        <w:spacing w:after="0" w:line="259" w:lineRule="auto"/>
        <w:rPr>
          <w:rFonts w:ascii="Arial" w:hAnsi="Arial" w:cs="Arial"/>
          <w:sz w:val="24"/>
          <w:szCs w:val="24"/>
        </w:rPr>
      </w:pPr>
      <w:r>
        <w:rPr>
          <w:rFonts w:ascii="Arial" w:hAnsi="Arial" w:cs="Arial"/>
          <w:sz w:val="24"/>
          <w:szCs w:val="24"/>
        </w:rPr>
        <w:lastRenderedPageBreak/>
        <w:t>Please confirm the table above and revise it as necessary.</w:t>
      </w:r>
    </w:p>
    <w:p w14:paraId="05D39066" w14:textId="77777777" w:rsidR="00A918DB" w:rsidRPr="001B476D" w:rsidRDefault="00A918DB" w:rsidP="00A918DB">
      <w:pPr>
        <w:pStyle w:val="ListParagraph"/>
        <w:numPr>
          <w:ilvl w:val="0"/>
          <w:numId w:val="50"/>
        </w:numPr>
        <w:spacing w:after="0" w:line="259" w:lineRule="auto"/>
        <w:rPr>
          <w:rFonts w:ascii="Arial" w:hAnsi="Arial" w:cs="Arial"/>
          <w:sz w:val="24"/>
          <w:szCs w:val="24"/>
        </w:rPr>
      </w:pPr>
      <w:r>
        <w:rPr>
          <w:rFonts w:ascii="Arial" w:hAnsi="Arial" w:cs="Arial"/>
          <w:sz w:val="24"/>
          <w:szCs w:val="24"/>
        </w:rPr>
        <w:t xml:space="preserve">If confirmed, </w:t>
      </w:r>
      <w:r w:rsidRPr="001B476D">
        <w:rPr>
          <w:rFonts w:ascii="Arial" w:hAnsi="Arial" w:cs="Arial"/>
          <w:sz w:val="24"/>
          <w:szCs w:val="24"/>
        </w:rPr>
        <w:t xml:space="preserve">please explain the variance </w:t>
      </w:r>
      <w:r>
        <w:rPr>
          <w:rFonts w:ascii="Arial" w:hAnsi="Arial" w:cs="Arial"/>
          <w:sz w:val="24"/>
          <w:szCs w:val="24"/>
        </w:rPr>
        <w:t xml:space="preserve">of </w:t>
      </w:r>
      <w:r w:rsidRPr="001B476D">
        <w:rPr>
          <w:rFonts w:ascii="Arial" w:hAnsi="Arial" w:cs="Arial"/>
          <w:sz w:val="24"/>
          <w:szCs w:val="24"/>
        </w:rPr>
        <w:t>$134,70</w:t>
      </w:r>
      <w:r>
        <w:rPr>
          <w:rFonts w:ascii="Arial" w:hAnsi="Arial" w:cs="Arial"/>
          <w:sz w:val="24"/>
          <w:szCs w:val="24"/>
        </w:rPr>
        <w:t>2</w:t>
      </w:r>
      <w:r w:rsidRPr="001B476D">
        <w:rPr>
          <w:rFonts w:ascii="Arial" w:hAnsi="Arial" w:cs="Arial"/>
          <w:sz w:val="24"/>
          <w:szCs w:val="24"/>
        </w:rPr>
        <w:t xml:space="preserve"> shown in Account 1588-RSVA Power and the variance </w:t>
      </w:r>
      <w:r>
        <w:rPr>
          <w:rFonts w:ascii="Arial" w:hAnsi="Arial" w:cs="Arial"/>
          <w:sz w:val="24"/>
          <w:szCs w:val="24"/>
        </w:rPr>
        <w:t xml:space="preserve">of </w:t>
      </w:r>
      <w:r w:rsidRPr="001B476D">
        <w:rPr>
          <w:rFonts w:ascii="Arial" w:hAnsi="Arial" w:cs="Arial"/>
          <w:sz w:val="24"/>
          <w:szCs w:val="24"/>
        </w:rPr>
        <w:t>($486) shown in Account 1589-RSVA GA</w:t>
      </w:r>
    </w:p>
    <w:p w14:paraId="3F51E788" w14:textId="77777777" w:rsidR="00A918DB" w:rsidRDefault="00A918DB" w:rsidP="00C00C03">
      <w:pPr>
        <w:rPr>
          <w:rFonts w:ascii="Arial" w:hAnsi="Arial" w:cs="Arial"/>
          <w:b/>
          <w:bCs/>
          <w:sz w:val="24"/>
          <w:szCs w:val="24"/>
        </w:rPr>
      </w:pPr>
    </w:p>
    <w:p w14:paraId="624FE633" w14:textId="738309C7" w:rsidR="00C00C03" w:rsidRPr="00AC2EFB" w:rsidRDefault="00421F68" w:rsidP="00C00C03">
      <w:pPr>
        <w:rPr>
          <w:rFonts w:ascii="Arial" w:hAnsi="Arial" w:cs="Arial"/>
          <w:b/>
          <w:bCs/>
          <w:sz w:val="24"/>
          <w:szCs w:val="24"/>
        </w:rPr>
      </w:pPr>
      <w:r>
        <w:rPr>
          <w:rFonts w:ascii="Arial" w:hAnsi="Arial" w:cs="Arial"/>
          <w:b/>
          <w:bCs/>
          <w:sz w:val="24"/>
          <w:szCs w:val="24"/>
        </w:rPr>
        <w:t>3</w:t>
      </w:r>
      <w:r w:rsidR="00C00C03" w:rsidRPr="5B05E9BA">
        <w:rPr>
          <w:rFonts w:ascii="Arial" w:hAnsi="Arial" w:cs="Arial"/>
          <w:b/>
          <w:bCs/>
          <w:sz w:val="24"/>
          <w:szCs w:val="24"/>
        </w:rPr>
        <w:t>-Staff-2</w:t>
      </w:r>
    </w:p>
    <w:p w14:paraId="1AB17911" w14:textId="77777777" w:rsidR="00FC2D5A" w:rsidRDefault="00FC2D5A" w:rsidP="00FC2D5A">
      <w:pPr>
        <w:spacing w:after="0"/>
        <w:ind w:left="360" w:hanging="360"/>
        <w:rPr>
          <w:rFonts w:ascii="Arial" w:hAnsi="Arial" w:cs="Arial"/>
          <w:b/>
          <w:bCs/>
          <w:sz w:val="24"/>
          <w:szCs w:val="24"/>
        </w:rPr>
      </w:pPr>
      <w:r w:rsidRPr="00D718C9">
        <w:rPr>
          <w:rFonts w:ascii="Arial" w:hAnsi="Arial" w:cs="Arial"/>
          <w:b/>
          <w:bCs/>
          <w:sz w:val="24"/>
          <w:szCs w:val="24"/>
        </w:rPr>
        <w:t xml:space="preserve">Ref </w:t>
      </w:r>
      <w:r>
        <w:rPr>
          <w:rFonts w:ascii="Arial" w:hAnsi="Arial" w:cs="Arial"/>
          <w:b/>
          <w:bCs/>
          <w:sz w:val="24"/>
          <w:szCs w:val="24"/>
        </w:rPr>
        <w:t>1</w:t>
      </w:r>
      <w:r w:rsidRPr="00D718C9">
        <w:rPr>
          <w:rFonts w:ascii="Arial" w:hAnsi="Arial" w:cs="Arial"/>
          <w:b/>
          <w:bCs/>
          <w:sz w:val="24"/>
          <w:szCs w:val="24"/>
        </w:rPr>
        <w:t>: TB DVA Continuity</w:t>
      </w:r>
      <w:r>
        <w:rPr>
          <w:rFonts w:ascii="Arial" w:hAnsi="Arial" w:cs="Arial"/>
          <w:b/>
          <w:bCs/>
          <w:sz w:val="24"/>
          <w:szCs w:val="24"/>
        </w:rPr>
        <w:t xml:space="preserve"> schedule</w:t>
      </w:r>
      <w:r w:rsidRPr="00D718C9">
        <w:rPr>
          <w:rFonts w:ascii="Arial" w:hAnsi="Arial" w:cs="Arial"/>
          <w:b/>
          <w:bCs/>
          <w:sz w:val="24"/>
          <w:szCs w:val="24"/>
        </w:rPr>
        <w:t>_20250124, Tab 3</w:t>
      </w:r>
    </w:p>
    <w:p w14:paraId="257E370D" w14:textId="77777777" w:rsidR="00FC2D5A" w:rsidRDefault="00FC2D5A" w:rsidP="00FC2D5A">
      <w:pPr>
        <w:spacing w:after="0"/>
        <w:ind w:left="360" w:hanging="360"/>
        <w:rPr>
          <w:rFonts w:ascii="Arial" w:hAnsi="Arial" w:cs="Arial"/>
          <w:b/>
          <w:bCs/>
          <w:sz w:val="24"/>
          <w:szCs w:val="24"/>
        </w:rPr>
      </w:pPr>
      <w:r>
        <w:rPr>
          <w:rFonts w:ascii="Arial" w:hAnsi="Arial" w:cs="Arial"/>
          <w:b/>
          <w:bCs/>
          <w:sz w:val="24"/>
          <w:szCs w:val="24"/>
        </w:rPr>
        <w:t xml:space="preserve">Ref 2: </w:t>
      </w:r>
      <w:r w:rsidRPr="00D718C9">
        <w:rPr>
          <w:rFonts w:ascii="Arial" w:hAnsi="Arial" w:cs="Arial"/>
          <w:b/>
          <w:bCs/>
          <w:sz w:val="24"/>
          <w:szCs w:val="24"/>
        </w:rPr>
        <w:t>KN DVA Continuity</w:t>
      </w:r>
      <w:r>
        <w:rPr>
          <w:rFonts w:ascii="Arial" w:hAnsi="Arial" w:cs="Arial"/>
          <w:b/>
          <w:bCs/>
          <w:sz w:val="24"/>
          <w:szCs w:val="24"/>
        </w:rPr>
        <w:t xml:space="preserve"> schedule</w:t>
      </w:r>
      <w:r w:rsidRPr="00D718C9">
        <w:rPr>
          <w:rFonts w:ascii="Arial" w:hAnsi="Arial" w:cs="Arial"/>
          <w:b/>
          <w:bCs/>
          <w:sz w:val="24"/>
          <w:szCs w:val="24"/>
        </w:rPr>
        <w:t>_20250124, Tab 3</w:t>
      </w:r>
    </w:p>
    <w:p w14:paraId="7612B833" w14:textId="77777777" w:rsidR="00FC2D5A" w:rsidRDefault="00FC2D5A" w:rsidP="00FC2D5A">
      <w:pPr>
        <w:spacing w:after="0"/>
        <w:ind w:left="360" w:hanging="360"/>
        <w:rPr>
          <w:rFonts w:ascii="Arial" w:hAnsi="Arial" w:cs="Arial"/>
          <w:b/>
          <w:bCs/>
          <w:sz w:val="24"/>
          <w:szCs w:val="24"/>
        </w:rPr>
      </w:pPr>
      <w:r>
        <w:rPr>
          <w:rFonts w:ascii="Arial" w:hAnsi="Arial" w:cs="Arial"/>
          <w:b/>
          <w:bCs/>
          <w:sz w:val="24"/>
          <w:szCs w:val="24"/>
        </w:rPr>
        <w:t>Ref 3: TB GA Analysis Workform_20241030</w:t>
      </w:r>
    </w:p>
    <w:p w14:paraId="47316B7F" w14:textId="77777777" w:rsidR="00FC2D5A" w:rsidRDefault="00FC2D5A" w:rsidP="00FC2D5A">
      <w:pPr>
        <w:spacing w:after="0"/>
        <w:ind w:left="360" w:hanging="360"/>
        <w:rPr>
          <w:rFonts w:ascii="Arial" w:hAnsi="Arial" w:cs="Arial"/>
          <w:b/>
          <w:bCs/>
          <w:sz w:val="24"/>
          <w:szCs w:val="24"/>
        </w:rPr>
      </w:pPr>
      <w:r>
        <w:rPr>
          <w:rFonts w:ascii="Arial" w:hAnsi="Arial" w:cs="Arial"/>
          <w:b/>
          <w:bCs/>
          <w:sz w:val="24"/>
          <w:szCs w:val="24"/>
        </w:rPr>
        <w:t>Ref 4: KN GA Analysis Workform_20241030</w:t>
      </w:r>
    </w:p>
    <w:p w14:paraId="4DF5C16D" w14:textId="77777777" w:rsidR="00FC2D5A" w:rsidRDefault="00FC2D5A" w:rsidP="00FC2D5A">
      <w:pPr>
        <w:spacing w:after="0"/>
        <w:ind w:left="360" w:hanging="360"/>
        <w:rPr>
          <w:rFonts w:ascii="Arial" w:hAnsi="Arial" w:cs="Arial"/>
          <w:b/>
          <w:bCs/>
          <w:sz w:val="24"/>
          <w:szCs w:val="24"/>
        </w:rPr>
      </w:pPr>
      <w:r>
        <w:rPr>
          <w:rFonts w:ascii="Arial" w:hAnsi="Arial" w:cs="Arial"/>
          <w:b/>
          <w:bCs/>
          <w:sz w:val="24"/>
          <w:szCs w:val="24"/>
        </w:rPr>
        <w:t>Ref 5: SNC_ReplySUB_2025 IRM_20241220, 1-Staff-2</w:t>
      </w:r>
    </w:p>
    <w:p w14:paraId="680A47B7" w14:textId="77777777" w:rsidR="00FC2D5A" w:rsidRDefault="00FC2D5A" w:rsidP="00FC2D5A">
      <w:pPr>
        <w:spacing w:after="0"/>
        <w:ind w:left="360" w:hanging="360"/>
        <w:rPr>
          <w:rFonts w:ascii="Arial" w:hAnsi="Arial" w:cs="Arial"/>
          <w:b/>
          <w:bCs/>
          <w:sz w:val="24"/>
          <w:szCs w:val="24"/>
        </w:rPr>
      </w:pPr>
    </w:p>
    <w:p w14:paraId="6D6E1E81" w14:textId="77777777" w:rsidR="00FC2D5A" w:rsidRDefault="00FC2D5A" w:rsidP="00FC2D5A">
      <w:pPr>
        <w:spacing w:after="0"/>
        <w:ind w:left="360" w:hanging="360"/>
        <w:rPr>
          <w:rFonts w:ascii="Arial" w:hAnsi="Arial" w:cs="Arial"/>
          <w:sz w:val="24"/>
          <w:szCs w:val="24"/>
        </w:rPr>
      </w:pPr>
      <w:r>
        <w:rPr>
          <w:rFonts w:ascii="Arial" w:hAnsi="Arial" w:cs="Arial"/>
          <w:sz w:val="24"/>
          <w:szCs w:val="24"/>
        </w:rPr>
        <w:t xml:space="preserve">Per Ref 1&amp;2, Synergy North includes </w:t>
      </w:r>
      <w:r w:rsidRPr="00D718C9">
        <w:rPr>
          <w:rFonts w:ascii="Arial" w:hAnsi="Arial" w:cs="Arial"/>
          <w:sz w:val="24"/>
          <w:szCs w:val="24"/>
        </w:rPr>
        <w:t>January through April</w:t>
      </w:r>
      <w:r>
        <w:rPr>
          <w:rFonts w:ascii="Arial" w:hAnsi="Arial" w:cs="Arial"/>
          <w:sz w:val="24"/>
          <w:szCs w:val="24"/>
        </w:rPr>
        <w:t xml:space="preserve"> 2</w:t>
      </w:r>
      <w:r w:rsidRPr="00D718C9">
        <w:rPr>
          <w:rFonts w:ascii="Arial" w:hAnsi="Arial" w:cs="Arial"/>
          <w:sz w:val="24"/>
          <w:szCs w:val="24"/>
        </w:rPr>
        <w:t>024 activity</w:t>
      </w:r>
      <w:r>
        <w:rPr>
          <w:rFonts w:ascii="Arial" w:hAnsi="Arial" w:cs="Arial"/>
          <w:sz w:val="24"/>
          <w:szCs w:val="24"/>
        </w:rPr>
        <w:t xml:space="preserve"> in Column BF</w:t>
      </w:r>
    </w:p>
    <w:p w14:paraId="349531B3" w14:textId="77777777" w:rsidR="00FC2D5A" w:rsidRDefault="00FC2D5A" w:rsidP="00FC2D5A">
      <w:pPr>
        <w:spacing w:after="0"/>
        <w:ind w:left="360" w:hanging="360"/>
        <w:rPr>
          <w:rFonts w:ascii="Arial" w:hAnsi="Arial" w:cs="Arial"/>
          <w:sz w:val="24"/>
          <w:szCs w:val="24"/>
        </w:rPr>
      </w:pPr>
      <w:r>
        <w:rPr>
          <w:rFonts w:ascii="Arial" w:hAnsi="Arial" w:cs="Arial"/>
          <w:sz w:val="24"/>
          <w:szCs w:val="24"/>
        </w:rPr>
        <w:t>(as principal adjustments during 2023) for</w:t>
      </w:r>
      <w:r w:rsidRPr="00D718C9">
        <w:rPr>
          <w:rFonts w:ascii="Arial" w:hAnsi="Arial" w:cs="Arial"/>
          <w:sz w:val="24"/>
          <w:szCs w:val="24"/>
        </w:rPr>
        <w:t xml:space="preserve"> both Kenora and Thunder Bay</w:t>
      </w:r>
      <w:r>
        <w:rPr>
          <w:rFonts w:ascii="Arial" w:hAnsi="Arial" w:cs="Arial"/>
          <w:sz w:val="24"/>
          <w:szCs w:val="24"/>
        </w:rPr>
        <w:t xml:space="preserve">. </w:t>
      </w:r>
    </w:p>
    <w:p w14:paraId="5AA07D29" w14:textId="77777777" w:rsidR="00FC2D5A" w:rsidRDefault="00FC2D5A" w:rsidP="00FC2D5A">
      <w:pPr>
        <w:spacing w:after="0"/>
        <w:ind w:left="360" w:hanging="360"/>
        <w:rPr>
          <w:rFonts w:ascii="Arial" w:hAnsi="Arial" w:cs="Arial"/>
          <w:sz w:val="24"/>
          <w:szCs w:val="24"/>
        </w:rPr>
      </w:pPr>
    </w:p>
    <w:p w14:paraId="59EE85A1" w14:textId="77777777" w:rsidR="00FC2D5A" w:rsidRDefault="00FC2D5A" w:rsidP="00FC2D5A">
      <w:pPr>
        <w:spacing w:after="0"/>
        <w:ind w:left="360" w:hanging="360"/>
        <w:rPr>
          <w:rFonts w:ascii="Arial" w:hAnsi="Arial" w:cs="Arial"/>
          <w:sz w:val="24"/>
          <w:szCs w:val="24"/>
        </w:rPr>
      </w:pPr>
      <w:r>
        <w:rPr>
          <w:rFonts w:ascii="Arial" w:hAnsi="Arial" w:cs="Arial"/>
          <w:sz w:val="24"/>
          <w:szCs w:val="24"/>
        </w:rPr>
        <w:t xml:space="preserve">Per Ref 3&amp;4, Synergy North includes </w:t>
      </w:r>
      <w:r w:rsidRPr="00D718C9">
        <w:rPr>
          <w:rFonts w:ascii="Arial" w:hAnsi="Arial" w:cs="Arial"/>
          <w:sz w:val="24"/>
          <w:szCs w:val="24"/>
        </w:rPr>
        <w:t>January through April</w:t>
      </w:r>
      <w:r>
        <w:rPr>
          <w:rFonts w:ascii="Arial" w:hAnsi="Arial" w:cs="Arial"/>
          <w:sz w:val="24"/>
          <w:szCs w:val="24"/>
        </w:rPr>
        <w:t xml:space="preserve"> 2</w:t>
      </w:r>
      <w:r w:rsidRPr="00D718C9">
        <w:rPr>
          <w:rFonts w:ascii="Arial" w:hAnsi="Arial" w:cs="Arial"/>
          <w:sz w:val="24"/>
          <w:szCs w:val="24"/>
        </w:rPr>
        <w:t>024 activity</w:t>
      </w:r>
      <w:r>
        <w:rPr>
          <w:rFonts w:ascii="Arial" w:hAnsi="Arial" w:cs="Arial"/>
          <w:sz w:val="24"/>
          <w:szCs w:val="24"/>
        </w:rPr>
        <w:t xml:space="preserve"> in both Note 4</w:t>
      </w:r>
    </w:p>
    <w:p w14:paraId="2E89555E" w14:textId="77777777" w:rsidR="00FC2D5A" w:rsidRDefault="00FC2D5A" w:rsidP="00FC2D5A">
      <w:pPr>
        <w:spacing w:after="0"/>
        <w:ind w:left="360" w:hanging="360"/>
        <w:rPr>
          <w:rFonts w:ascii="Arial" w:hAnsi="Arial" w:cs="Arial"/>
          <w:sz w:val="24"/>
          <w:szCs w:val="24"/>
        </w:rPr>
      </w:pPr>
      <w:r>
        <w:rPr>
          <w:rFonts w:ascii="Arial" w:hAnsi="Arial" w:cs="Arial"/>
          <w:sz w:val="24"/>
          <w:szCs w:val="24"/>
        </w:rPr>
        <w:t>and Account 1588 reasonability test.</w:t>
      </w:r>
    </w:p>
    <w:p w14:paraId="659CD5DB" w14:textId="77777777" w:rsidR="00FC2D5A" w:rsidRDefault="00FC2D5A" w:rsidP="00FC2D5A">
      <w:pPr>
        <w:spacing w:after="0"/>
        <w:ind w:left="360" w:hanging="360"/>
        <w:rPr>
          <w:rFonts w:ascii="Arial" w:hAnsi="Arial" w:cs="Arial"/>
          <w:sz w:val="24"/>
          <w:szCs w:val="24"/>
        </w:rPr>
      </w:pPr>
    </w:p>
    <w:p w14:paraId="4CC5232D" w14:textId="77777777" w:rsidR="00FC2D5A" w:rsidRDefault="00FC2D5A" w:rsidP="00FC2D5A">
      <w:pPr>
        <w:spacing w:after="0"/>
        <w:ind w:left="360" w:hanging="360"/>
        <w:rPr>
          <w:rFonts w:ascii="Arial" w:hAnsi="Arial" w:cs="Arial"/>
          <w:sz w:val="24"/>
          <w:szCs w:val="24"/>
        </w:rPr>
      </w:pPr>
      <w:r>
        <w:rPr>
          <w:rFonts w:ascii="Arial" w:hAnsi="Arial" w:cs="Arial"/>
          <w:sz w:val="24"/>
          <w:szCs w:val="24"/>
        </w:rPr>
        <w:t xml:space="preserve">Per Ref 5, Synergy North states </w:t>
      </w:r>
      <w:r w:rsidRPr="00A72CCD">
        <w:rPr>
          <w:rFonts w:ascii="Arial" w:hAnsi="Arial" w:cs="Arial"/>
          <w:sz w:val="24"/>
          <w:szCs w:val="24"/>
        </w:rPr>
        <w:t>Group 1 balances are being requested for disposal by</w:t>
      </w:r>
    </w:p>
    <w:p w14:paraId="41E34F69" w14:textId="77777777" w:rsidR="00FC2D5A" w:rsidRDefault="00FC2D5A" w:rsidP="00FC2D5A">
      <w:pPr>
        <w:spacing w:after="0"/>
        <w:ind w:left="360" w:hanging="360"/>
        <w:rPr>
          <w:rFonts w:ascii="Arial" w:hAnsi="Arial" w:cs="Arial"/>
          <w:sz w:val="24"/>
          <w:szCs w:val="24"/>
        </w:rPr>
      </w:pPr>
      <w:r w:rsidRPr="00A72CCD">
        <w:rPr>
          <w:rFonts w:ascii="Arial" w:hAnsi="Arial" w:cs="Arial"/>
          <w:sz w:val="24"/>
          <w:szCs w:val="24"/>
        </w:rPr>
        <w:t>zone in</w:t>
      </w:r>
      <w:r>
        <w:rPr>
          <w:rFonts w:ascii="Arial" w:hAnsi="Arial" w:cs="Arial"/>
          <w:sz w:val="24"/>
          <w:szCs w:val="24"/>
        </w:rPr>
        <w:t xml:space="preserve"> </w:t>
      </w:r>
      <w:r w:rsidRPr="00A72CCD">
        <w:rPr>
          <w:rFonts w:ascii="Arial" w:hAnsi="Arial" w:cs="Arial"/>
          <w:sz w:val="24"/>
          <w:szCs w:val="24"/>
        </w:rPr>
        <w:t>this application to ensure balances that accumulated in these accounts, based</w:t>
      </w:r>
    </w:p>
    <w:p w14:paraId="486A55B9" w14:textId="77777777" w:rsidR="00FC2D5A" w:rsidRDefault="00FC2D5A" w:rsidP="00FC2D5A">
      <w:pPr>
        <w:spacing w:after="0"/>
        <w:ind w:left="360" w:hanging="360"/>
        <w:rPr>
          <w:rFonts w:ascii="Arial" w:hAnsi="Arial" w:cs="Arial"/>
          <w:sz w:val="24"/>
          <w:szCs w:val="24"/>
        </w:rPr>
      </w:pPr>
      <w:r w:rsidRPr="00A72CCD">
        <w:rPr>
          <w:rFonts w:ascii="Arial" w:hAnsi="Arial" w:cs="Arial"/>
          <w:sz w:val="24"/>
          <w:szCs w:val="24"/>
        </w:rPr>
        <w:t>on “pre-harmonized” rates (rates before May 1, 2024)</w:t>
      </w:r>
      <w:r>
        <w:rPr>
          <w:rFonts w:ascii="Arial" w:hAnsi="Arial" w:cs="Arial"/>
          <w:sz w:val="24"/>
          <w:szCs w:val="24"/>
        </w:rPr>
        <w:t xml:space="preserve">. </w:t>
      </w:r>
      <w:r w:rsidRPr="00912536">
        <w:rPr>
          <w:rFonts w:ascii="Arial" w:hAnsi="Arial" w:cs="Arial"/>
          <w:sz w:val="24"/>
          <w:szCs w:val="24"/>
        </w:rPr>
        <w:t>Balances accumulating in Group</w:t>
      </w:r>
    </w:p>
    <w:p w14:paraId="3267673C" w14:textId="61E4BB33" w:rsidR="00FC2D5A" w:rsidRDefault="00FC2D5A" w:rsidP="00FC2D5A">
      <w:pPr>
        <w:spacing w:after="0"/>
        <w:ind w:left="360" w:hanging="360"/>
        <w:rPr>
          <w:rFonts w:ascii="Arial" w:hAnsi="Arial" w:cs="Arial"/>
          <w:sz w:val="24"/>
          <w:szCs w:val="24"/>
        </w:rPr>
      </w:pPr>
      <w:r w:rsidRPr="00912536">
        <w:rPr>
          <w:rFonts w:ascii="Arial" w:hAnsi="Arial" w:cs="Arial"/>
          <w:sz w:val="24"/>
          <w:szCs w:val="24"/>
        </w:rPr>
        <w:t xml:space="preserve">1 </w:t>
      </w:r>
      <w:proofErr w:type="gramStart"/>
      <w:r w:rsidRPr="00912536">
        <w:rPr>
          <w:rFonts w:ascii="Arial" w:hAnsi="Arial" w:cs="Arial"/>
          <w:sz w:val="24"/>
          <w:szCs w:val="24"/>
        </w:rPr>
        <w:t>accounts</w:t>
      </w:r>
      <w:proofErr w:type="gramEnd"/>
      <w:r w:rsidRPr="00912536">
        <w:rPr>
          <w:rFonts w:ascii="Arial" w:hAnsi="Arial" w:cs="Arial"/>
          <w:sz w:val="24"/>
          <w:szCs w:val="24"/>
        </w:rPr>
        <w:t xml:space="preserve"> beginning May 1, 2024</w:t>
      </w:r>
      <w:r w:rsidR="00F229CE">
        <w:rPr>
          <w:rFonts w:ascii="Arial" w:hAnsi="Arial" w:cs="Arial"/>
          <w:sz w:val="24"/>
          <w:szCs w:val="24"/>
        </w:rPr>
        <w:t>,</w:t>
      </w:r>
      <w:r w:rsidRPr="00912536">
        <w:rPr>
          <w:rFonts w:ascii="Arial" w:hAnsi="Arial" w:cs="Arial"/>
          <w:sz w:val="24"/>
          <w:szCs w:val="24"/>
        </w:rPr>
        <w:t xml:space="preserve"> are based on fully harmonized rates and will be</w:t>
      </w:r>
    </w:p>
    <w:p w14:paraId="43F03825" w14:textId="77777777" w:rsidR="00FC2D5A" w:rsidRDefault="00FC2D5A" w:rsidP="00FC2D5A">
      <w:pPr>
        <w:spacing w:after="0"/>
        <w:ind w:left="360" w:hanging="360"/>
        <w:rPr>
          <w:rFonts w:ascii="Arial" w:hAnsi="Arial" w:cs="Arial"/>
          <w:sz w:val="24"/>
          <w:szCs w:val="24"/>
        </w:rPr>
      </w:pPr>
      <w:r w:rsidRPr="00912536">
        <w:rPr>
          <w:rFonts w:ascii="Arial" w:hAnsi="Arial" w:cs="Arial"/>
          <w:sz w:val="24"/>
          <w:szCs w:val="24"/>
        </w:rPr>
        <w:t>disposed to all customers, regardless of zone, in the 2026 IRM.</w:t>
      </w:r>
    </w:p>
    <w:p w14:paraId="71A6CAFD" w14:textId="77777777" w:rsidR="00FC2D5A" w:rsidRDefault="00FC2D5A" w:rsidP="00FC2D5A">
      <w:pPr>
        <w:spacing w:after="0"/>
        <w:ind w:left="360" w:hanging="360"/>
        <w:rPr>
          <w:rFonts w:ascii="Arial" w:hAnsi="Arial" w:cs="Arial"/>
          <w:sz w:val="24"/>
          <w:szCs w:val="24"/>
        </w:rPr>
      </w:pPr>
    </w:p>
    <w:p w14:paraId="26C64D2A" w14:textId="77777777" w:rsidR="00FC2D5A" w:rsidRPr="00A92288" w:rsidRDefault="00FC2D5A" w:rsidP="00FC2D5A">
      <w:pPr>
        <w:spacing w:after="0"/>
        <w:rPr>
          <w:rFonts w:ascii="Arial" w:hAnsi="Arial" w:cs="Arial"/>
          <w:b/>
          <w:bCs/>
          <w:sz w:val="24"/>
          <w:szCs w:val="24"/>
        </w:rPr>
      </w:pPr>
      <w:r w:rsidRPr="00A92288">
        <w:rPr>
          <w:rFonts w:ascii="Arial" w:hAnsi="Arial" w:cs="Arial"/>
          <w:b/>
          <w:bCs/>
          <w:sz w:val="24"/>
          <w:szCs w:val="24"/>
        </w:rPr>
        <w:t>Question</w:t>
      </w:r>
      <w:r>
        <w:rPr>
          <w:rFonts w:ascii="Arial" w:hAnsi="Arial" w:cs="Arial"/>
          <w:b/>
          <w:bCs/>
          <w:sz w:val="24"/>
          <w:szCs w:val="24"/>
        </w:rPr>
        <w:t>(</w:t>
      </w:r>
      <w:r w:rsidRPr="00A92288">
        <w:rPr>
          <w:rFonts w:ascii="Arial" w:hAnsi="Arial" w:cs="Arial"/>
          <w:b/>
          <w:bCs/>
          <w:sz w:val="24"/>
          <w:szCs w:val="24"/>
        </w:rPr>
        <w:t>s</w:t>
      </w:r>
      <w:r>
        <w:rPr>
          <w:rFonts w:ascii="Arial" w:hAnsi="Arial" w:cs="Arial"/>
          <w:b/>
          <w:bCs/>
          <w:sz w:val="24"/>
          <w:szCs w:val="24"/>
        </w:rPr>
        <w:t>)</w:t>
      </w:r>
      <w:r w:rsidRPr="00A92288">
        <w:rPr>
          <w:rFonts w:ascii="Arial" w:hAnsi="Arial" w:cs="Arial"/>
          <w:b/>
          <w:bCs/>
          <w:sz w:val="24"/>
          <w:szCs w:val="24"/>
        </w:rPr>
        <w:t>:</w:t>
      </w:r>
    </w:p>
    <w:p w14:paraId="208B0479" w14:textId="77777777" w:rsidR="00FC2D5A" w:rsidRDefault="00FC2D5A" w:rsidP="00FC2D5A">
      <w:pPr>
        <w:pStyle w:val="ListParagraph"/>
        <w:numPr>
          <w:ilvl w:val="0"/>
          <w:numId w:val="51"/>
        </w:numPr>
        <w:spacing w:after="0" w:line="259" w:lineRule="auto"/>
        <w:rPr>
          <w:rFonts w:ascii="Arial" w:hAnsi="Arial" w:cs="Arial"/>
          <w:sz w:val="24"/>
          <w:szCs w:val="24"/>
        </w:rPr>
      </w:pPr>
      <w:r w:rsidRPr="00912536">
        <w:rPr>
          <w:rFonts w:ascii="Arial" w:hAnsi="Arial" w:cs="Arial"/>
          <w:sz w:val="24"/>
          <w:szCs w:val="24"/>
        </w:rPr>
        <w:t xml:space="preserve">Please confirm </w:t>
      </w:r>
      <w:r>
        <w:rPr>
          <w:rFonts w:ascii="Arial" w:hAnsi="Arial" w:cs="Arial"/>
          <w:sz w:val="24"/>
          <w:szCs w:val="24"/>
        </w:rPr>
        <w:t>whether Synergy North is going to reverse all the principal adjustments (</w:t>
      </w:r>
      <w:r w:rsidRPr="00D718C9">
        <w:rPr>
          <w:rFonts w:ascii="Arial" w:hAnsi="Arial" w:cs="Arial"/>
          <w:sz w:val="24"/>
          <w:szCs w:val="24"/>
        </w:rPr>
        <w:t>January through April</w:t>
      </w:r>
      <w:r>
        <w:rPr>
          <w:rFonts w:ascii="Arial" w:hAnsi="Arial" w:cs="Arial"/>
          <w:sz w:val="24"/>
          <w:szCs w:val="24"/>
        </w:rPr>
        <w:t xml:space="preserve"> 2</w:t>
      </w:r>
      <w:r w:rsidRPr="00D718C9">
        <w:rPr>
          <w:rFonts w:ascii="Arial" w:hAnsi="Arial" w:cs="Arial"/>
          <w:sz w:val="24"/>
          <w:szCs w:val="24"/>
        </w:rPr>
        <w:t>024 activity</w:t>
      </w:r>
      <w:r>
        <w:rPr>
          <w:rFonts w:ascii="Arial" w:hAnsi="Arial" w:cs="Arial"/>
          <w:sz w:val="24"/>
          <w:szCs w:val="24"/>
        </w:rPr>
        <w:t>) in Column BF of DVA continuity schedule Tab 3 in the 2026 IRM proceeding.</w:t>
      </w:r>
    </w:p>
    <w:p w14:paraId="103762FD" w14:textId="463B1B7B" w:rsidR="00FC2D5A" w:rsidRDefault="00FC2D5A" w:rsidP="00FC2D5A">
      <w:pPr>
        <w:pStyle w:val="ListParagraph"/>
        <w:numPr>
          <w:ilvl w:val="0"/>
          <w:numId w:val="53"/>
        </w:numPr>
        <w:spacing w:after="0" w:line="259" w:lineRule="auto"/>
        <w:rPr>
          <w:rFonts w:ascii="Arial" w:hAnsi="Arial" w:cs="Arial"/>
          <w:sz w:val="24"/>
          <w:szCs w:val="24"/>
        </w:rPr>
      </w:pPr>
      <w:r>
        <w:rPr>
          <w:rFonts w:ascii="Arial" w:hAnsi="Arial" w:cs="Arial"/>
          <w:sz w:val="24"/>
          <w:szCs w:val="24"/>
        </w:rPr>
        <w:t xml:space="preserve">If confirmed, please resubmit the GA </w:t>
      </w:r>
      <w:proofErr w:type="spellStart"/>
      <w:r>
        <w:rPr>
          <w:rFonts w:ascii="Arial" w:hAnsi="Arial" w:cs="Arial"/>
          <w:sz w:val="24"/>
          <w:szCs w:val="24"/>
        </w:rPr>
        <w:t>workform</w:t>
      </w:r>
      <w:proofErr w:type="spellEnd"/>
      <w:r>
        <w:rPr>
          <w:rFonts w:ascii="Arial" w:hAnsi="Arial" w:cs="Arial"/>
          <w:sz w:val="24"/>
          <w:szCs w:val="24"/>
        </w:rPr>
        <w:t xml:space="preserve"> to reflect all the principal adjustments which </w:t>
      </w:r>
      <w:r w:rsidR="00F229CE">
        <w:rPr>
          <w:rFonts w:ascii="Arial" w:hAnsi="Arial" w:cs="Arial"/>
          <w:sz w:val="24"/>
          <w:szCs w:val="24"/>
        </w:rPr>
        <w:t>need</w:t>
      </w:r>
      <w:r>
        <w:rPr>
          <w:rFonts w:ascii="Arial" w:hAnsi="Arial" w:cs="Arial"/>
          <w:sz w:val="24"/>
          <w:szCs w:val="24"/>
        </w:rPr>
        <w:t xml:space="preserve"> to be reversed in the 2026 IRM proceeding.</w:t>
      </w:r>
    </w:p>
    <w:p w14:paraId="37DD2CE6" w14:textId="77777777" w:rsidR="00FC2D5A" w:rsidRDefault="00FC2D5A" w:rsidP="00FC2D5A">
      <w:pPr>
        <w:pStyle w:val="ListParagraph"/>
        <w:numPr>
          <w:ilvl w:val="0"/>
          <w:numId w:val="53"/>
        </w:numPr>
        <w:spacing w:after="0" w:line="259" w:lineRule="auto"/>
        <w:rPr>
          <w:rFonts w:ascii="Arial" w:hAnsi="Arial" w:cs="Arial"/>
          <w:sz w:val="24"/>
          <w:szCs w:val="24"/>
        </w:rPr>
      </w:pPr>
      <w:r>
        <w:rPr>
          <w:rFonts w:ascii="Arial" w:hAnsi="Arial" w:cs="Arial"/>
          <w:sz w:val="24"/>
          <w:szCs w:val="24"/>
        </w:rPr>
        <w:t>If not, please explain why not.</w:t>
      </w:r>
    </w:p>
    <w:p w14:paraId="3B1034BE" w14:textId="1CB0A378" w:rsidR="00FC2D5A" w:rsidRDefault="00FC2D5A" w:rsidP="00FC2D5A">
      <w:pPr>
        <w:pStyle w:val="ListParagraph"/>
        <w:numPr>
          <w:ilvl w:val="0"/>
          <w:numId w:val="51"/>
        </w:numPr>
        <w:spacing w:after="0" w:line="259" w:lineRule="auto"/>
        <w:rPr>
          <w:rFonts w:ascii="Arial" w:hAnsi="Arial" w:cs="Arial"/>
          <w:sz w:val="24"/>
          <w:szCs w:val="24"/>
        </w:rPr>
      </w:pPr>
      <w:r>
        <w:rPr>
          <w:rFonts w:ascii="Arial" w:hAnsi="Arial" w:cs="Arial"/>
          <w:sz w:val="24"/>
          <w:szCs w:val="24"/>
        </w:rPr>
        <w:t>Please confirm whether all the Group 1 account activities included in the 2026 IRM will start from May 1, 2024</w:t>
      </w:r>
      <w:r w:rsidR="00F229CE">
        <w:rPr>
          <w:rFonts w:ascii="Arial" w:hAnsi="Arial" w:cs="Arial"/>
          <w:sz w:val="24"/>
          <w:szCs w:val="24"/>
        </w:rPr>
        <w:t>,</w:t>
      </w:r>
      <w:r>
        <w:rPr>
          <w:rFonts w:ascii="Arial" w:hAnsi="Arial" w:cs="Arial"/>
          <w:sz w:val="24"/>
          <w:szCs w:val="24"/>
        </w:rPr>
        <w:t xml:space="preserve"> instead of Jan 1, 2024.</w:t>
      </w:r>
    </w:p>
    <w:p w14:paraId="77C437E9" w14:textId="77777777" w:rsidR="00FC2D5A" w:rsidRPr="00912536" w:rsidRDefault="00FC2D5A" w:rsidP="00FC2D5A">
      <w:pPr>
        <w:pStyle w:val="ListParagraph"/>
        <w:numPr>
          <w:ilvl w:val="0"/>
          <w:numId w:val="52"/>
        </w:numPr>
        <w:spacing w:after="0" w:line="259" w:lineRule="auto"/>
        <w:rPr>
          <w:rFonts w:ascii="Arial" w:hAnsi="Arial" w:cs="Arial"/>
          <w:sz w:val="24"/>
          <w:szCs w:val="24"/>
        </w:rPr>
      </w:pPr>
      <w:r>
        <w:rPr>
          <w:rFonts w:ascii="Arial" w:hAnsi="Arial" w:cs="Arial"/>
          <w:sz w:val="24"/>
          <w:szCs w:val="24"/>
        </w:rPr>
        <w:t>If not confirmed, please explain why not.</w:t>
      </w:r>
    </w:p>
    <w:p w14:paraId="5ADDA3D4" w14:textId="7BA6F243" w:rsidR="00B75C24" w:rsidRDefault="00B75C24" w:rsidP="0053039B">
      <w:pPr>
        <w:spacing w:after="240"/>
        <w:rPr>
          <w:rFonts w:ascii="Arial" w:hAnsi="Arial" w:cs="Arial"/>
          <w:b/>
          <w:sz w:val="24"/>
          <w:szCs w:val="24"/>
        </w:rPr>
      </w:pPr>
    </w:p>
    <w:p w14:paraId="012DB6CA" w14:textId="6D70396D" w:rsidR="00C35A69" w:rsidRDefault="00C35A69" w:rsidP="00C35A69">
      <w:pPr>
        <w:rPr>
          <w:rFonts w:ascii="Arial" w:hAnsi="Arial" w:cs="Arial"/>
          <w:b/>
          <w:bCs/>
          <w:sz w:val="24"/>
          <w:szCs w:val="24"/>
        </w:rPr>
      </w:pPr>
      <w:r>
        <w:rPr>
          <w:rFonts w:ascii="Arial" w:hAnsi="Arial" w:cs="Arial"/>
          <w:b/>
          <w:bCs/>
          <w:sz w:val="24"/>
          <w:szCs w:val="24"/>
        </w:rPr>
        <w:t>3</w:t>
      </w:r>
      <w:r w:rsidRPr="5B05E9BA">
        <w:rPr>
          <w:rFonts w:ascii="Arial" w:hAnsi="Arial" w:cs="Arial"/>
          <w:b/>
          <w:bCs/>
          <w:sz w:val="24"/>
          <w:szCs w:val="24"/>
        </w:rPr>
        <w:t>-Staff-</w:t>
      </w:r>
      <w:r>
        <w:rPr>
          <w:rFonts w:ascii="Arial" w:hAnsi="Arial" w:cs="Arial"/>
          <w:b/>
          <w:bCs/>
          <w:sz w:val="24"/>
          <w:szCs w:val="24"/>
        </w:rPr>
        <w:t>3</w:t>
      </w:r>
    </w:p>
    <w:p w14:paraId="7A2EB181" w14:textId="77777777" w:rsidR="008A19F4" w:rsidRDefault="008A19F4" w:rsidP="008A19F4">
      <w:pPr>
        <w:spacing w:after="0"/>
        <w:ind w:left="360" w:hanging="360"/>
        <w:rPr>
          <w:rFonts w:ascii="Arial" w:hAnsi="Arial" w:cs="Arial"/>
          <w:b/>
          <w:bCs/>
          <w:sz w:val="24"/>
          <w:szCs w:val="24"/>
        </w:rPr>
      </w:pPr>
      <w:r w:rsidRPr="00D718C9">
        <w:rPr>
          <w:rFonts w:ascii="Arial" w:hAnsi="Arial" w:cs="Arial"/>
          <w:b/>
          <w:bCs/>
          <w:sz w:val="24"/>
          <w:szCs w:val="24"/>
        </w:rPr>
        <w:t xml:space="preserve">Ref </w:t>
      </w:r>
      <w:r>
        <w:rPr>
          <w:rFonts w:ascii="Arial" w:hAnsi="Arial" w:cs="Arial"/>
          <w:b/>
          <w:bCs/>
          <w:sz w:val="24"/>
          <w:szCs w:val="24"/>
        </w:rPr>
        <w:t>1</w:t>
      </w:r>
      <w:r w:rsidRPr="00D718C9">
        <w:rPr>
          <w:rFonts w:ascii="Arial" w:hAnsi="Arial" w:cs="Arial"/>
          <w:b/>
          <w:bCs/>
          <w:sz w:val="24"/>
          <w:szCs w:val="24"/>
        </w:rPr>
        <w:t>: TB DVA Continuity</w:t>
      </w:r>
      <w:r>
        <w:rPr>
          <w:rFonts w:ascii="Arial" w:hAnsi="Arial" w:cs="Arial"/>
          <w:b/>
          <w:bCs/>
          <w:sz w:val="24"/>
          <w:szCs w:val="24"/>
        </w:rPr>
        <w:t xml:space="preserve"> schedule</w:t>
      </w:r>
      <w:r w:rsidRPr="00D718C9">
        <w:rPr>
          <w:rFonts w:ascii="Arial" w:hAnsi="Arial" w:cs="Arial"/>
          <w:b/>
          <w:bCs/>
          <w:sz w:val="24"/>
          <w:szCs w:val="24"/>
        </w:rPr>
        <w:t>_20250124, Tab 3</w:t>
      </w:r>
    </w:p>
    <w:p w14:paraId="6C5C8B5C" w14:textId="77777777" w:rsidR="008A19F4" w:rsidRDefault="008A19F4" w:rsidP="008A19F4">
      <w:pPr>
        <w:spacing w:after="0"/>
        <w:ind w:left="360" w:hanging="360"/>
        <w:rPr>
          <w:rFonts w:ascii="Arial" w:hAnsi="Arial" w:cs="Arial"/>
          <w:b/>
          <w:bCs/>
          <w:sz w:val="24"/>
          <w:szCs w:val="24"/>
        </w:rPr>
      </w:pPr>
      <w:r>
        <w:rPr>
          <w:rFonts w:ascii="Arial" w:hAnsi="Arial" w:cs="Arial"/>
          <w:b/>
          <w:bCs/>
          <w:sz w:val="24"/>
          <w:szCs w:val="24"/>
        </w:rPr>
        <w:t>Ref 2: TB</w:t>
      </w:r>
      <w:r w:rsidRPr="00D718C9">
        <w:rPr>
          <w:rFonts w:ascii="Arial" w:hAnsi="Arial" w:cs="Arial"/>
          <w:b/>
          <w:bCs/>
          <w:sz w:val="24"/>
          <w:szCs w:val="24"/>
        </w:rPr>
        <w:t xml:space="preserve"> </w:t>
      </w:r>
      <w:r>
        <w:rPr>
          <w:rFonts w:ascii="Arial" w:hAnsi="Arial" w:cs="Arial"/>
          <w:b/>
          <w:bCs/>
          <w:sz w:val="24"/>
          <w:szCs w:val="24"/>
        </w:rPr>
        <w:t xml:space="preserve">2024 </w:t>
      </w:r>
      <w:r w:rsidRPr="00D718C9">
        <w:rPr>
          <w:rFonts w:ascii="Arial" w:hAnsi="Arial" w:cs="Arial"/>
          <w:b/>
          <w:bCs/>
          <w:sz w:val="24"/>
          <w:szCs w:val="24"/>
        </w:rPr>
        <w:t>DVA Continuity</w:t>
      </w:r>
      <w:r>
        <w:rPr>
          <w:rFonts w:ascii="Arial" w:hAnsi="Arial" w:cs="Arial"/>
          <w:b/>
          <w:bCs/>
          <w:sz w:val="24"/>
          <w:szCs w:val="24"/>
        </w:rPr>
        <w:t xml:space="preserve"> schedule</w:t>
      </w:r>
      <w:r w:rsidRPr="00D718C9">
        <w:rPr>
          <w:rFonts w:ascii="Arial" w:hAnsi="Arial" w:cs="Arial"/>
          <w:b/>
          <w:bCs/>
          <w:sz w:val="24"/>
          <w:szCs w:val="24"/>
        </w:rPr>
        <w:t>_</w:t>
      </w:r>
      <w:r>
        <w:rPr>
          <w:rFonts w:ascii="Arial" w:hAnsi="Arial" w:cs="Arial"/>
          <w:b/>
          <w:bCs/>
          <w:sz w:val="24"/>
          <w:szCs w:val="24"/>
        </w:rPr>
        <w:t>CoS_</w:t>
      </w:r>
      <w:r w:rsidRPr="00D718C9">
        <w:rPr>
          <w:rFonts w:ascii="Arial" w:hAnsi="Arial" w:cs="Arial"/>
          <w:b/>
          <w:bCs/>
          <w:sz w:val="24"/>
          <w:szCs w:val="24"/>
        </w:rPr>
        <w:t>202</w:t>
      </w:r>
      <w:r>
        <w:rPr>
          <w:rFonts w:ascii="Arial" w:hAnsi="Arial" w:cs="Arial"/>
          <w:b/>
          <w:bCs/>
          <w:sz w:val="24"/>
          <w:szCs w:val="24"/>
        </w:rPr>
        <w:t>31222</w:t>
      </w:r>
      <w:r w:rsidRPr="00D718C9">
        <w:rPr>
          <w:rFonts w:ascii="Arial" w:hAnsi="Arial" w:cs="Arial"/>
          <w:b/>
          <w:bCs/>
          <w:sz w:val="24"/>
          <w:szCs w:val="24"/>
        </w:rPr>
        <w:t xml:space="preserve">, Tab </w:t>
      </w:r>
      <w:r>
        <w:rPr>
          <w:rFonts w:ascii="Arial" w:hAnsi="Arial" w:cs="Arial"/>
          <w:b/>
          <w:bCs/>
          <w:sz w:val="24"/>
          <w:szCs w:val="24"/>
        </w:rPr>
        <w:t>2a &amp; Appendix A</w:t>
      </w:r>
    </w:p>
    <w:p w14:paraId="355B3F09" w14:textId="77777777" w:rsidR="008A19F4" w:rsidRDefault="008A19F4" w:rsidP="008A19F4">
      <w:pPr>
        <w:spacing w:after="0"/>
        <w:rPr>
          <w:rFonts w:ascii="Arial" w:hAnsi="Arial" w:cs="Arial"/>
          <w:b/>
          <w:bCs/>
          <w:sz w:val="24"/>
          <w:szCs w:val="24"/>
        </w:rPr>
      </w:pPr>
      <w:r>
        <w:rPr>
          <w:rFonts w:ascii="Arial" w:hAnsi="Arial" w:cs="Arial"/>
          <w:b/>
          <w:bCs/>
          <w:sz w:val="24"/>
          <w:szCs w:val="24"/>
        </w:rPr>
        <w:t xml:space="preserve">Ref 3: </w:t>
      </w:r>
      <w:hyperlink r:id="rId11" w:history="1">
        <w:r w:rsidRPr="00CF73DC">
          <w:rPr>
            <w:rStyle w:val="Hyperlink"/>
            <w:rFonts w:ascii="Arial" w:hAnsi="Arial" w:cs="Arial"/>
            <w:b/>
            <w:bCs/>
            <w:sz w:val="24"/>
            <w:szCs w:val="24"/>
          </w:rPr>
          <w:t>Letter-Retro-Ratemaking-Guidance-20191031</w:t>
        </w:r>
      </w:hyperlink>
      <w:r>
        <w:rPr>
          <w:rFonts w:ascii="Arial" w:hAnsi="Arial" w:cs="Arial"/>
          <w:b/>
          <w:bCs/>
          <w:sz w:val="24"/>
          <w:szCs w:val="24"/>
        </w:rPr>
        <w:t>, page 2</w:t>
      </w:r>
    </w:p>
    <w:p w14:paraId="088E046E" w14:textId="77777777" w:rsidR="008A19F4" w:rsidRPr="00D718C9" w:rsidRDefault="008A19F4" w:rsidP="008A19F4">
      <w:pPr>
        <w:spacing w:after="0"/>
        <w:rPr>
          <w:rFonts w:ascii="Arial" w:hAnsi="Arial" w:cs="Arial"/>
          <w:sz w:val="24"/>
          <w:szCs w:val="24"/>
        </w:rPr>
      </w:pPr>
    </w:p>
    <w:p w14:paraId="4B4CA05D" w14:textId="6FF0C2CF" w:rsidR="008A19F4" w:rsidRDefault="008A19F4" w:rsidP="008A19F4">
      <w:pPr>
        <w:spacing w:after="0"/>
        <w:rPr>
          <w:rFonts w:ascii="Arial" w:hAnsi="Arial" w:cs="Arial"/>
          <w:sz w:val="24"/>
          <w:szCs w:val="24"/>
        </w:rPr>
      </w:pPr>
      <w:r>
        <w:rPr>
          <w:rFonts w:ascii="Arial" w:hAnsi="Arial" w:cs="Arial"/>
          <w:sz w:val="24"/>
          <w:szCs w:val="24"/>
        </w:rPr>
        <w:t xml:space="preserve">Per Ref 1, </w:t>
      </w:r>
      <w:r>
        <w:rPr>
          <w:rFonts w:ascii="Arial" w:hAnsi="Arial" w:cs="Arial"/>
          <w:sz w:val="24"/>
          <w:szCs w:val="24"/>
        </w:rPr>
        <w:t xml:space="preserve">the </w:t>
      </w:r>
      <w:r>
        <w:rPr>
          <w:rFonts w:ascii="Arial" w:hAnsi="Arial" w:cs="Arial"/>
          <w:sz w:val="24"/>
          <w:szCs w:val="24"/>
        </w:rPr>
        <w:t>2023 opening balance of Account 1588 Power is $609,344 which does not equal the 2022 ending balance in the DVA continuity schedule of last rate application (Ref 2).</w:t>
      </w:r>
    </w:p>
    <w:p w14:paraId="55B0F6A9" w14:textId="77777777" w:rsidR="008A19F4" w:rsidRDefault="008A19F4" w:rsidP="008A19F4">
      <w:pPr>
        <w:spacing w:after="0"/>
        <w:rPr>
          <w:rFonts w:ascii="Arial" w:hAnsi="Arial" w:cs="Arial"/>
          <w:sz w:val="24"/>
          <w:szCs w:val="24"/>
        </w:rPr>
      </w:pPr>
    </w:p>
    <w:p w14:paraId="00F39A4C" w14:textId="7B148DDD" w:rsidR="008A19F4" w:rsidRDefault="008A19F4" w:rsidP="008A19F4">
      <w:pPr>
        <w:spacing w:after="0"/>
        <w:rPr>
          <w:rFonts w:ascii="Arial" w:hAnsi="Arial" w:cs="Arial"/>
          <w:sz w:val="24"/>
          <w:szCs w:val="24"/>
        </w:rPr>
      </w:pPr>
      <w:r>
        <w:rPr>
          <w:rFonts w:ascii="Arial" w:hAnsi="Arial" w:cs="Arial"/>
          <w:sz w:val="24"/>
          <w:szCs w:val="24"/>
        </w:rPr>
        <w:t xml:space="preserve">Per Ref 2, </w:t>
      </w:r>
      <w:r w:rsidRPr="00DE14BC">
        <w:rPr>
          <w:rFonts w:ascii="Arial" w:hAnsi="Arial" w:cs="Arial"/>
          <w:sz w:val="24"/>
          <w:szCs w:val="24"/>
        </w:rPr>
        <w:t>2022</w:t>
      </w:r>
      <w:r w:rsidR="00AD5C39">
        <w:rPr>
          <w:rFonts w:ascii="Arial" w:hAnsi="Arial" w:cs="Arial"/>
          <w:sz w:val="24"/>
          <w:szCs w:val="24"/>
        </w:rPr>
        <w:t>, the</w:t>
      </w:r>
      <w:r w:rsidRPr="00DE14BC">
        <w:rPr>
          <w:rFonts w:ascii="Arial" w:hAnsi="Arial" w:cs="Arial"/>
          <w:sz w:val="24"/>
          <w:szCs w:val="24"/>
        </w:rPr>
        <w:t xml:space="preserve"> ending bal</w:t>
      </w:r>
      <w:r>
        <w:rPr>
          <w:rFonts w:ascii="Arial" w:hAnsi="Arial" w:cs="Arial"/>
          <w:sz w:val="24"/>
          <w:szCs w:val="24"/>
        </w:rPr>
        <w:t>ance</w:t>
      </w:r>
      <w:r w:rsidRPr="00DE14BC">
        <w:rPr>
          <w:rFonts w:ascii="Arial" w:hAnsi="Arial" w:cs="Arial"/>
          <w:sz w:val="24"/>
          <w:szCs w:val="24"/>
        </w:rPr>
        <w:t xml:space="preserve"> of </w:t>
      </w:r>
      <w:r>
        <w:rPr>
          <w:rFonts w:ascii="Arial" w:hAnsi="Arial" w:cs="Arial"/>
          <w:sz w:val="24"/>
          <w:szCs w:val="24"/>
        </w:rPr>
        <w:t xml:space="preserve">Account </w:t>
      </w:r>
      <w:r w:rsidRPr="00DE14BC">
        <w:rPr>
          <w:rFonts w:ascii="Arial" w:hAnsi="Arial" w:cs="Arial"/>
          <w:sz w:val="24"/>
          <w:szCs w:val="24"/>
        </w:rPr>
        <w:t xml:space="preserve">1588 Power </w:t>
      </w:r>
      <w:r>
        <w:rPr>
          <w:rFonts w:ascii="Arial" w:hAnsi="Arial" w:cs="Arial"/>
          <w:sz w:val="24"/>
          <w:szCs w:val="24"/>
        </w:rPr>
        <w:t xml:space="preserve">is </w:t>
      </w:r>
      <w:r w:rsidRPr="00DE14BC">
        <w:rPr>
          <w:rFonts w:ascii="Arial" w:hAnsi="Arial" w:cs="Arial"/>
          <w:sz w:val="24"/>
          <w:szCs w:val="24"/>
        </w:rPr>
        <w:t>$432,526</w:t>
      </w:r>
      <w:r>
        <w:rPr>
          <w:rFonts w:ascii="Arial" w:hAnsi="Arial" w:cs="Arial"/>
          <w:sz w:val="24"/>
          <w:szCs w:val="24"/>
        </w:rPr>
        <w:t xml:space="preserve"> and there is</w:t>
      </w:r>
    </w:p>
    <w:p w14:paraId="1C73147A" w14:textId="417545A7" w:rsidR="008A19F4" w:rsidRDefault="008A19F4" w:rsidP="008A19F4">
      <w:pPr>
        <w:spacing w:after="0"/>
        <w:rPr>
          <w:rFonts w:ascii="Arial" w:hAnsi="Arial" w:cs="Arial"/>
          <w:sz w:val="24"/>
          <w:szCs w:val="24"/>
        </w:rPr>
      </w:pPr>
      <w:r>
        <w:rPr>
          <w:rFonts w:ascii="Arial" w:hAnsi="Arial" w:cs="Arial"/>
          <w:sz w:val="24"/>
          <w:szCs w:val="24"/>
        </w:rPr>
        <w:t xml:space="preserve">$176,818 variance between 2.1.7 RRR and 2022 balance. In Appendix A of the DVA continuity schedule of the last rate application (Ref 2), Synergy North stated that the </w:t>
      </w:r>
      <w:r w:rsidRPr="0022575A">
        <w:rPr>
          <w:rFonts w:ascii="Arial" w:hAnsi="Arial" w:cs="Arial"/>
          <w:sz w:val="24"/>
          <w:szCs w:val="24"/>
        </w:rPr>
        <w:t xml:space="preserve">$129,731 </w:t>
      </w:r>
      <w:r>
        <w:rPr>
          <w:rFonts w:ascii="Arial" w:hAnsi="Arial" w:cs="Arial"/>
          <w:sz w:val="24"/>
          <w:szCs w:val="24"/>
        </w:rPr>
        <w:t xml:space="preserve">is </w:t>
      </w:r>
      <w:r w:rsidRPr="0022575A">
        <w:rPr>
          <w:rFonts w:ascii="Arial" w:hAnsi="Arial" w:cs="Arial"/>
          <w:sz w:val="24"/>
          <w:szCs w:val="24"/>
        </w:rPr>
        <w:t>AR balance from 2022 RRR</w:t>
      </w:r>
      <w:r>
        <w:rPr>
          <w:rFonts w:ascii="Arial" w:hAnsi="Arial" w:cs="Arial"/>
          <w:sz w:val="24"/>
          <w:szCs w:val="24"/>
        </w:rPr>
        <w:t xml:space="preserve"> which needs</w:t>
      </w:r>
      <w:r w:rsidRPr="0022575A">
        <w:rPr>
          <w:rFonts w:ascii="Arial" w:hAnsi="Arial" w:cs="Arial"/>
          <w:sz w:val="24"/>
          <w:szCs w:val="24"/>
        </w:rPr>
        <w:t xml:space="preserve"> to be removed from Account 1588 balance as </w:t>
      </w:r>
      <w:r>
        <w:rPr>
          <w:rFonts w:ascii="Arial" w:hAnsi="Arial" w:cs="Arial"/>
          <w:sz w:val="24"/>
          <w:szCs w:val="24"/>
        </w:rPr>
        <w:t xml:space="preserve">it </w:t>
      </w:r>
      <w:r w:rsidRPr="0022575A">
        <w:rPr>
          <w:rFonts w:ascii="Arial" w:hAnsi="Arial" w:cs="Arial"/>
          <w:sz w:val="24"/>
          <w:szCs w:val="24"/>
        </w:rPr>
        <w:t>will not be recovered from customers</w:t>
      </w:r>
      <w:r>
        <w:rPr>
          <w:rFonts w:ascii="Arial" w:hAnsi="Arial" w:cs="Arial"/>
          <w:sz w:val="24"/>
          <w:szCs w:val="24"/>
        </w:rPr>
        <w:t xml:space="preserve">. The </w:t>
      </w:r>
      <w:r w:rsidRPr="0022575A">
        <w:rPr>
          <w:rFonts w:ascii="Arial" w:hAnsi="Arial" w:cs="Arial"/>
          <w:sz w:val="24"/>
          <w:szCs w:val="24"/>
        </w:rPr>
        <w:t xml:space="preserve">$47,088 </w:t>
      </w:r>
      <w:r>
        <w:rPr>
          <w:rFonts w:ascii="Arial" w:hAnsi="Arial" w:cs="Arial"/>
          <w:sz w:val="24"/>
          <w:szCs w:val="24"/>
        </w:rPr>
        <w:t xml:space="preserve">is the </w:t>
      </w:r>
      <w:r w:rsidRPr="0022575A">
        <w:rPr>
          <w:rFonts w:ascii="Arial" w:hAnsi="Arial" w:cs="Arial"/>
          <w:sz w:val="24"/>
          <w:szCs w:val="24"/>
        </w:rPr>
        <w:t xml:space="preserve">AR </w:t>
      </w:r>
      <w:r>
        <w:rPr>
          <w:rFonts w:ascii="Arial" w:hAnsi="Arial" w:cs="Arial"/>
          <w:sz w:val="24"/>
          <w:szCs w:val="24"/>
        </w:rPr>
        <w:t xml:space="preserve">balance needs to be removed due to it was </w:t>
      </w:r>
      <w:r w:rsidRPr="0022575A">
        <w:rPr>
          <w:rFonts w:ascii="Arial" w:hAnsi="Arial" w:cs="Arial"/>
          <w:sz w:val="24"/>
          <w:szCs w:val="24"/>
        </w:rPr>
        <w:t xml:space="preserve">disallowed in </w:t>
      </w:r>
      <w:r w:rsidR="00A62229">
        <w:rPr>
          <w:rFonts w:ascii="Arial" w:hAnsi="Arial" w:cs="Arial"/>
          <w:sz w:val="24"/>
          <w:szCs w:val="24"/>
        </w:rPr>
        <w:t xml:space="preserve">the </w:t>
      </w:r>
      <w:r w:rsidRPr="0022575A">
        <w:rPr>
          <w:rFonts w:ascii="Arial" w:hAnsi="Arial" w:cs="Arial"/>
          <w:sz w:val="24"/>
          <w:szCs w:val="24"/>
        </w:rPr>
        <w:t>Bifurcated Claim</w:t>
      </w:r>
      <w:r>
        <w:rPr>
          <w:rFonts w:ascii="Arial" w:hAnsi="Arial" w:cs="Arial"/>
          <w:sz w:val="24"/>
          <w:szCs w:val="24"/>
        </w:rPr>
        <w:t xml:space="preserve"> and</w:t>
      </w:r>
      <w:r w:rsidRPr="0022575A">
        <w:rPr>
          <w:rFonts w:ascii="Arial" w:hAnsi="Arial" w:cs="Arial"/>
          <w:sz w:val="24"/>
          <w:szCs w:val="24"/>
        </w:rPr>
        <w:t xml:space="preserve"> </w:t>
      </w:r>
      <w:r>
        <w:rPr>
          <w:rFonts w:ascii="Arial" w:hAnsi="Arial" w:cs="Arial"/>
          <w:sz w:val="24"/>
          <w:szCs w:val="24"/>
        </w:rPr>
        <w:t>w</w:t>
      </w:r>
      <w:r w:rsidRPr="0022575A">
        <w:rPr>
          <w:rFonts w:ascii="Arial" w:hAnsi="Arial" w:cs="Arial"/>
          <w:sz w:val="24"/>
          <w:szCs w:val="24"/>
        </w:rPr>
        <w:t>ill not be recovered from customers.</w:t>
      </w:r>
    </w:p>
    <w:p w14:paraId="05E54F03" w14:textId="77777777" w:rsidR="008A19F4" w:rsidRDefault="008A19F4" w:rsidP="008A19F4">
      <w:pPr>
        <w:spacing w:after="0"/>
        <w:rPr>
          <w:rFonts w:ascii="Arial" w:hAnsi="Arial" w:cs="Arial"/>
          <w:sz w:val="24"/>
          <w:szCs w:val="24"/>
        </w:rPr>
      </w:pPr>
    </w:p>
    <w:p w14:paraId="4914D808" w14:textId="77777777" w:rsidR="008A19F4" w:rsidRDefault="008A19F4" w:rsidP="008A19F4">
      <w:pPr>
        <w:spacing w:after="0"/>
        <w:rPr>
          <w:rFonts w:ascii="Arial" w:hAnsi="Arial" w:cs="Arial"/>
          <w:sz w:val="24"/>
          <w:szCs w:val="24"/>
        </w:rPr>
      </w:pPr>
      <w:r>
        <w:rPr>
          <w:rFonts w:ascii="Arial" w:hAnsi="Arial" w:cs="Arial"/>
          <w:sz w:val="24"/>
          <w:szCs w:val="24"/>
        </w:rPr>
        <w:t>OEB staff notes the variance between the 2022 ending balance of Account 1588 and the 2023 opening balance is exactly $176,818.</w:t>
      </w:r>
    </w:p>
    <w:p w14:paraId="3FB07400" w14:textId="77777777" w:rsidR="008A19F4" w:rsidRDefault="008A19F4" w:rsidP="008A19F4">
      <w:pPr>
        <w:spacing w:after="0"/>
        <w:rPr>
          <w:rFonts w:ascii="Arial" w:hAnsi="Arial" w:cs="Arial"/>
          <w:sz w:val="24"/>
          <w:szCs w:val="24"/>
        </w:rPr>
      </w:pPr>
    </w:p>
    <w:p w14:paraId="6F5EF1EC" w14:textId="77777777" w:rsidR="008A19F4" w:rsidRDefault="008A19F4" w:rsidP="008A19F4">
      <w:pPr>
        <w:spacing w:after="0"/>
        <w:rPr>
          <w:rFonts w:ascii="Arial" w:hAnsi="Arial" w:cs="Arial"/>
          <w:noProof/>
          <w:sz w:val="24"/>
          <w:szCs w:val="24"/>
        </w:rPr>
      </w:pPr>
      <w:r w:rsidRPr="00291EB5">
        <w:rPr>
          <w:rFonts w:ascii="Arial" w:hAnsi="Arial" w:cs="Arial"/>
          <w:noProof/>
          <w:sz w:val="24"/>
          <w:szCs w:val="24"/>
        </w:rPr>
        <w:t xml:space="preserve">Per Ref </w:t>
      </w:r>
      <w:r>
        <w:rPr>
          <w:rFonts w:ascii="Arial" w:hAnsi="Arial" w:cs="Arial"/>
          <w:noProof/>
          <w:sz w:val="24"/>
          <w:szCs w:val="24"/>
        </w:rPr>
        <w:t>3</w:t>
      </w:r>
      <w:r w:rsidRPr="00291EB5">
        <w:rPr>
          <w:rFonts w:ascii="Arial" w:hAnsi="Arial" w:cs="Arial"/>
          <w:noProof/>
          <w:sz w:val="24"/>
          <w:szCs w:val="24"/>
        </w:rPr>
        <w:t xml:space="preserve">, </w:t>
      </w:r>
      <w:r>
        <w:rPr>
          <w:rFonts w:ascii="Arial" w:hAnsi="Arial" w:cs="Arial"/>
          <w:noProof/>
          <w:sz w:val="24"/>
          <w:szCs w:val="24"/>
        </w:rPr>
        <w:t>in</w:t>
      </w:r>
      <w:r w:rsidRPr="00291EB5">
        <w:rPr>
          <w:rFonts w:ascii="Arial" w:hAnsi="Arial" w:cs="Arial"/>
          <w:noProof/>
          <w:sz w:val="24"/>
          <w:szCs w:val="24"/>
        </w:rPr>
        <w:t xml:space="preserve"> October 2019, the OEB issued a letter to all electricity distributors for “Adjustments to Correct for Errors in Electricity Distributor </w:t>
      </w:r>
      <w:r>
        <w:rPr>
          <w:rFonts w:ascii="Arial" w:hAnsi="Arial" w:cs="Arial"/>
          <w:noProof/>
          <w:sz w:val="24"/>
          <w:szCs w:val="24"/>
        </w:rPr>
        <w:t>“</w:t>
      </w:r>
      <w:r w:rsidRPr="00291EB5">
        <w:rPr>
          <w:rFonts w:ascii="Arial" w:hAnsi="Arial" w:cs="Arial"/>
          <w:noProof/>
          <w:sz w:val="24"/>
          <w:szCs w:val="24"/>
        </w:rPr>
        <w:t xml:space="preserve">Pass-Through” Variance Accounts After Disposition”. </w:t>
      </w:r>
      <w:r>
        <w:rPr>
          <w:rFonts w:ascii="Arial" w:hAnsi="Arial" w:cs="Arial"/>
          <w:noProof/>
          <w:sz w:val="24"/>
          <w:szCs w:val="24"/>
        </w:rPr>
        <w:t xml:space="preserve">The </w:t>
      </w:r>
      <w:r w:rsidRPr="00291EB5">
        <w:rPr>
          <w:rFonts w:ascii="Arial" w:hAnsi="Arial" w:cs="Arial"/>
          <w:noProof/>
          <w:sz w:val="24"/>
          <w:szCs w:val="24"/>
        </w:rPr>
        <w:t>OEB’s</w:t>
      </w:r>
      <w:r w:rsidRPr="00070C9B">
        <w:rPr>
          <w:rFonts w:ascii="Arial" w:hAnsi="Arial" w:cs="Arial"/>
          <w:noProof/>
          <w:sz w:val="24"/>
          <w:szCs w:val="24"/>
        </w:rPr>
        <w:t xml:space="preserve"> retroactivity letter states that “Where an accounting or other error is discovered after the balance in one of the above-listed variance accounts has been cleared by a final order of the OEB, the OEB will determine on a case-by-case basis whether to make a retroactive adjustment based on the particular circumstances of each case, including factors such as: </w:t>
      </w:r>
    </w:p>
    <w:p w14:paraId="2873E758" w14:textId="77777777" w:rsidR="008A19F4" w:rsidRPr="00070C9B" w:rsidRDefault="008A19F4" w:rsidP="008A19F4">
      <w:pPr>
        <w:spacing w:after="0"/>
        <w:rPr>
          <w:rFonts w:ascii="Arial" w:hAnsi="Arial" w:cs="Arial"/>
          <w:noProof/>
          <w:sz w:val="24"/>
          <w:szCs w:val="24"/>
        </w:rPr>
      </w:pPr>
    </w:p>
    <w:p w14:paraId="017ED125" w14:textId="77777777" w:rsidR="008A19F4" w:rsidRPr="00A25F34" w:rsidRDefault="008A19F4" w:rsidP="008A19F4">
      <w:pPr>
        <w:pStyle w:val="ListParagraph"/>
        <w:numPr>
          <w:ilvl w:val="0"/>
          <w:numId w:val="56"/>
        </w:numPr>
        <w:spacing w:after="0"/>
        <w:rPr>
          <w:rFonts w:ascii="Arial" w:hAnsi="Arial" w:cs="Arial"/>
          <w:noProof/>
          <w:sz w:val="24"/>
          <w:szCs w:val="24"/>
        </w:rPr>
      </w:pPr>
      <w:r w:rsidRPr="00A25F34">
        <w:rPr>
          <w:rFonts w:ascii="Arial" w:hAnsi="Arial" w:cs="Arial"/>
          <w:noProof/>
          <w:sz w:val="24"/>
          <w:szCs w:val="24"/>
        </w:rPr>
        <w:t xml:space="preserve">whether the error was within the control of the distributor </w:t>
      </w:r>
    </w:p>
    <w:p w14:paraId="792A386D" w14:textId="77777777" w:rsidR="008A19F4" w:rsidRPr="00A25F34" w:rsidRDefault="008A19F4" w:rsidP="008A19F4">
      <w:pPr>
        <w:pStyle w:val="ListParagraph"/>
        <w:numPr>
          <w:ilvl w:val="0"/>
          <w:numId w:val="56"/>
        </w:numPr>
        <w:spacing w:after="0"/>
        <w:rPr>
          <w:rFonts w:ascii="Arial" w:hAnsi="Arial" w:cs="Arial"/>
          <w:noProof/>
          <w:sz w:val="24"/>
          <w:szCs w:val="24"/>
        </w:rPr>
      </w:pPr>
      <w:r w:rsidRPr="00A25F34">
        <w:rPr>
          <w:rFonts w:ascii="Arial" w:hAnsi="Arial" w:cs="Arial"/>
          <w:noProof/>
          <w:sz w:val="24"/>
          <w:szCs w:val="24"/>
        </w:rPr>
        <w:t xml:space="preserve">the frequency with which the distributor has made the same error </w:t>
      </w:r>
    </w:p>
    <w:p w14:paraId="63C3B272" w14:textId="77777777" w:rsidR="008A19F4" w:rsidRPr="00A25F34" w:rsidRDefault="008A19F4" w:rsidP="008A19F4">
      <w:pPr>
        <w:pStyle w:val="ListParagraph"/>
        <w:numPr>
          <w:ilvl w:val="0"/>
          <w:numId w:val="56"/>
        </w:numPr>
        <w:spacing w:after="0"/>
        <w:rPr>
          <w:rFonts w:ascii="Arial" w:hAnsi="Arial" w:cs="Arial"/>
          <w:noProof/>
          <w:sz w:val="24"/>
          <w:szCs w:val="24"/>
        </w:rPr>
      </w:pPr>
      <w:r w:rsidRPr="00A25F34">
        <w:rPr>
          <w:rFonts w:ascii="Arial" w:hAnsi="Arial" w:cs="Arial"/>
          <w:noProof/>
          <w:sz w:val="24"/>
          <w:szCs w:val="24"/>
        </w:rPr>
        <w:t xml:space="preserve">failure to follow guidance provided by the OEB </w:t>
      </w:r>
    </w:p>
    <w:p w14:paraId="65A1A6BD" w14:textId="77777777" w:rsidR="008A19F4" w:rsidRPr="00A25F34" w:rsidRDefault="008A19F4" w:rsidP="008A19F4">
      <w:pPr>
        <w:pStyle w:val="ListParagraph"/>
        <w:numPr>
          <w:ilvl w:val="0"/>
          <w:numId w:val="56"/>
        </w:numPr>
        <w:spacing w:after="0"/>
        <w:rPr>
          <w:rFonts w:ascii="Arial" w:hAnsi="Arial" w:cs="Arial"/>
          <w:noProof/>
          <w:sz w:val="24"/>
          <w:szCs w:val="24"/>
        </w:rPr>
      </w:pPr>
      <w:r w:rsidRPr="00A25F34">
        <w:rPr>
          <w:rFonts w:ascii="Arial" w:hAnsi="Arial" w:cs="Arial"/>
          <w:noProof/>
          <w:sz w:val="24"/>
          <w:szCs w:val="24"/>
        </w:rPr>
        <w:t xml:space="preserve">the degree to which other distributors are making similar errors </w:t>
      </w:r>
    </w:p>
    <w:p w14:paraId="05868D03" w14:textId="77777777" w:rsidR="008A19F4" w:rsidRDefault="008A19F4" w:rsidP="008A19F4">
      <w:pPr>
        <w:spacing w:after="0"/>
        <w:rPr>
          <w:rFonts w:ascii="Arial" w:hAnsi="Arial" w:cs="Arial"/>
          <w:sz w:val="24"/>
          <w:szCs w:val="24"/>
        </w:rPr>
      </w:pPr>
    </w:p>
    <w:p w14:paraId="15DC523B" w14:textId="77777777" w:rsidR="008A19F4" w:rsidRPr="00A92288" w:rsidRDefault="008A19F4" w:rsidP="008A19F4">
      <w:pPr>
        <w:spacing w:after="0"/>
        <w:rPr>
          <w:rFonts w:ascii="Arial" w:hAnsi="Arial" w:cs="Arial"/>
          <w:b/>
          <w:bCs/>
          <w:sz w:val="24"/>
          <w:szCs w:val="24"/>
        </w:rPr>
      </w:pPr>
      <w:r w:rsidRPr="00A92288">
        <w:rPr>
          <w:rFonts w:ascii="Arial" w:hAnsi="Arial" w:cs="Arial"/>
          <w:b/>
          <w:bCs/>
          <w:sz w:val="24"/>
          <w:szCs w:val="24"/>
        </w:rPr>
        <w:t>Question</w:t>
      </w:r>
      <w:r>
        <w:rPr>
          <w:rFonts w:ascii="Arial" w:hAnsi="Arial" w:cs="Arial"/>
          <w:b/>
          <w:bCs/>
          <w:sz w:val="24"/>
          <w:szCs w:val="24"/>
        </w:rPr>
        <w:t>(</w:t>
      </w:r>
      <w:r w:rsidRPr="00A92288">
        <w:rPr>
          <w:rFonts w:ascii="Arial" w:hAnsi="Arial" w:cs="Arial"/>
          <w:b/>
          <w:bCs/>
          <w:sz w:val="24"/>
          <w:szCs w:val="24"/>
        </w:rPr>
        <w:t>s</w:t>
      </w:r>
      <w:r>
        <w:rPr>
          <w:rFonts w:ascii="Arial" w:hAnsi="Arial" w:cs="Arial"/>
          <w:b/>
          <w:bCs/>
          <w:sz w:val="24"/>
          <w:szCs w:val="24"/>
        </w:rPr>
        <w:t>)</w:t>
      </w:r>
      <w:r w:rsidRPr="00A92288">
        <w:rPr>
          <w:rFonts w:ascii="Arial" w:hAnsi="Arial" w:cs="Arial"/>
          <w:b/>
          <w:bCs/>
          <w:sz w:val="24"/>
          <w:szCs w:val="24"/>
        </w:rPr>
        <w:t>:</w:t>
      </w:r>
    </w:p>
    <w:p w14:paraId="404B665E" w14:textId="77777777" w:rsidR="008A19F4" w:rsidRDefault="008A19F4" w:rsidP="008A19F4">
      <w:pPr>
        <w:pStyle w:val="ListParagraph"/>
        <w:numPr>
          <w:ilvl w:val="0"/>
          <w:numId w:val="54"/>
        </w:numPr>
        <w:spacing w:after="0" w:line="259" w:lineRule="auto"/>
        <w:rPr>
          <w:rFonts w:ascii="Arial" w:hAnsi="Arial" w:cs="Arial"/>
          <w:sz w:val="24"/>
          <w:szCs w:val="24"/>
        </w:rPr>
      </w:pPr>
      <w:r w:rsidRPr="00912536">
        <w:rPr>
          <w:rFonts w:ascii="Arial" w:hAnsi="Arial" w:cs="Arial"/>
          <w:sz w:val="24"/>
          <w:szCs w:val="24"/>
        </w:rPr>
        <w:t xml:space="preserve">Please confirm </w:t>
      </w:r>
      <w:r>
        <w:rPr>
          <w:rFonts w:ascii="Arial" w:hAnsi="Arial" w:cs="Arial"/>
          <w:sz w:val="24"/>
          <w:szCs w:val="24"/>
        </w:rPr>
        <w:t>whether the $176,818 variance is the non-recoverable balance indicated in Ref 2.</w:t>
      </w:r>
    </w:p>
    <w:p w14:paraId="27A3022F" w14:textId="77777777" w:rsidR="008A19F4" w:rsidRDefault="008A19F4" w:rsidP="008A19F4">
      <w:pPr>
        <w:pStyle w:val="ListParagraph"/>
        <w:numPr>
          <w:ilvl w:val="0"/>
          <w:numId w:val="54"/>
        </w:numPr>
        <w:spacing w:after="0" w:line="259" w:lineRule="auto"/>
        <w:rPr>
          <w:rFonts w:ascii="Arial" w:hAnsi="Arial" w:cs="Arial"/>
          <w:sz w:val="24"/>
          <w:szCs w:val="24"/>
        </w:rPr>
      </w:pPr>
      <w:r w:rsidRPr="004E4264">
        <w:rPr>
          <w:rFonts w:ascii="Arial" w:hAnsi="Arial" w:cs="Arial"/>
          <w:sz w:val="24"/>
          <w:szCs w:val="24"/>
        </w:rPr>
        <w:t xml:space="preserve">Please </w:t>
      </w:r>
      <w:r>
        <w:rPr>
          <w:rFonts w:ascii="Arial" w:hAnsi="Arial" w:cs="Arial"/>
          <w:sz w:val="24"/>
          <w:szCs w:val="24"/>
        </w:rPr>
        <w:t xml:space="preserve">confirm that Synergy North is requesting these balances from its customers in this rate application. </w:t>
      </w:r>
    </w:p>
    <w:p w14:paraId="33979D57" w14:textId="77777777" w:rsidR="008A19F4" w:rsidRDefault="008A19F4" w:rsidP="008A19F4">
      <w:pPr>
        <w:pStyle w:val="ListParagraph"/>
        <w:numPr>
          <w:ilvl w:val="0"/>
          <w:numId w:val="55"/>
        </w:numPr>
        <w:spacing w:after="0" w:line="259" w:lineRule="auto"/>
        <w:rPr>
          <w:rFonts w:ascii="Arial" w:hAnsi="Arial" w:cs="Arial"/>
          <w:sz w:val="24"/>
          <w:szCs w:val="24"/>
        </w:rPr>
      </w:pPr>
      <w:r w:rsidRPr="00574869">
        <w:rPr>
          <w:rFonts w:ascii="Arial" w:hAnsi="Arial" w:cs="Arial"/>
          <w:sz w:val="24"/>
          <w:szCs w:val="24"/>
        </w:rPr>
        <w:t xml:space="preserve">If </w:t>
      </w:r>
      <w:r>
        <w:rPr>
          <w:rFonts w:ascii="Arial" w:hAnsi="Arial" w:cs="Arial"/>
          <w:sz w:val="24"/>
          <w:szCs w:val="24"/>
        </w:rPr>
        <w:t>confirmed</w:t>
      </w:r>
      <w:r w:rsidRPr="00574869">
        <w:rPr>
          <w:rFonts w:ascii="Arial" w:hAnsi="Arial" w:cs="Arial"/>
          <w:sz w:val="24"/>
          <w:szCs w:val="24"/>
        </w:rPr>
        <w:t xml:space="preserve">, </w:t>
      </w:r>
      <w:r>
        <w:rPr>
          <w:rFonts w:ascii="Arial" w:hAnsi="Arial" w:cs="Arial"/>
          <w:sz w:val="24"/>
          <w:szCs w:val="24"/>
        </w:rPr>
        <w:t>please provide the nature of these adjustments.</w:t>
      </w:r>
    </w:p>
    <w:p w14:paraId="5A7BEB65" w14:textId="77777777" w:rsidR="008A19F4" w:rsidRDefault="008A19F4" w:rsidP="008A19F4">
      <w:pPr>
        <w:pStyle w:val="ListParagraph"/>
        <w:numPr>
          <w:ilvl w:val="1"/>
          <w:numId w:val="55"/>
        </w:numPr>
        <w:spacing w:after="0" w:line="259" w:lineRule="auto"/>
        <w:rPr>
          <w:rFonts w:ascii="Arial" w:hAnsi="Arial" w:cs="Arial"/>
          <w:sz w:val="24"/>
          <w:szCs w:val="24"/>
        </w:rPr>
      </w:pPr>
      <w:r>
        <w:rPr>
          <w:rFonts w:ascii="Arial" w:hAnsi="Arial" w:cs="Arial"/>
          <w:sz w:val="24"/>
          <w:szCs w:val="24"/>
        </w:rPr>
        <w:t>Please also explain why Synergy North is requesting these balances now in this rate application.</w:t>
      </w:r>
    </w:p>
    <w:p w14:paraId="5F0264E5" w14:textId="77777777" w:rsidR="008A19F4" w:rsidRDefault="008A19F4" w:rsidP="008A19F4">
      <w:pPr>
        <w:pStyle w:val="ListParagraph"/>
        <w:numPr>
          <w:ilvl w:val="1"/>
          <w:numId w:val="55"/>
        </w:numPr>
        <w:spacing w:after="0" w:line="259" w:lineRule="auto"/>
        <w:rPr>
          <w:rFonts w:ascii="Arial" w:hAnsi="Arial" w:cs="Arial"/>
          <w:sz w:val="24"/>
          <w:szCs w:val="24"/>
        </w:rPr>
      </w:pPr>
      <w:r>
        <w:rPr>
          <w:rFonts w:ascii="Arial" w:hAnsi="Arial" w:cs="Arial"/>
          <w:sz w:val="24"/>
          <w:szCs w:val="24"/>
        </w:rPr>
        <w:t>P</w:t>
      </w:r>
      <w:r w:rsidRPr="00574869">
        <w:rPr>
          <w:rFonts w:ascii="Arial" w:hAnsi="Arial" w:cs="Arial"/>
          <w:sz w:val="24"/>
          <w:szCs w:val="24"/>
        </w:rPr>
        <w:t xml:space="preserve">lease address the rates retroactivity issue and address the four factors per Ref 3 in the OEB’s letter issued on October 31, 2019. </w:t>
      </w:r>
    </w:p>
    <w:p w14:paraId="79E591E9" w14:textId="77777777" w:rsidR="008A19F4" w:rsidRDefault="008A19F4" w:rsidP="008A19F4">
      <w:pPr>
        <w:pStyle w:val="ListParagraph"/>
        <w:numPr>
          <w:ilvl w:val="0"/>
          <w:numId w:val="55"/>
        </w:numPr>
        <w:spacing w:after="0" w:line="259" w:lineRule="auto"/>
        <w:rPr>
          <w:rFonts w:ascii="Arial" w:hAnsi="Arial" w:cs="Arial"/>
          <w:sz w:val="24"/>
          <w:szCs w:val="24"/>
        </w:rPr>
      </w:pPr>
      <w:r>
        <w:rPr>
          <w:rFonts w:ascii="Arial" w:hAnsi="Arial" w:cs="Arial"/>
          <w:sz w:val="24"/>
          <w:szCs w:val="24"/>
        </w:rPr>
        <w:t>If not confirmed, please write off $176,818.</w:t>
      </w:r>
    </w:p>
    <w:p w14:paraId="1B14708E" w14:textId="77777777" w:rsidR="008A19F4" w:rsidRPr="00AC2EFB" w:rsidRDefault="008A19F4" w:rsidP="00C35A69">
      <w:pPr>
        <w:rPr>
          <w:rFonts w:ascii="Arial" w:hAnsi="Arial" w:cs="Arial"/>
          <w:b/>
          <w:bCs/>
          <w:sz w:val="24"/>
          <w:szCs w:val="24"/>
        </w:rPr>
      </w:pPr>
    </w:p>
    <w:p w14:paraId="363A99DE" w14:textId="77777777" w:rsidR="00C35A69" w:rsidRPr="003F25B2" w:rsidRDefault="00C35A69" w:rsidP="0053039B">
      <w:pPr>
        <w:spacing w:after="240"/>
        <w:rPr>
          <w:rFonts w:ascii="Arial" w:hAnsi="Arial" w:cs="Arial"/>
          <w:b/>
          <w:sz w:val="24"/>
          <w:szCs w:val="24"/>
        </w:rPr>
      </w:pPr>
    </w:p>
    <w:sectPr w:rsidR="00C35A69" w:rsidRPr="003F25B2" w:rsidSect="00EA0919">
      <w:headerReference w:type="default" r:id="rId12"/>
      <w:foot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0129" w14:textId="77777777" w:rsidR="004F7FC3" w:rsidRDefault="004F7FC3" w:rsidP="00D77124">
      <w:pPr>
        <w:spacing w:after="0" w:line="240" w:lineRule="auto"/>
      </w:pPr>
      <w:r>
        <w:separator/>
      </w:r>
    </w:p>
  </w:endnote>
  <w:endnote w:type="continuationSeparator" w:id="0">
    <w:p w14:paraId="7C31A47C" w14:textId="77777777" w:rsidR="004F7FC3" w:rsidRDefault="004F7FC3"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2ACA" w14:textId="77777777" w:rsidR="004F7FC3" w:rsidRDefault="004F7FC3" w:rsidP="00D77124">
      <w:pPr>
        <w:spacing w:after="0" w:line="240" w:lineRule="auto"/>
      </w:pPr>
      <w:r>
        <w:separator/>
      </w:r>
    </w:p>
  </w:footnote>
  <w:footnote w:type="continuationSeparator" w:id="0">
    <w:p w14:paraId="37DBB33F" w14:textId="77777777" w:rsidR="004F7FC3" w:rsidRDefault="004F7FC3"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FF00" w14:textId="1EAACF72" w:rsidR="00DC489D" w:rsidRPr="00604616" w:rsidRDefault="657DCF08" w:rsidP="00CF578B">
    <w:pPr>
      <w:pStyle w:val="Header"/>
      <w:jc w:val="right"/>
      <w:rPr>
        <w:rFonts w:ascii="Arial" w:hAnsi="Arial" w:cs="Arial"/>
      </w:rPr>
    </w:pPr>
    <w:r>
      <w:rPr>
        <w:rFonts w:ascii="Arial" w:hAnsi="Arial" w:cs="Arial"/>
      </w:rPr>
      <w:t>Synergy</w:t>
    </w:r>
    <w:r w:rsidRPr="00604616">
      <w:rPr>
        <w:rFonts w:ascii="Arial" w:hAnsi="Arial" w:cs="Arial"/>
      </w:rPr>
      <w:t xml:space="preserve"> </w:t>
    </w:r>
    <w:r>
      <w:rPr>
        <w:rFonts w:ascii="Arial" w:hAnsi="Arial" w:cs="Arial"/>
      </w:rPr>
      <w:t>North</w:t>
    </w:r>
    <w:r w:rsidRPr="00604616">
      <w:rPr>
        <w:rFonts w:ascii="Arial" w:hAnsi="Arial" w:cs="Arial"/>
      </w:rPr>
      <w:t xml:space="preserve"> </w:t>
    </w:r>
    <w:r>
      <w:rPr>
        <w:rFonts w:ascii="Arial" w:hAnsi="Arial" w:cs="Arial"/>
      </w:rPr>
      <w:t>Corporation</w:t>
    </w:r>
  </w:p>
  <w:p w14:paraId="4C4BD2A4" w14:textId="160FAF10" w:rsidR="00DC489D" w:rsidRPr="00604616" w:rsidRDefault="657DCF08" w:rsidP="00CF578B">
    <w:pPr>
      <w:pStyle w:val="Header"/>
      <w:jc w:val="right"/>
      <w:rPr>
        <w:rFonts w:ascii="Arial" w:hAnsi="Arial" w:cs="Arial"/>
      </w:rPr>
    </w:pPr>
    <w:r w:rsidRPr="00604616">
      <w:rPr>
        <w:rFonts w:ascii="Arial" w:hAnsi="Arial" w:cs="Arial"/>
      </w:rPr>
      <w:t>OEB Staff Questions</w:t>
    </w:r>
  </w:p>
  <w:p w14:paraId="31F1E28E" w14:textId="055310D0" w:rsidR="00DC489D" w:rsidRPr="00604616" w:rsidRDefault="657DCF08" w:rsidP="00CF578B">
    <w:pPr>
      <w:pStyle w:val="Header"/>
      <w:jc w:val="right"/>
      <w:rPr>
        <w:rFonts w:ascii="Arial" w:hAnsi="Arial" w:cs="Arial"/>
      </w:rPr>
    </w:pPr>
    <w:r w:rsidRPr="00604616">
      <w:rPr>
        <w:rFonts w:ascii="Arial" w:hAnsi="Arial" w:cs="Arial"/>
      </w:rPr>
      <w:t>EB-202</w:t>
    </w:r>
    <w:r>
      <w:rPr>
        <w:rFonts w:ascii="Arial" w:hAnsi="Arial" w:cs="Arial"/>
      </w:rPr>
      <w:t>4</w:t>
    </w:r>
    <w:r w:rsidRPr="00604616">
      <w:rPr>
        <w:rFonts w:ascii="Arial" w:hAnsi="Arial" w:cs="Arial"/>
      </w:rPr>
      <w:t>-00</w:t>
    </w:r>
    <w:r>
      <w:rPr>
        <w:rFonts w:ascii="Arial" w:hAnsi="Arial" w:cs="Arial"/>
      </w:rPr>
      <w:t>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C19"/>
    <w:multiLevelType w:val="hybridMultilevel"/>
    <w:tmpl w:val="9520503A"/>
    <w:lvl w:ilvl="0" w:tplc="4244ABB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477CF"/>
    <w:multiLevelType w:val="hybridMultilevel"/>
    <w:tmpl w:val="7A5466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C3200"/>
    <w:multiLevelType w:val="hybridMultilevel"/>
    <w:tmpl w:val="DD3AABCE"/>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BA5928"/>
    <w:multiLevelType w:val="hybridMultilevel"/>
    <w:tmpl w:val="558C5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41369"/>
    <w:multiLevelType w:val="hybridMultilevel"/>
    <w:tmpl w:val="8F4E4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26389"/>
    <w:multiLevelType w:val="hybridMultilevel"/>
    <w:tmpl w:val="00007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E712D"/>
    <w:multiLevelType w:val="hybridMultilevel"/>
    <w:tmpl w:val="DD3AABC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B14348"/>
    <w:multiLevelType w:val="hybridMultilevel"/>
    <w:tmpl w:val="014294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34557D2"/>
    <w:multiLevelType w:val="hybridMultilevel"/>
    <w:tmpl w:val="D53604E0"/>
    <w:lvl w:ilvl="0" w:tplc="FFFFFFFF">
      <w:start w:val="1"/>
      <w:numFmt w:val="low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23786DD7"/>
    <w:multiLevelType w:val="hybridMultilevel"/>
    <w:tmpl w:val="22927BAE"/>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B70601"/>
    <w:multiLevelType w:val="hybridMultilevel"/>
    <w:tmpl w:val="FF0CF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F24D04"/>
    <w:multiLevelType w:val="hybridMultilevel"/>
    <w:tmpl w:val="AE240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176EE"/>
    <w:multiLevelType w:val="hybridMultilevel"/>
    <w:tmpl w:val="05A4E524"/>
    <w:lvl w:ilvl="0" w:tplc="57F01F2C">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F13007"/>
    <w:multiLevelType w:val="hybridMultilevel"/>
    <w:tmpl w:val="ED602E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D3D69C9"/>
    <w:multiLevelType w:val="hybridMultilevel"/>
    <w:tmpl w:val="0F326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43F404E"/>
    <w:multiLevelType w:val="hybridMultilevel"/>
    <w:tmpl w:val="7A5466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AA41F6C"/>
    <w:multiLevelType w:val="hybridMultilevel"/>
    <w:tmpl w:val="BBC87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A2FC2"/>
    <w:multiLevelType w:val="hybridMultilevel"/>
    <w:tmpl w:val="75FCC4D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64E32FDC"/>
    <w:multiLevelType w:val="hybridMultilevel"/>
    <w:tmpl w:val="22927B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68002F1"/>
    <w:multiLevelType w:val="hybridMultilevel"/>
    <w:tmpl w:val="195E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AA207E9"/>
    <w:multiLevelType w:val="hybridMultilevel"/>
    <w:tmpl w:val="014294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F0155E1"/>
    <w:multiLevelType w:val="hybridMultilevel"/>
    <w:tmpl w:val="AFB6683A"/>
    <w:lvl w:ilvl="0" w:tplc="B06CD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3B55D4"/>
    <w:multiLevelType w:val="hybridMultilevel"/>
    <w:tmpl w:val="74765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606755"/>
    <w:multiLevelType w:val="hybridMultilevel"/>
    <w:tmpl w:val="D39EEB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4AB1B95"/>
    <w:multiLevelType w:val="hybridMultilevel"/>
    <w:tmpl w:val="3334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B858AA"/>
    <w:multiLevelType w:val="hybridMultilevel"/>
    <w:tmpl w:val="D2A0FA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BAB328F"/>
    <w:multiLevelType w:val="hybridMultilevel"/>
    <w:tmpl w:val="F60020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7389052">
    <w:abstractNumId w:val="1"/>
  </w:num>
  <w:num w:numId="2" w16cid:durableId="1817183121">
    <w:abstractNumId w:val="15"/>
  </w:num>
  <w:num w:numId="3" w16cid:durableId="1825269186">
    <w:abstractNumId w:val="40"/>
  </w:num>
  <w:num w:numId="4" w16cid:durableId="1119179632">
    <w:abstractNumId w:val="54"/>
  </w:num>
  <w:num w:numId="5" w16cid:durableId="2091417003">
    <w:abstractNumId w:val="25"/>
  </w:num>
  <w:num w:numId="6" w16cid:durableId="252014472">
    <w:abstractNumId w:val="18"/>
  </w:num>
  <w:num w:numId="7" w16cid:durableId="1793011066">
    <w:abstractNumId w:val="32"/>
  </w:num>
  <w:num w:numId="8" w16cid:durableId="1794320803">
    <w:abstractNumId w:val="26"/>
  </w:num>
  <w:num w:numId="9" w16cid:durableId="1829709702">
    <w:abstractNumId w:val="28"/>
  </w:num>
  <w:num w:numId="10" w16cid:durableId="1115251463">
    <w:abstractNumId w:val="12"/>
  </w:num>
  <w:num w:numId="11" w16cid:durableId="1887520468">
    <w:abstractNumId w:val="31"/>
  </w:num>
  <w:num w:numId="12" w16cid:durableId="1441336080">
    <w:abstractNumId w:val="43"/>
  </w:num>
  <w:num w:numId="13" w16cid:durableId="1780180625">
    <w:abstractNumId w:val="11"/>
  </w:num>
  <w:num w:numId="14" w16cid:durableId="1590384501">
    <w:abstractNumId w:val="4"/>
  </w:num>
  <w:num w:numId="15" w16cid:durableId="427196099">
    <w:abstractNumId w:val="53"/>
  </w:num>
  <w:num w:numId="16" w16cid:durableId="1661301170">
    <w:abstractNumId w:val="17"/>
  </w:num>
  <w:num w:numId="17" w16cid:durableId="580800399">
    <w:abstractNumId w:val="37"/>
  </w:num>
  <w:num w:numId="18" w16cid:durableId="1835102567">
    <w:abstractNumId w:val="46"/>
  </w:num>
  <w:num w:numId="19" w16cid:durableId="1966807704">
    <w:abstractNumId w:val="50"/>
  </w:num>
  <w:num w:numId="20" w16cid:durableId="1330401671">
    <w:abstractNumId w:val="23"/>
  </w:num>
  <w:num w:numId="21" w16cid:durableId="1192495916">
    <w:abstractNumId w:val="44"/>
  </w:num>
  <w:num w:numId="22" w16cid:durableId="82845605">
    <w:abstractNumId w:val="22"/>
  </w:num>
  <w:num w:numId="23" w16cid:durableId="1261449128">
    <w:abstractNumId w:val="41"/>
  </w:num>
  <w:num w:numId="24" w16cid:durableId="1669995">
    <w:abstractNumId w:val="38"/>
  </w:num>
  <w:num w:numId="25" w16cid:durableId="965695596">
    <w:abstractNumId w:val="5"/>
  </w:num>
  <w:num w:numId="26" w16cid:durableId="331496830">
    <w:abstractNumId w:val="29"/>
  </w:num>
  <w:num w:numId="27" w16cid:durableId="1873108183">
    <w:abstractNumId w:val="34"/>
  </w:num>
  <w:num w:numId="28" w16cid:durableId="946541568">
    <w:abstractNumId w:val="36"/>
  </w:num>
  <w:num w:numId="29" w16cid:durableId="105394785">
    <w:abstractNumId w:val="24"/>
  </w:num>
  <w:num w:numId="30" w16cid:durableId="1740984231">
    <w:abstractNumId w:val="47"/>
  </w:num>
  <w:num w:numId="31" w16cid:durableId="84345675">
    <w:abstractNumId w:val="45"/>
  </w:num>
  <w:num w:numId="32" w16cid:durableId="281157214">
    <w:abstractNumId w:val="52"/>
  </w:num>
  <w:num w:numId="33" w16cid:durableId="1119227168">
    <w:abstractNumId w:val="55"/>
  </w:num>
  <w:num w:numId="34" w16cid:durableId="1016233748">
    <w:abstractNumId w:val="27"/>
  </w:num>
  <w:num w:numId="35" w16cid:durableId="137043030">
    <w:abstractNumId w:val="35"/>
  </w:num>
  <w:num w:numId="36" w16cid:durableId="1389304700">
    <w:abstractNumId w:val="19"/>
  </w:num>
  <w:num w:numId="37" w16cid:durableId="1689596054">
    <w:abstractNumId w:val="16"/>
  </w:num>
  <w:num w:numId="38" w16cid:durableId="1102727022">
    <w:abstractNumId w:val="8"/>
  </w:num>
  <w:num w:numId="39" w16cid:durableId="1187795703">
    <w:abstractNumId w:val="0"/>
  </w:num>
  <w:num w:numId="40" w16cid:durableId="1012755519">
    <w:abstractNumId w:val="7"/>
  </w:num>
  <w:num w:numId="41" w16cid:durableId="1556350445">
    <w:abstractNumId w:val="10"/>
  </w:num>
  <w:num w:numId="42" w16cid:durableId="1233195152">
    <w:abstractNumId w:val="21"/>
  </w:num>
  <w:num w:numId="43" w16cid:durableId="1739787109">
    <w:abstractNumId w:val="33"/>
  </w:num>
  <w:num w:numId="44" w16cid:durableId="1417089385">
    <w:abstractNumId w:val="13"/>
  </w:num>
  <w:num w:numId="45" w16cid:durableId="594098531">
    <w:abstractNumId w:val="6"/>
  </w:num>
  <w:num w:numId="46" w16cid:durableId="337925093">
    <w:abstractNumId w:val="48"/>
  </w:num>
  <w:num w:numId="47" w16cid:durableId="1381399006">
    <w:abstractNumId w:val="51"/>
  </w:num>
  <w:num w:numId="48" w16cid:durableId="406997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4397399">
    <w:abstractNumId w:val="3"/>
  </w:num>
  <w:num w:numId="50" w16cid:durableId="1002313049">
    <w:abstractNumId w:val="20"/>
  </w:num>
  <w:num w:numId="51" w16cid:durableId="956763622">
    <w:abstractNumId w:val="30"/>
  </w:num>
  <w:num w:numId="52" w16cid:durableId="1412392842">
    <w:abstractNumId w:val="39"/>
  </w:num>
  <w:num w:numId="53" w16cid:durableId="610011135">
    <w:abstractNumId w:val="49"/>
  </w:num>
  <w:num w:numId="54" w16cid:durableId="315768887">
    <w:abstractNumId w:val="2"/>
  </w:num>
  <w:num w:numId="55" w16cid:durableId="382799380">
    <w:abstractNumId w:val="14"/>
  </w:num>
  <w:num w:numId="56" w16cid:durableId="1007632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25A1"/>
    <w:rsid w:val="000144E8"/>
    <w:rsid w:val="000156F3"/>
    <w:rsid w:val="00016E69"/>
    <w:rsid w:val="000278D1"/>
    <w:rsid w:val="0003073C"/>
    <w:rsid w:val="00031F21"/>
    <w:rsid w:val="00035337"/>
    <w:rsid w:val="00045EAE"/>
    <w:rsid w:val="00050623"/>
    <w:rsid w:val="00053308"/>
    <w:rsid w:val="00054071"/>
    <w:rsid w:val="00056EB5"/>
    <w:rsid w:val="000601F1"/>
    <w:rsid w:val="0006126D"/>
    <w:rsid w:val="00065BA7"/>
    <w:rsid w:val="00065ED4"/>
    <w:rsid w:val="00066BC3"/>
    <w:rsid w:val="000672F5"/>
    <w:rsid w:val="00067F57"/>
    <w:rsid w:val="00071BEC"/>
    <w:rsid w:val="00072879"/>
    <w:rsid w:val="00074514"/>
    <w:rsid w:val="00075E48"/>
    <w:rsid w:val="00082D9B"/>
    <w:rsid w:val="000832D4"/>
    <w:rsid w:val="00090160"/>
    <w:rsid w:val="00096DB1"/>
    <w:rsid w:val="000A359A"/>
    <w:rsid w:val="000B1948"/>
    <w:rsid w:val="000B20D4"/>
    <w:rsid w:val="000B3E7E"/>
    <w:rsid w:val="000B4B1E"/>
    <w:rsid w:val="000C66A4"/>
    <w:rsid w:val="000C7075"/>
    <w:rsid w:val="000C7A14"/>
    <w:rsid w:val="000D223C"/>
    <w:rsid w:val="000E4006"/>
    <w:rsid w:val="000E54C2"/>
    <w:rsid w:val="000F1E3A"/>
    <w:rsid w:val="000F3A91"/>
    <w:rsid w:val="000F6340"/>
    <w:rsid w:val="00100ED6"/>
    <w:rsid w:val="001021A0"/>
    <w:rsid w:val="00104F88"/>
    <w:rsid w:val="00111E6E"/>
    <w:rsid w:val="001135AF"/>
    <w:rsid w:val="00117A8A"/>
    <w:rsid w:val="00120C7E"/>
    <w:rsid w:val="001225B0"/>
    <w:rsid w:val="001235F0"/>
    <w:rsid w:val="00131E51"/>
    <w:rsid w:val="001333DB"/>
    <w:rsid w:val="00133BE1"/>
    <w:rsid w:val="00141343"/>
    <w:rsid w:val="00141E36"/>
    <w:rsid w:val="00145DAE"/>
    <w:rsid w:val="00152615"/>
    <w:rsid w:val="00153B7A"/>
    <w:rsid w:val="00155890"/>
    <w:rsid w:val="001570BA"/>
    <w:rsid w:val="00164E99"/>
    <w:rsid w:val="00165803"/>
    <w:rsid w:val="001672C7"/>
    <w:rsid w:val="00167E3C"/>
    <w:rsid w:val="00172C4B"/>
    <w:rsid w:val="00173E28"/>
    <w:rsid w:val="00177D09"/>
    <w:rsid w:val="00183CC8"/>
    <w:rsid w:val="0018759D"/>
    <w:rsid w:val="00187E9B"/>
    <w:rsid w:val="001927C2"/>
    <w:rsid w:val="00193200"/>
    <w:rsid w:val="001944BF"/>
    <w:rsid w:val="00197407"/>
    <w:rsid w:val="001A1570"/>
    <w:rsid w:val="001A431F"/>
    <w:rsid w:val="001A4DCD"/>
    <w:rsid w:val="001A76EF"/>
    <w:rsid w:val="001B1307"/>
    <w:rsid w:val="001B2DFC"/>
    <w:rsid w:val="001B771B"/>
    <w:rsid w:val="001C03AD"/>
    <w:rsid w:val="001C0EAC"/>
    <w:rsid w:val="001C5228"/>
    <w:rsid w:val="001D02D7"/>
    <w:rsid w:val="001D6FB0"/>
    <w:rsid w:val="001E1704"/>
    <w:rsid w:val="001E45C3"/>
    <w:rsid w:val="001F020A"/>
    <w:rsid w:val="001F0889"/>
    <w:rsid w:val="001F3050"/>
    <w:rsid w:val="001F7822"/>
    <w:rsid w:val="00203092"/>
    <w:rsid w:val="00207873"/>
    <w:rsid w:val="00216E91"/>
    <w:rsid w:val="002208C0"/>
    <w:rsid w:val="00221787"/>
    <w:rsid w:val="00221F84"/>
    <w:rsid w:val="002238E8"/>
    <w:rsid w:val="00223C7D"/>
    <w:rsid w:val="00224C06"/>
    <w:rsid w:val="00230DD0"/>
    <w:rsid w:val="00230FBD"/>
    <w:rsid w:val="002316FA"/>
    <w:rsid w:val="00231817"/>
    <w:rsid w:val="00232F38"/>
    <w:rsid w:val="00242BAE"/>
    <w:rsid w:val="00242C85"/>
    <w:rsid w:val="002526B2"/>
    <w:rsid w:val="002531D9"/>
    <w:rsid w:val="0025446D"/>
    <w:rsid w:val="0025687C"/>
    <w:rsid w:val="002603D6"/>
    <w:rsid w:val="00261E0E"/>
    <w:rsid w:val="00263242"/>
    <w:rsid w:val="00264A45"/>
    <w:rsid w:val="00266655"/>
    <w:rsid w:val="00274A48"/>
    <w:rsid w:val="00291CCC"/>
    <w:rsid w:val="00292B89"/>
    <w:rsid w:val="00293A45"/>
    <w:rsid w:val="0029423A"/>
    <w:rsid w:val="002A6415"/>
    <w:rsid w:val="002B1572"/>
    <w:rsid w:val="002B224F"/>
    <w:rsid w:val="002B38A6"/>
    <w:rsid w:val="002B7B7C"/>
    <w:rsid w:val="002C0DE3"/>
    <w:rsid w:val="002C1C4B"/>
    <w:rsid w:val="002C2BF2"/>
    <w:rsid w:val="002C5026"/>
    <w:rsid w:val="002C7EF6"/>
    <w:rsid w:val="002D01A8"/>
    <w:rsid w:val="002D2055"/>
    <w:rsid w:val="002D247A"/>
    <w:rsid w:val="002D4924"/>
    <w:rsid w:val="002D57A5"/>
    <w:rsid w:val="002D7E00"/>
    <w:rsid w:val="002E0573"/>
    <w:rsid w:val="002E16D0"/>
    <w:rsid w:val="002E55D0"/>
    <w:rsid w:val="002E5A75"/>
    <w:rsid w:val="002F29F7"/>
    <w:rsid w:val="002F4756"/>
    <w:rsid w:val="002F4FBD"/>
    <w:rsid w:val="00301B33"/>
    <w:rsid w:val="00302509"/>
    <w:rsid w:val="003049C5"/>
    <w:rsid w:val="00311406"/>
    <w:rsid w:val="003150A0"/>
    <w:rsid w:val="00316F5C"/>
    <w:rsid w:val="00321A87"/>
    <w:rsid w:val="00324E2A"/>
    <w:rsid w:val="00325EC8"/>
    <w:rsid w:val="00325F66"/>
    <w:rsid w:val="00326E55"/>
    <w:rsid w:val="00327864"/>
    <w:rsid w:val="003279BF"/>
    <w:rsid w:val="003303BF"/>
    <w:rsid w:val="00340C00"/>
    <w:rsid w:val="0035059F"/>
    <w:rsid w:val="003523DA"/>
    <w:rsid w:val="003551E5"/>
    <w:rsid w:val="003572D2"/>
    <w:rsid w:val="0036366A"/>
    <w:rsid w:val="00367D24"/>
    <w:rsid w:val="003702D1"/>
    <w:rsid w:val="00373FAD"/>
    <w:rsid w:val="003749B9"/>
    <w:rsid w:val="00374D38"/>
    <w:rsid w:val="00375595"/>
    <w:rsid w:val="003777B5"/>
    <w:rsid w:val="003820C7"/>
    <w:rsid w:val="003832E7"/>
    <w:rsid w:val="00385B63"/>
    <w:rsid w:val="00386455"/>
    <w:rsid w:val="00386FF5"/>
    <w:rsid w:val="00392AA2"/>
    <w:rsid w:val="00392AC5"/>
    <w:rsid w:val="003930BF"/>
    <w:rsid w:val="003A20A0"/>
    <w:rsid w:val="003A58B0"/>
    <w:rsid w:val="003A7787"/>
    <w:rsid w:val="003B0BC8"/>
    <w:rsid w:val="003B252B"/>
    <w:rsid w:val="003B3C7F"/>
    <w:rsid w:val="003B6BA4"/>
    <w:rsid w:val="003B765E"/>
    <w:rsid w:val="003C0DA9"/>
    <w:rsid w:val="003C2E31"/>
    <w:rsid w:val="003C46E2"/>
    <w:rsid w:val="003C7787"/>
    <w:rsid w:val="003D206C"/>
    <w:rsid w:val="003D46E7"/>
    <w:rsid w:val="003D58FC"/>
    <w:rsid w:val="003D78BC"/>
    <w:rsid w:val="003D7E03"/>
    <w:rsid w:val="003E08E5"/>
    <w:rsid w:val="003E1F07"/>
    <w:rsid w:val="003E2815"/>
    <w:rsid w:val="003E47B1"/>
    <w:rsid w:val="003E6710"/>
    <w:rsid w:val="003F25B2"/>
    <w:rsid w:val="003F5B76"/>
    <w:rsid w:val="003F5C6E"/>
    <w:rsid w:val="003F5FC8"/>
    <w:rsid w:val="004001E8"/>
    <w:rsid w:val="00400DFC"/>
    <w:rsid w:val="0041088C"/>
    <w:rsid w:val="00411064"/>
    <w:rsid w:val="00412DC6"/>
    <w:rsid w:val="0041432B"/>
    <w:rsid w:val="00420093"/>
    <w:rsid w:val="00420842"/>
    <w:rsid w:val="00421F68"/>
    <w:rsid w:val="00422E63"/>
    <w:rsid w:val="004247EA"/>
    <w:rsid w:val="00425009"/>
    <w:rsid w:val="00425768"/>
    <w:rsid w:val="004259A9"/>
    <w:rsid w:val="00425E13"/>
    <w:rsid w:val="00426FF0"/>
    <w:rsid w:val="004310DB"/>
    <w:rsid w:val="004327E7"/>
    <w:rsid w:val="00435EC8"/>
    <w:rsid w:val="00436361"/>
    <w:rsid w:val="004377B0"/>
    <w:rsid w:val="0044208F"/>
    <w:rsid w:val="004421EF"/>
    <w:rsid w:val="00453865"/>
    <w:rsid w:val="00453C7D"/>
    <w:rsid w:val="00453DB3"/>
    <w:rsid w:val="00472C81"/>
    <w:rsid w:val="00475032"/>
    <w:rsid w:val="00476BB9"/>
    <w:rsid w:val="004836AF"/>
    <w:rsid w:val="0048435B"/>
    <w:rsid w:val="004859EF"/>
    <w:rsid w:val="004A2AAF"/>
    <w:rsid w:val="004A7B21"/>
    <w:rsid w:val="004B03A0"/>
    <w:rsid w:val="004B23CE"/>
    <w:rsid w:val="004B6EF8"/>
    <w:rsid w:val="004C151A"/>
    <w:rsid w:val="004C45D8"/>
    <w:rsid w:val="004C7006"/>
    <w:rsid w:val="004D2D01"/>
    <w:rsid w:val="004D3E11"/>
    <w:rsid w:val="004D6C80"/>
    <w:rsid w:val="004E212F"/>
    <w:rsid w:val="004E44EC"/>
    <w:rsid w:val="004E5AAC"/>
    <w:rsid w:val="004E6487"/>
    <w:rsid w:val="004E72B9"/>
    <w:rsid w:val="004F79A2"/>
    <w:rsid w:val="004F7E9B"/>
    <w:rsid w:val="004F7FC3"/>
    <w:rsid w:val="0050313C"/>
    <w:rsid w:val="005036C0"/>
    <w:rsid w:val="00507A40"/>
    <w:rsid w:val="005116B2"/>
    <w:rsid w:val="00511EC2"/>
    <w:rsid w:val="005164F5"/>
    <w:rsid w:val="00517658"/>
    <w:rsid w:val="0052560F"/>
    <w:rsid w:val="005268B8"/>
    <w:rsid w:val="0053039B"/>
    <w:rsid w:val="00530CFF"/>
    <w:rsid w:val="0053388C"/>
    <w:rsid w:val="0054229B"/>
    <w:rsid w:val="0054242F"/>
    <w:rsid w:val="00545ABA"/>
    <w:rsid w:val="00546547"/>
    <w:rsid w:val="0055031C"/>
    <w:rsid w:val="0055096F"/>
    <w:rsid w:val="00552077"/>
    <w:rsid w:val="005539C2"/>
    <w:rsid w:val="00557169"/>
    <w:rsid w:val="00565061"/>
    <w:rsid w:val="005666F2"/>
    <w:rsid w:val="00567A16"/>
    <w:rsid w:val="00572064"/>
    <w:rsid w:val="00574572"/>
    <w:rsid w:val="005761BD"/>
    <w:rsid w:val="005826EA"/>
    <w:rsid w:val="00584369"/>
    <w:rsid w:val="00587A35"/>
    <w:rsid w:val="00590BC9"/>
    <w:rsid w:val="005A231A"/>
    <w:rsid w:val="005B1C42"/>
    <w:rsid w:val="005B565A"/>
    <w:rsid w:val="005B596E"/>
    <w:rsid w:val="005B6687"/>
    <w:rsid w:val="005D5D44"/>
    <w:rsid w:val="005E1936"/>
    <w:rsid w:val="005E27C0"/>
    <w:rsid w:val="005E2849"/>
    <w:rsid w:val="005E3BAC"/>
    <w:rsid w:val="005E5586"/>
    <w:rsid w:val="005E60BF"/>
    <w:rsid w:val="005F0176"/>
    <w:rsid w:val="005F4693"/>
    <w:rsid w:val="005F5ABE"/>
    <w:rsid w:val="005F64A3"/>
    <w:rsid w:val="00602662"/>
    <w:rsid w:val="00603482"/>
    <w:rsid w:val="00604616"/>
    <w:rsid w:val="00607AA3"/>
    <w:rsid w:val="00613A15"/>
    <w:rsid w:val="00615090"/>
    <w:rsid w:val="00616E96"/>
    <w:rsid w:val="0062069A"/>
    <w:rsid w:val="00623602"/>
    <w:rsid w:val="00624B48"/>
    <w:rsid w:val="006308C7"/>
    <w:rsid w:val="00632AA9"/>
    <w:rsid w:val="00633433"/>
    <w:rsid w:val="00633A15"/>
    <w:rsid w:val="0064235F"/>
    <w:rsid w:val="0064279A"/>
    <w:rsid w:val="00644B5B"/>
    <w:rsid w:val="00646F97"/>
    <w:rsid w:val="00650564"/>
    <w:rsid w:val="0065170A"/>
    <w:rsid w:val="00651C98"/>
    <w:rsid w:val="006522FE"/>
    <w:rsid w:val="0065375F"/>
    <w:rsid w:val="00653A36"/>
    <w:rsid w:val="006548CC"/>
    <w:rsid w:val="006568E8"/>
    <w:rsid w:val="00656DCC"/>
    <w:rsid w:val="0066184E"/>
    <w:rsid w:val="0066610B"/>
    <w:rsid w:val="006707B5"/>
    <w:rsid w:val="006744B6"/>
    <w:rsid w:val="00675FED"/>
    <w:rsid w:val="00677C9E"/>
    <w:rsid w:val="006802A0"/>
    <w:rsid w:val="00680773"/>
    <w:rsid w:val="00680B59"/>
    <w:rsid w:val="006929DF"/>
    <w:rsid w:val="006A0FE5"/>
    <w:rsid w:val="006A1257"/>
    <w:rsid w:val="006A5D23"/>
    <w:rsid w:val="006A6458"/>
    <w:rsid w:val="006A7EC4"/>
    <w:rsid w:val="006B045F"/>
    <w:rsid w:val="006B1A07"/>
    <w:rsid w:val="006B1D3D"/>
    <w:rsid w:val="006B3278"/>
    <w:rsid w:val="006B35BB"/>
    <w:rsid w:val="006B3BDC"/>
    <w:rsid w:val="006C4A74"/>
    <w:rsid w:val="006C6DAD"/>
    <w:rsid w:val="006D02E8"/>
    <w:rsid w:val="006D189D"/>
    <w:rsid w:val="006D349E"/>
    <w:rsid w:val="006E21C2"/>
    <w:rsid w:val="006E3D58"/>
    <w:rsid w:val="006F4535"/>
    <w:rsid w:val="006F4E8E"/>
    <w:rsid w:val="00701B91"/>
    <w:rsid w:val="00703D4B"/>
    <w:rsid w:val="00704B4A"/>
    <w:rsid w:val="00704EE5"/>
    <w:rsid w:val="007066E2"/>
    <w:rsid w:val="007068C8"/>
    <w:rsid w:val="00707690"/>
    <w:rsid w:val="00707803"/>
    <w:rsid w:val="00707ABB"/>
    <w:rsid w:val="00710D90"/>
    <w:rsid w:val="007168A6"/>
    <w:rsid w:val="00716DB9"/>
    <w:rsid w:val="0072014C"/>
    <w:rsid w:val="00721E7E"/>
    <w:rsid w:val="0072241F"/>
    <w:rsid w:val="00722640"/>
    <w:rsid w:val="007232F9"/>
    <w:rsid w:val="007241D3"/>
    <w:rsid w:val="00724F66"/>
    <w:rsid w:val="007253BF"/>
    <w:rsid w:val="0073197E"/>
    <w:rsid w:val="007339B5"/>
    <w:rsid w:val="00735385"/>
    <w:rsid w:val="007357CB"/>
    <w:rsid w:val="00736215"/>
    <w:rsid w:val="00746080"/>
    <w:rsid w:val="007508EC"/>
    <w:rsid w:val="00751E7F"/>
    <w:rsid w:val="00760B6E"/>
    <w:rsid w:val="00761532"/>
    <w:rsid w:val="00766821"/>
    <w:rsid w:val="00767FBC"/>
    <w:rsid w:val="00772B57"/>
    <w:rsid w:val="00774FAB"/>
    <w:rsid w:val="00781D04"/>
    <w:rsid w:val="007857C6"/>
    <w:rsid w:val="00790035"/>
    <w:rsid w:val="007913F2"/>
    <w:rsid w:val="00792DBF"/>
    <w:rsid w:val="0079339F"/>
    <w:rsid w:val="00797B4E"/>
    <w:rsid w:val="007A31C5"/>
    <w:rsid w:val="007B52E5"/>
    <w:rsid w:val="007C2D45"/>
    <w:rsid w:val="007C4950"/>
    <w:rsid w:val="007C6536"/>
    <w:rsid w:val="007C6C39"/>
    <w:rsid w:val="007D01AF"/>
    <w:rsid w:val="007D0A39"/>
    <w:rsid w:val="007E188A"/>
    <w:rsid w:val="007E44D8"/>
    <w:rsid w:val="007E530E"/>
    <w:rsid w:val="007E7F17"/>
    <w:rsid w:val="007F49EB"/>
    <w:rsid w:val="007F678F"/>
    <w:rsid w:val="007F78D6"/>
    <w:rsid w:val="0080140D"/>
    <w:rsid w:val="008031B3"/>
    <w:rsid w:val="0080428B"/>
    <w:rsid w:val="00805FDA"/>
    <w:rsid w:val="0080735A"/>
    <w:rsid w:val="008104A3"/>
    <w:rsid w:val="008107E8"/>
    <w:rsid w:val="00812C1B"/>
    <w:rsid w:val="00816374"/>
    <w:rsid w:val="008173B1"/>
    <w:rsid w:val="00817ECC"/>
    <w:rsid w:val="00823157"/>
    <w:rsid w:val="00825AB1"/>
    <w:rsid w:val="00832D98"/>
    <w:rsid w:val="0083515F"/>
    <w:rsid w:val="00835AD0"/>
    <w:rsid w:val="00836C12"/>
    <w:rsid w:val="00841787"/>
    <w:rsid w:val="0084333A"/>
    <w:rsid w:val="00847D74"/>
    <w:rsid w:val="00851892"/>
    <w:rsid w:val="00852772"/>
    <w:rsid w:val="00853CD4"/>
    <w:rsid w:val="00856DDC"/>
    <w:rsid w:val="00870CBE"/>
    <w:rsid w:val="00870E55"/>
    <w:rsid w:val="00873D3B"/>
    <w:rsid w:val="008747B3"/>
    <w:rsid w:val="00881129"/>
    <w:rsid w:val="008813C3"/>
    <w:rsid w:val="0088471C"/>
    <w:rsid w:val="00887483"/>
    <w:rsid w:val="008926F0"/>
    <w:rsid w:val="00893653"/>
    <w:rsid w:val="00894AE5"/>
    <w:rsid w:val="0089648A"/>
    <w:rsid w:val="008964E8"/>
    <w:rsid w:val="008A19F4"/>
    <w:rsid w:val="008A3A20"/>
    <w:rsid w:val="008A408D"/>
    <w:rsid w:val="008A40FB"/>
    <w:rsid w:val="008A485E"/>
    <w:rsid w:val="008A48F6"/>
    <w:rsid w:val="008B04F9"/>
    <w:rsid w:val="008B6CCF"/>
    <w:rsid w:val="008C434F"/>
    <w:rsid w:val="008D2ECE"/>
    <w:rsid w:val="008D3D9E"/>
    <w:rsid w:val="008D578E"/>
    <w:rsid w:val="008E178E"/>
    <w:rsid w:val="008E3962"/>
    <w:rsid w:val="008E6045"/>
    <w:rsid w:val="008E673A"/>
    <w:rsid w:val="008F2408"/>
    <w:rsid w:val="0090113B"/>
    <w:rsid w:val="009118F8"/>
    <w:rsid w:val="00917433"/>
    <w:rsid w:val="00930044"/>
    <w:rsid w:val="009316F3"/>
    <w:rsid w:val="0093258A"/>
    <w:rsid w:val="00932D77"/>
    <w:rsid w:val="0094194B"/>
    <w:rsid w:val="0094373C"/>
    <w:rsid w:val="00946B4C"/>
    <w:rsid w:val="00946DEE"/>
    <w:rsid w:val="0095000F"/>
    <w:rsid w:val="009500E1"/>
    <w:rsid w:val="00951E2B"/>
    <w:rsid w:val="00952939"/>
    <w:rsid w:val="009532EC"/>
    <w:rsid w:val="009557FB"/>
    <w:rsid w:val="00961EA0"/>
    <w:rsid w:val="00962869"/>
    <w:rsid w:val="0096636D"/>
    <w:rsid w:val="00967B1F"/>
    <w:rsid w:val="00971BF2"/>
    <w:rsid w:val="00973767"/>
    <w:rsid w:val="0097444C"/>
    <w:rsid w:val="00977163"/>
    <w:rsid w:val="00996150"/>
    <w:rsid w:val="009A0462"/>
    <w:rsid w:val="009A22A7"/>
    <w:rsid w:val="009A4720"/>
    <w:rsid w:val="009A5C44"/>
    <w:rsid w:val="009B03AF"/>
    <w:rsid w:val="009B07B5"/>
    <w:rsid w:val="009B38DE"/>
    <w:rsid w:val="009C2440"/>
    <w:rsid w:val="009C2CBE"/>
    <w:rsid w:val="009C3952"/>
    <w:rsid w:val="009C4216"/>
    <w:rsid w:val="009C643D"/>
    <w:rsid w:val="009D5F4B"/>
    <w:rsid w:val="009E2E99"/>
    <w:rsid w:val="009E330E"/>
    <w:rsid w:val="009E3F88"/>
    <w:rsid w:val="009E4AAF"/>
    <w:rsid w:val="009E626E"/>
    <w:rsid w:val="009E7CBF"/>
    <w:rsid w:val="009F100D"/>
    <w:rsid w:val="009F5AB8"/>
    <w:rsid w:val="00A01211"/>
    <w:rsid w:val="00A0307E"/>
    <w:rsid w:val="00A03B5B"/>
    <w:rsid w:val="00A046F3"/>
    <w:rsid w:val="00A07077"/>
    <w:rsid w:val="00A12EC6"/>
    <w:rsid w:val="00A14D63"/>
    <w:rsid w:val="00A16BBE"/>
    <w:rsid w:val="00A2381D"/>
    <w:rsid w:val="00A37FD6"/>
    <w:rsid w:val="00A43AB6"/>
    <w:rsid w:val="00A50DD0"/>
    <w:rsid w:val="00A516B0"/>
    <w:rsid w:val="00A5620A"/>
    <w:rsid w:val="00A62229"/>
    <w:rsid w:val="00A64073"/>
    <w:rsid w:val="00A64FD9"/>
    <w:rsid w:val="00A66E77"/>
    <w:rsid w:val="00A728DE"/>
    <w:rsid w:val="00A75EBF"/>
    <w:rsid w:val="00A76CBF"/>
    <w:rsid w:val="00A77FAF"/>
    <w:rsid w:val="00A918DB"/>
    <w:rsid w:val="00A97B02"/>
    <w:rsid w:val="00AA06D9"/>
    <w:rsid w:val="00AA47EE"/>
    <w:rsid w:val="00AA5708"/>
    <w:rsid w:val="00AA5D3D"/>
    <w:rsid w:val="00AB251C"/>
    <w:rsid w:val="00AC2406"/>
    <w:rsid w:val="00AC3445"/>
    <w:rsid w:val="00AD0F59"/>
    <w:rsid w:val="00AD3FCF"/>
    <w:rsid w:val="00AD4DFC"/>
    <w:rsid w:val="00AD53AC"/>
    <w:rsid w:val="00AD5C39"/>
    <w:rsid w:val="00AE05DB"/>
    <w:rsid w:val="00AE47C3"/>
    <w:rsid w:val="00AE6659"/>
    <w:rsid w:val="00B03802"/>
    <w:rsid w:val="00B069AA"/>
    <w:rsid w:val="00B07359"/>
    <w:rsid w:val="00B12457"/>
    <w:rsid w:val="00B13A9C"/>
    <w:rsid w:val="00B16657"/>
    <w:rsid w:val="00B1783C"/>
    <w:rsid w:val="00B23A36"/>
    <w:rsid w:val="00B24DF0"/>
    <w:rsid w:val="00B25576"/>
    <w:rsid w:val="00B25EF5"/>
    <w:rsid w:val="00B32256"/>
    <w:rsid w:val="00B331A0"/>
    <w:rsid w:val="00B33598"/>
    <w:rsid w:val="00B4305C"/>
    <w:rsid w:val="00B45316"/>
    <w:rsid w:val="00B46969"/>
    <w:rsid w:val="00B50EB2"/>
    <w:rsid w:val="00B5363C"/>
    <w:rsid w:val="00B54030"/>
    <w:rsid w:val="00B5657E"/>
    <w:rsid w:val="00B61AEE"/>
    <w:rsid w:val="00B633F1"/>
    <w:rsid w:val="00B65368"/>
    <w:rsid w:val="00B6722A"/>
    <w:rsid w:val="00B67799"/>
    <w:rsid w:val="00B741F2"/>
    <w:rsid w:val="00B74BCB"/>
    <w:rsid w:val="00B75C24"/>
    <w:rsid w:val="00B76194"/>
    <w:rsid w:val="00B80841"/>
    <w:rsid w:val="00B81EC1"/>
    <w:rsid w:val="00B82D78"/>
    <w:rsid w:val="00B86D38"/>
    <w:rsid w:val="00B87F1D"/>
    <w:rsid w:val="00B91200"/>
    <w:rsid w:val="00B92C45"/>
    <w:rsid w:val="00B937A5"/>
    <w:rsid w:val="00B945F2"/>
    <w:rsid w:val="00BA41A0"/>
    <w:rsid w:val="00BA434C"/>
    <w:rsid w:val="00BA69EF"/>
    <w:rsid w:val="00BB392E"/>
    <w:rsid w:val="00BC1FA7"/>
    <w:rsid w:val="00BD051C"/>
    <w:rsid w:val="00BD4F65"/>
    <w:rsid w:val="00BD7607"/>
    <w:rsid w:val="00BD7895"/>
    <w:rsid w:val="00BE0D0B"/>
    <w:rsid w:val="00BF2580"/>
    <w:rsid w:val="00C00C03"/>
    <w:rsid w:val="00C00CCF"/>
    <w:rsid w:val="00C01DE6"/>
    <w:rsid w:val="00C02D61"/>
    <w:rsid w:val="00C06F9E"/>
    <w:rsid w:val="00C13E6B"/>
    <w:rsid w:val="00C2370B"/>
    <w:rsid w:val="00C24C19"/>
    <w:rsid w:val="00C27193"/>
    <w:rsid w:val="00C35A69"/>
    <w:rsid w:val="00C37CE3"/>
    <w:rsid w:val="00C4218A"/>
    <w:rsid w:val="00C4383C"/>
    <w:rsid w:val="00C4629C"/>
    <w:rsid w:val="00C520EE"/>
    <w:rsid w:val="00C5492C"/>
    <w:rsid w:val="00C6120C"/>
    <w:rsid w:val="00C61286"/>
    <w:rsid w:val="00C624D5"/>
    <w:rsid w:val="00C627BE"/>
    <w:rsid w:val="00C64CF5"/>
    <w:rsid w:val="00C67B7D"/>
    <w:rsid w:val="00C67D66"/>
    <w:rsid w:val="00C70677"/>
    <w:rsid w:val="00C83E32"/>
    <w:rsid w:val="00C841F4"/>
    <w:rsid w:val="00C848A0"/>
    <w:rsid w:val="00C859E5"/>
    <w:rsid w:val="00C878C5"/>
    <w:rsid w:val="00C904CC"/>
    <w:rsid w:val="00C9205E"/>
    <w:rsid w:val="00C96AEA"/>
    <w:rsid w:val="00CA153E"/>
    <w:rsid w:val="00CA1F9C"/>
    <w:rsid w:val="00CA76A3"/>
    <w:rsid w:val="00CA7B2E"/>
    <w:rsid w:val="00CC0B6D"/>
    <w:rsid w:val="00CD01B4"/>
    <w:rsid w:val="00CD701F"/>
    <w:rsid w:val="00CE1CD3"/>
    <w:rsid w:val="00CE4F01"/>
    <w:rsid w:val="00CE51BE"/>
    <w:rsid w:val="00CF3AC3"/>
    <w:rsid w:val="00CF578B"/>
    <w:rsid w:val="00CF6926"/>
    <w:rsid w:val="00D02FCF"/>
    <w:rsid w:val="00D045A0"/>
    <w:rsid w:val="00D04F9F"/>
    <w:rsid w:val="00D057B5"/>
    <w:rsid w:val="00D06130"/>
    <w:rsid w:val="00D115C7"/>
    <w:rsid w:val="00D116D3"/>
    <w:rsid w:val="00D15A56"/>
    <w:rsid w:val="00D175BF"/>
    <w:rsid w:val="00D26ECC"/>
    <w:rsid w:val="00D26FD5"/>
    <w:rsid w:val="00D307F9"/>
    <w:rsid w:val="00D308A1"/>
    <w:rsid w:val="00D30F16"/>
    <w:rsid w:val="00D33274"/>
    <w:rsid w:val="00D37F7A"/>
    <w:rsid w:val="00D42AF1"/>
    <w:rsid w:val="00D454B7"/>
    <w:rsid w:val="00D4621C"/>
    <w:rsid w:val="00D50759"/>
    <w:rsid w:val="00D55546"/>
    <w:rsid w:val="00D57E8C"/>
    <w:rsid w:val="00D6213C"/>
    <w:rsid w:val="00D647C0"/>
    <w:rsid w:val="00D6513A"/>
    <w:rsid w:val="00D658C8"/>
    <w:rsid w:val="00D7227E"/>
    <w:rsid w:val="00D724CC"/>
    <w:rsid w:val="00D77124"/>
    <w:rsid w:val="00D77694"/>
    <w:rsid w:val="00D77B0F"/>
    <w:rsid w:val="00D80859"/>
    <w:rsid w:val="00D83219"/>
    <w:rsid w:val="00D87AC6"/>
    <w:rsid w:val="00D904FB"/>
    <w:rsid w:val="00D90A08"/>
    <w:rsid w:val="00D937F4"/>
    <w:rsid w:val="00D95F26"/>
    <w:rsid w:val="00D96030"/>
    <w:rsid w:val="00DA1215"/>
    <w:rsid w:val="00DA644A"/>
    <w:rsid w:val="00DB0F39"/>
    <w:rsid w:val="00DB6B52"/>
    <w:rsid w:val="00DB7E74"/>
    <w:rsid w:val="00DC1CC9"/>
    <w:rsid w:val="00DC3603"/>
    <w:rsid w:val="00DC3AE9"/>
    <w:rsid w:val="00DC3E5D"/>
    <w:rsid w:val="00DC489D"/>
    <w:rsid w:val="00DD1DB0"/>
    <w:rsid w:val="00DD5901"/>
    <w:rsid w:val="00DE07DE"/>
    <w:rsid w:val="00DE231B"/>
    <w:rsid w:val="00DE5488"/>
    <w:rsid w:val="00DE618B"/>
    <w:rsid w:val="00DE75AC"/>
    <w:rsid w:val="00DF0028"/>
    <w:rsid w:val="00DF3454"/>
    <w:rsid w:val="00DF4B6D"/>
    <w:rsid w:val="00DF5A52"/>
    <w:rsid w:val="00DF705B"/>
    <w:rsid w:val="00E01764"/>
    <w:rsid w:val="00E022D1"/>
    <w:rsid w:val="00E1250E"/>
    <w:rsid w:val="00E17C58"/>
    <w:rsid w:val="00E229CD"/>
    <w:rsid w:val="00E231C2"/>
    <w:rsid w:val="00E24311"/>
    <w:rsid w:val="00E263C9"/>
    <w:rsid w:val="00E27F47"/>
    <w:rsid w:val="00E32E5C"/>
    <w:rsid w:val="00E33E1A"/>
    <w:rsid w:val="00E350C8"/>
    <w:rsid w:val="00E41C94"/>
    <w:rsid w:val="00E429DA"/>
    <w:rsid w:val="00E46FE7"/>
    <w:rsid w:val="00E50CBC"/>
    <w:rsid w:val="00E552C6"/>
    <w:rsid w:val="00E616AB"/>
    <w:rsid w:val="00E62C2A"/>
    <w:rsid w:val="00E676EF"/>
    <w:rsid w:val="00E74E86"/>
    <w:rsid w:val="00E7545F"/>
    <w:rsid w:val="00E8586E"/>
    <w:rsid w:val="00E86F26"/>
    <w:rsid w:val="00E9175F"/>
    <w:rsid w:val="00E91BB9"/>
    <w:rsid w:val="00E96A06"/>
    <w:rsid w:val="00EA0919"/>
    <w:rsid w:val="00EA0E83"/>
    <w:rsid w:val="00EA308B"/>
    <w:rsid w:val="00EA5233"/>
    <w:rsid w:val="00EA6F77"/>
    <w:rsid w:val="00EB496A"/>
    <w:rsid w:val="00EB50C2"/>
    <w:rsid w:val="00EB5240"/>
    <w:rsid w:val="00EB6862"/>
    <w:rsid w:val="00EC0B55"/>
    <w:rsid w:val="00EC4FA8"/>
    <w:rsid w:val="00EC657A"/>
    <w:rsid w:val="00EC7667"/>
    <w:rsid w:val="00EC7EFC"/>
    <w:rsid w:val="00ED7152"/>
    <w:rsid w:val="00ED79C6"/>
    <w:rsid w:val="00EE04B9"/>
    <w:rsid w:val="00EE3753"/>
    <w:rsid w:val="00EF000D"/>
    <w:rsid w:val="00EF03DB"/>
    <w:rsid w:val="00F016B1"/>
    <w:rsid w:val="00F03480"/>
    <w:rsid w:val="00F034BF"/>
    <w:rsid w:val="00F04A63"/>
    <w:rsid w:val="00F127A1"/>
    <w:rsid w:val="00F16244"/>
    <w:rsid w:val="00F21908"/>
    <w:rsid w:val="00F229CE"/>
    <w:rsid w:val="00F233A3"/>
    <w:rsid w:val="00F23D7A"/>
    <w:rsid w:val="00F26D30"/>
    <w:rsid w:val="00F33401"/>
    <w:rsid w:val="00F51141"/>
    <w:rsid w:val="00F5119D"/>
    <w:rsid w:val="00F554A4"/>
    <w:rsid w:val="00F57152"/>
    <w:rsid w:val="00F61C92"/>
    <w:rsid w:val="00F63E3A"/>
    <w:rsid w:val="00F6535A"/>
    <w:rsid w:val="00F656AE"/>
    <w:rsid w:val="00F7362C"/>
    <w:rsid w:val="00F74567"/>
    <w:rsid w:val="00F80C00"/>
    <w:rsid w:val="00F84881"/>
    <w:rsid w:val="00F86C7E"/>
    <w:rsid w:val="00F86D1C"/>
    <w:rsid w:val="00F878A4"/>
    <w:rsid w:val="00F9286A"/>
    <w:rsid w:val="00F92F61"/>
    <w:rsid w:val="00F954BE"/>
    <w:rsid w:val="00F95CBD"/>
    <w:rsid w:val="00F97B0B"/>
    <w:rsid w:val="00FA47D9"/>
    <w:rsid w:val="00FA66C0"/>
    <w:rsid w:val="00FA6DB9"/>
    <w:rsid w:val="00FB3828"/>
    <w:rsid w:val="00FB6F10"/>
    <w:rsid w:val="00FC172A"/>
    <w:rsid w:val="00FC1CD6"/>
    <w:rsid w:val="00FC2D5A"/>
    <w:rsid w:val="00FC3671"/>
    <w:rsid w:val="00FC3A67"/>
    <w:rsid w:val="00FC488F"/>
    <w:rsid w:val="00FC4CF8"/>
    <w:rsid w:val="00FC5DA7"/>
    <w:rsid w:val="00FC5FA5"/>
    <w:rsid w:val="00FC6135"/>
    <w:rsid w:val="00FD4C64"/>
    <w:rsid w:val="00FD4CAC"/>
    <w:rsid w:val="00FD4E9E"/>
    <w:rsid w:val="00FE0960"/>
    <w:rsid w:val="00FE1BE0"/>
    <w:rsid w:val="00FF1124"/>
    <w:rsid w:val="00FF3BDA"/>
    <w:rsid w:val="00FF59CD"/>
    <w:rsid w:val="657DCF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NoSpacing">
    <w:name w:val="No Spacing"/>
    <w:uiPriority w:val="1"/>
    <w:qFormat/>
    <w:rsid w:val="00065ED4"/>
    <w:pPr>
      <w:spacing w:after="0" w:line="240" w:lineRule="auto"/>
    </w:pPr>
  </w:style>
  <w:style w:type="paragraph" w:styleId="FootnoteText">
    <w:name w:val="footnote text"/>
    <w:basedOn w:val="Normal"/>
    <w:link w:val="FootnoteTextChar"/>
    <w:uiPriority w:val="99"/>
    <w:unhideWhenUsed/>
    <w:rsid w:val="009F5AB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F5AB8"/>
    <w:rPr>
      <w:sz w:val="20"/>
      <w:szCs w:val="20"/>
      <w:lang w:val="en-US"/>
    </w:rPr>
  </w:style>
  <w:style w:type="character" w:styleId="FootnoteReference">
    <w:name w:val="footnote reference"/>
    <w:basedOn w:val="DefaultParagraphFont"/>
    <w:uiPriority w:val="99"/>
    <w:unhideWhenUsed/>
    <w:rsid w:val="009F5AB8"/>
    <w:rPr>
      <w:vertAlign w:val="superscript"/>
    </w:rPr>
  </w:style>
  <w:style w:type="character" w:styleId="Hyperlink">
    <w:name w:val="Hyperlink"/>
    <w:basedOn w:val="DefaultParagraphFont"/>
    <w:uiPriority w:val="99"/>
    <w:unhideWhenUsed/>
    <w:rsid w:val="003E2815"/>
    <w:rPr>
      <w:color w:val="0000FF" w:themeColor="hyperlink"/>
      <w:u w:val="single"/>
    </w:rPr>
  </w:style>
  <w:style w:type="paragraph" w:styleId="EndnoteText">
    <w:name w:val="endnote text"/>
    <w:basedOn w:val="Normal"/>
    <w:link w:val="EndnoteTextChar"/>
    <w:uiPriority w:val="99"/>
    <w:semiHidden/>
    <w:unhideWhenUsed/>
    <w:rsid w:val="00F511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141"/>
    <w:rPr>
      <w:sz w:val="20"/>
      <w:szCs w:val="20"/>
    </w:rPr>
  </w:style>
  <w:style w:type="character" w:styleId="EndnoteReference">
    <w:name w:val="endnote reference"/>
    <w:basedOn w:val="DefaultParagraphFont"/>
    <w:uiPriority w:val="99"/>
    <w:semiHidden/>
    <w:unhideWhenUsed/>
    <w:rsid w:val="00F51141"/>
    <w:rPr>
      <w:vertAlign w:val="superscript"/>
    </w:rPr>
  </w:style>
  <w:style w:type="character" w:styleId="FollowedHyperlink">
    <w:name w:val="FollowedHyperlink"/>
    <w:basedOn w:val="DefaultParagraphFont"/>
    <w:uiPriority w:val="99"/>
    <w:semiHidden/>
    <w:unhideWhenUsed/>
    <w:rsid w:val="00F127A1"/>
    <w:rPr>
      <w:color w:val="800080" w:themeColor="followedHyperlink"/>
      <w:u w:val="single"/>
    </w:rPr>
  </w:style>
  <w:style w:type="character" w:styleId="UnresolvedMention">
    <w:name w:val="Unresolved Mention"/>
    <w:basedOn w:val="DefaultParagraphFont"/>
    <w:uiPriority w:val="99"/>
    <w:semiHidden/>
    <w:unhideWhenUsed/>
    <w:rsid w:val="0001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96624370">
      <w:bodyDiv w:val="1"/>
      <w:marLeft w:val="0"/>
      <w:marRight w:val="0"/>
      <w:marTop w:val="0"/>
      <w:marBottom w:val="0"/>
      <w:divBdr>
        <w:top w:val="none" w:sz="0" w:space="0" w:color="auto"/>
        <w:left w:val="none" w:sz="0" w:space="0" w:color="auto"/>
        <w:bottom w:val="none" w:sz="0" w:space="0" w:color="auto"/>
        <w:right w:val="none" w:sz="0" w:space="0" w:color="auto"/>
      </w:divBdr>
    </w:div>
    <w:div w:id="19681525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b.ca/sites/default/files/ltr-Retro-Ratemaking-Guidance-201910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41177-76F8-4ECE-A171-A3D3DDF2D6D9}">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2.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3.xml><?xml version="1.0" encoding="utf-8"?>
<ds:datastoreItem xmlns:ds="http://schemas.openxmlformats.org/officeDocument/2006/customXml" ds:itemID="{40E40E62-A5C4-4447-BF6A-255E691FDE82}">
  <ds:schemaRefs>
    <ds:schemaRef ds:uri="http://schemas.microsoft.com/sharepoint/v3/contenttype/forms"/>
  </ds:schemaRefs>
</ds:datastoreItem>
</file>

<file path=customXml/itemProps4.xml><?xml version="1.0" encoding="utf-8"?>
<ds:datastoreItem xmlns:ds="http://schemas.openxmlformats.org/officeDocument/2006/customXml" ds:itemID="{E7F9D55C-AA61-44AA-99FF-9CF5E3EA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5598</Characters>
  <Application>Microsoft Office Word</Application>
  <DocSecurity>0</DocSecurity>
  <Lines>294</Lines>
  <Paragraphs>199</Paragraphs>
  <ScaleCrop>false</ScaleCrop>
  <Company>OEB</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Wolly-Oluwole Bibiresanmi</cp:lastModifiedBy>
  <cp:revision>2</cp:revision>
  <cp:lastPrinted>2025-01-23T18:08:00Z</cp:lastPrinted>
  <dcterms:created xsi:type="dcterms:W3CDTF">2025-02-26T18:35:00Z</dcterms:created>
  <dcterms:modified xsi:type="dcterms:W3CDTF">2025-02-26T18:35:00Z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dd3cb79d0dabfacfc63def31fb0327f653610c7b4d6170bd9cfe5a215251eb91</vt:lpwstr>
  </property>
  <property fmtid="{D5CDD505-2E9C-101B-9397-08002B2CF9AE}" pid="3" name="ContentTypeId">
    <vt:lpwstr>0x01010051EF994162927F4EBBA0833824D20125</vt:lpwstr>
  </property>
  <property fmtid="{D5CDD505-2E9C-101B-9397-08002B2CF9AE}" pid="4" name="MediaServiceImageTags">
    <vt:lpwstr/>
  </property>
</Properties>
</file>