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2CEF" w14:textId="77777777" w:rsidR="00A94E32" w:rsidRDefault="00A94E32" w:rsidP="00A94E32">
      <w:pPr>
        <w:spacing w:after="0" w:line="240" w:lineRule="auto"/>
        <w:rPr>
          <w:rFonts w:ascii="Calibri" w:hAnsi="Calibri" w:cs="Calibri"/>
          <w:sz w:val="22"/>
          <w:szCs w:val="22"/>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A94E32" w14:paraId="35062FD8" w14:textId="77777777" w:rsidTr="009B66F0">
        <w:tc>
          <w:tcPr>
            <w:tcW w:w="2977" w:type="dxa"/>
          </w:tcPr>
          <w:p w14:paraId="3CD60C83" w14:textId="77777777" w:rsidR="009B66F0" w:rsidRDefault="009B66F0" w:rsidP="00A94E32">
            <w:pPr>
              <w:spacing w:line="360" w:lineRule="auto"/>
              <w:rPr>
                <w:rFonts w:ascii="Calibri" w:hAnsi="Calibri" w:cs="Calibri"/>
                <w:b/>
                <w:bCs/>
                <w:sz w:val="22"/>
                <w:szCs w:val="22"/>
                <w:lang w:val="en-CA"/>
              </w:rPr>
            </w:pPr>
          </w:p>
          <w:p w14:paraId="06AA2D8D" w14:textId="77777777" w:rsidR="009B66F0" w:rsidRDefault="009B66F0" w:rsidP="00A94E32">
            <w:pPr>
              <w:spacing w:line="360" w:lineRule="auto"/>
              <w:rPr>
                <w:rFonts w:ascii="Calibri" w:hAnsi="Calibri" w:cs="Calibri"/>
                <w:b/>
                <w:bCs/>
                <w:sz w:val="22"/>
                <w:szCs w:val="22"/>
                <w:lang w:val="en-CA"/>
              </w:rPr>
            </w:pPr>
          </w:p>
          <w:p w14:paraId="6E27790A" w14:textId="77777777" w:rsidR="009B66F0" w:rsidRDefault="009B66F0" w:rsidP="00A94E32">
            <w:pPr>
              <w:spacing w:line="360" w:lineRule="auto"/>
              <w:rPr>
                <w:rFonts w:ascii="Calibri" w:hAnsi="Calibri" w:cs="Calibri"/>
                <w:b/>
                <w:bCs/>
                <w:sz w:val="22"/>
                <w:szCs w:val="22"/>
                <w:lang w:val="en-CA"/>
              </w:rPr>
            </w:pPr>
          </w:p>
          <w:p w14:paraId="7F503F78" w14:textId="77777777" w:rsidR="009B66F0" w:rsidRDefault="009B66F0" w:rsidP="00A94E32">
            <w:pPr>
              <w:spacing w:line="360" w:lineRule="auto"/>
              <w:rPr>
                <w:rFonts w:ascii="Calibri" w:hAnsi="Calibri" w:cs="Calibri"/>
                <w:b/>
                <w:bCs/>
                <w:sz w:val="22"/>
                <w:szCs w:val="22"/>
                <w:lang w:val="en-CA"/>
              </w:rPr>
            </w:pPr>
          </w:p>
          <w:p w14:paraId="3262D89B" w14:textId="77777777" w:rsidR="009B66F0" w:rsidRDefault="009B66F0" w:rsidP="00A94E32">
            <w:pPr>
              <w:spacing w:line="360" w:lineRule="auto"/>
              <w:rPr>
                <w:rFonts w:ascii="Calibri" w:hAnsi="Calibri" w:cs="Calibri"/>
                <w:b/>
                <w:bCs/>
                <w:sz w:val="22"/>
                <w:szCs w:val="22"/>
                <w:lang w:val="en-CA"/>
              </w:rPr>
            </w:pPr>
          </w:p>
          <w:p w14:paraId="5D18F737" w14:textId="3DBDB8AF" w:rsidR="00A94E32" w:rsidRDefault="00A94E32" w:rsidP="00A94E32">
            <w:pPr>
              <w:spacing w:line="360" w:lineRule="auto"/>
              <w:rPr>
                <w:rFonts w:ascii="Calibri" w:hAnsi="Calibri" w:cs="Calibri"/>
                <w:b/>
                <w:bCs/>
                <w:sz w:val="22"/>
                <w:szCs w:val="22"/>
                <w:lang w:val="en-CA"/>
              </w:rPr>
            </w:pPr>
            <w:r>
              <w:rPr>
                <w:rFonts w:ascii="Calibri" w:hAnsi="Calibri" w:cs="Calibri"/>
                <w:b/>
                <w:bCs/>
                <w:sz w:val="22"/>
                <w:szCs w:val="22"/>
                <w:lang w:val="en-CA"/>
              </w:rPr>
              <w:t>BY EMAIL and RESS</w:t>
            </w:r>
          </w:p>
          <w:p w14:paraId="21D0D5E5" w14:textId="77777777" w:rsidR="00A94E32" w:rsidRDefault="00A94E32" w:rsidP="00A94E32">
            <w:pPr>
              <w:rPr>
                <w:rFonts w:ascii="Calibri" w:hAnsi="Calibri" w:cs="Calibri"/>
                <w:sz w:val="22"/>
                <w:szCs w:val="22"/>
                <w:lang w:val="en-CA"/>
              </w:rPr>
            </w:pPr>
            <w:r>
              <w:rPr>
                <w:rFonts w:ascii="Calibri" w:hAnsi="Calibri" w:cs="Calibri"/>
                <w:sz w:val="22"/>
                <w:szCs w:val="22"/>
                <w:lang w:val="en-CA"/>
              </w:rPr>
              <w:t>Mr. Richie Murray</w:t>
            </w:r>
          </w:p>
          <w:p w14:paraId="63AA6EA8" w14:textId="77777777" w:rsidR="00A94E32" w:rsidRDefault="00A94E32" w:rsidP="00A94E32">
            <w:pPr>
              <w:rPr>
                <w:rFonts w:ascii="Calibri" w:hAnsi="Calibri" w:cs="Calibri"/>
                <w:sz w:val="22"/>
                <w:szCs w:val="22"/>
                <w:lang w:val="en-CA"/>
              </w:rPr>
            </w:pPr>
            <w:r>
              <w:rPr>
                <w:rFonts w:ascii="Calibri" w:hAnsi="Calibri" w:cs="Calibri"/>
                <w:sz w:val="22"/>
                <w:szCs w:val="22"/>
                <w:lang w:val="en-CA"/>
              </w:rPr>
              <w:t>Acting Registrar</w:t>
            </w:r>
          </w:p>
          <w:p w14:paraId="1C641347" w14:textId="77777777" w:rsidR="00A94E32" w:rsidRDefault="00A94E32" w:rsidP="00A94E32">
            <w:pPr>
              <w:rPr>
                <w:rFonts w:ascii="Calibri" w:hAnsi="Calibri" w:cs="Calibri"/>
                <w:sz w:val="22"/>
                <w:szCs w:val="22"/>
                <w:lang w:val="en-CA"/>
              </w:rPr>
            </w:pPr>
            <w:r>
              <w:rPr>
                <w:rFonts w:ascii="Calibri" w:hAnsi="Calibri" w:cs="Calibri"/>
                <w:sz w:val="22"/>
                <w:szCs w:val="22"/>
                <w:lang w:val="en-CA"/>
              </w:rPr>
              <w:t>Ontario Energy Board</w:t>
            </w:r>
          </w:p>
          <w:p w14:paraId="46444204" w14:textId="77777777" w:rsidR="00A94E32" w:rsidRDefault="00A94E32" w:rsidP="00A94E32">
            <w:pPr>
              <w:rPr>
                <w:rFonts w:ascii="Calibri" w:hAnsi="Calibri" w:cs="Calibri"/>
                <w:sz w:val="22"/>
                <w:szCs w:val="22"/>
                <w:lang w:val="en-CA"/>
              </w:rPr>
            </w:pPr>
            <w:r>
              <w:rPr>
                <w:rFonts w:ascii="Calibri" w:hAnsi="Calibri" w:cs="Calibri"/>
                <w:sz w:val="22"/>
                <w:szCs w:val="22"/>
                <w:lang w:val="en-CA"/>
              </w:rPr>
              <w:t>P.O Box 2319, 27</w:t>
            </w:r>
            <w:r w:rsidRPr="00A94E32">
              <w:rPr>
                <w:rFonts w:ascii="Calibri" w:hAnsi="Calibri" w:cs="Calibri"/>
                <w:sz w:val="22"/>
                <w:szCs w:val="22"/>
                <w:vertAlign w:val="superscript"/>
                <w:lang w:val="en-CA"/>
              </w:rPr>
              <w:t>th</w:t>
            </w:r>
            <w:r>
              <w:rPr>
                <w:rFonts w:ascii="Calibri" w:hAnsi="Calibri" w:cs="Calibri"/>
                <w:sz w:val="22"/>
                <w:szCs w:val="22"/>
                <w:lang w:val="en-CA"/>
              </w:rPr>
              <w:t xml:space="preserve"> Floor</w:t>
            </w:r>
          </w:p>
          <w:p w14:paraId="43A56846" w14:textId="77777777" w:rsidR="00A94E32" w:rsidRDefault="00A94E32" w:rsidP="00A94E32">
            <w:pPr>
              <w:rPr>
                <w:rFonts w:ascii="Calibri" w:hAnsi="Calibri" w:cs="Calibri"/>
                <w:sz w:val="22"/>
                <w:szCs w:val="22"/>
                <w:lang w:val="en-CA"/>
              </w:rPr>
            </w:pPr>
            <w:r>
              <w:rPr>
                <w:rFonts w:ascii="Calibri" w:hAnsi="Calibri" w:cs="Calibri"/>
                <w:sz w:val="22"/>
                <w:szCs w:val="22"/>
                <w:lang w:val="en-CA"/>
              </w:rPr>
              <w:t>2300 Yonge Street</w:t>
            </w:r>
          </w:p>
          <w:p w14:paraId="3B9E1095" w14:textId="77777777" w:rsidR="00A94E32" w:rsidRDefault="00A94E32" w:rsidP="00A94E32">
            <w:pPr>
              <w:rPr>
                <w:rFonts w:ascii="Calibri" w:hAnsi="Calibri" w:cs="Calibri"/>
                <w:sz w:val="22"/>
                <w:szCs w:val="22"/>
                <w:lang w:val="en-CA"/>
              </w:rPr>
            </w:pPr>
            <w:r>
              <w:rPr>
                <w:rFonts w:ascii="Calibri" w:hAnsi="Calibri" w:cs="Calibri"/>
                <w:sz w:val="22"/>
                <w:szCs w:val="22"/>
                <w:lang w:val="en-CA"/>
              </w:rPr>
              <w:t>Toronto, Ontario M4P 1E4</w:t>
            </w:r>
          </w:p>
          <w:p w14:paraId="711F2C5F" w14:textId="77777777" w:rsidR="00A94E32" w:rsidRDefault="00A94E32" w:rsidP="00A94E32">
            <w:pPr>
              <w:rPr>
                <w:rFonts w:ascii="Calibri" w:hAnsi="Calibri" w:cs="Calibri"/>
                <w:sz w:val="22"/>
                <w:szCs w:val="22"/>
                <w:lang w:val="en-CA"/>
              </w:rPr>
            </w:pPr>
          </w:p>
          <w:p w14:paraId="2F40301A" w14:textId="77777777" w:rsidR="00A94E32" w:rsidRDefault="00A94E32" w:rsidP="00A94E32">
            <w:pPr>
              <w:rPr>
                <w:rFonts w:ascii="Calibri" w:hAnsi="Calibri" w:cs="Calibri"/>
                <w:sz w:val="22"/>
                <w:szCs w:val="22"/>
                <w:lang w:val="en-CA"/>
              </w:rPr>
            </w:pPr>
            <w:r>
              <w:rPr>
                <w:rFonts w:ascii="Calibri" w:hAnsi="Calibri" w:cs="Calibri"/>
                <w:sz w:val="22"/>
                <w:szCs w:val="22"/>
                <w:lang w:val="en-CA"/>
              </w:rPr>
              <w:t>July 17, 2025</w:t>
            </w:r>
          </w:p>
          <w:p w14:paraId="23BD4657" w14:textId="77777777" w:rsidR="00A94E32" w:rsidRDefault="00A94E32" w:rsidP="00A94E32">
            <w:pPr>
              <w:rPr>
                <w:rFonts w:ascii="Calibri" w:hAnsi="Calibri" w:cs="Calibri"/>
                <w:sz w:val="22"/>
                <w:szCs w:val="22"/>
                <w:lang w:val="en-CA"/>
              </w:rPr>
            </w:pPr>
          </w:p>
          <w:p w14:paraId="46A9C224" w14:textId="77777777" w:rsidR="00A94E32" w:rsidRDefault="00A94E32" w:rsidP="00A94E32">
            <w:pPr>
              <w:rPr>
                <w:rFonts w:ascii="Calibri" w:hAnsi="Calibri" w:cs="Calibri"/>
                <w:sz w:val="22"/>
                <w:szCs w:val="22"/>
                <w:lang w:val="en-CA"/>
              </w:rPr>
            </w:pPr>
          </w:p>
        </w:tc>
        <w:tc>
          <w:tcPr>
            <w:tcW w:w="6039" w:type="dxa"/>
          </w:tcPr>
          <w:p w14:paraId="3D61BF9A" w14:textId="77777777" w:rsidR="00A94E32" w:rsidRDefault="00A94E32" w:rsidP="00A94E32">
            <w:pPr>
              <w:jc w:val="right"/>
              <w:rPr>
                <w:rFonts w:ascii="Calibri" w:hAnsi="Calibri" w:cs="Calibri"/>
                <w:sz w:val="22"/>
                <w:szCs w:val="22"/>
                <w:lang w:val="en-CA"/>
              </w:rPr>
            </w:pPr>
            <w:r>
              <w:rPr>
                <w:rFonts w:ascii="Calibri" w:hAnsi="Calibri" w:cs="Calibri"/>
                <w:noProof/>
                <w:sz w:val="22"/>
                <w:szCs w:val="22"/>
                <w:lang w:val="en-CA"/>
              </w:rPr>
              <w:drawing>
                <wp:inline distT="0" distB="0" distL="0" distR="0" wp14:anchorId="28902DA9" wp14:editId="655915C8">
                  <wp:extent cx="1111285" cy="1133324"/>
                  <wp:effectExtent l="0" t="0" r="0" b="0"/>
                  <wp:docPr id="776401328" name="Picture 1" descr="A logo of power line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01328" name="Picture 1" descr="A logo of power lines and tre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0118" cy="1172927"/>
                          </a:xfrm>
                          <a:prstGeom prst="rect">
                            <a:avLst/>
                          </a:prstGeom>
                        </pic:spPr>
                      </pic:pic>
                    </a:graphicData>
                  </a:graphic>
                </wp:inline>
              </w:drawing>
            </w:r>
          </w:p>
          <w:p w14:paraId="463A1829" w14:textId="77777777" w:rsidR="009B66F0" w:rsidRDefault="009B66F0" w:rsidP="00A94E32">
            <w:pPr>
              <w:pStyle w:val="paragraph"/>
              <w:spacing w:before="0" w:beforeAutospacing="0" w:after="0" w:afterAutospacing="0"/>
              <w:ind w:left="1440"/>
              <w:jc w:val="right"/>
              <w:textAlignment w:val="baseline"/>
              <w:rPr>
                <w:rStyle w:val="normaltextrun"/>
                <w:rFonts w:ascii="Calibri" w:eastAsiaTheme="majorEastAsia" w:hAnsi="Calibri" w:cs="Calibri"/>
                <w:sz w:val="22"/>
                <w:szCs w:val="22"/>
                <w:lang w:val="en-CA"/>
              </w:rPr>
            </w:pPr>
          </w:p>
          <w:p w14:paraId="0C0B0768" w14:textId="48497C80" w:rsidR="00A94E32" w:rsidRDefault="00A94E32" w:rsidP="00A94E32">
            <w:pPr>
              <w:pStyle w:val="paragraph"/>
              <w:spacing w:before="0" w:beforeAutospacing="0" w:after="0" w:afterAutospacing="0"/>
              <w:ind w:left="1440"/>
              <w:jc w:val="right"/>
              <w:textAlignment w:val="baseline"/>
              <w:rPr>
                <w:rFonts w:ascii="Segoe UI" w:hAnsi="Segoe UI" w:cs="Segoe UI"/>
                <w:sz w:val="18"/>
                <w:szCs w:val="18"/>
              </w:rPr>
            </w:pPr>
            <w:r>
              <w:rPr>
                <w:rStyle w:val="normaltextrun"/>
                <w:rFonts w:ascii="Calibri" w:eastAsiaTheme="majorEastAsia" w:hAnsi="Calibri" w:cs="Calibri"/>
                <w:sz w:val="22"/>
                <w:szCs w:val="22"/>
                <w:lang w:val="en-CA"/>
              </w:rPr>
              <w:t>Five Nations Energy Inc.</w:t>
            </w:r>
            <w:r>
              <w:rPr>
                <w:rStyle w:val="scxw58743244"/>
                <w:rFonts w:ascii="Calibri" w:eastAsiaTheme="majorEastAsia" w:hAnsi="Calibri" w:cs="Calibri"/>
                <w:sz w:val="22"/>
                <w:szCs w:val="22"/>
              </w:rPr>
              <w:t> </w:t>
            </w:r>
            <w:r>
              <w:rPr>
                <w:rFonts w:ascii="Calibri" w:hAnsi="Calibri" w:cs="Calibri"/>
                <w:sz w:val="22"/>
                <w:szCs w:val="22"/>
              </w:rPr>
              <w:br/>
            </w:r>
            <w:r>
              <w:rPr>
                <w:rStyle w:val="normaltextrun"/>
                <w:rFonts w:ascii="Calibri" w:eastAsiaTheme="majorEastAsia" w:hAnsi="Calibri" w:cs="Calibri"/>
                <w:sz w:val="22"/>
                <w:szCs w:val="22"/>
                <w:lang w:val="en-CA"/>
              </w:rPr>
              <w:t>#725-Highway 655</w:t>
            </w:r>
            <w:r>
              <w:rPr>
                <w:rStyle w:val="eop"/>
                <w:rFonts w:ascii="Calibri" w:eastAsiaTheme="majorEastAsia" w:hAnsi="Calibri" w:cs="Calibri"/>
                <w:sz w:val="22"/>
                <w:szCs w:val="22"/>
              </w:rPr>
              <w:t> </w:t>
            </w:r>
          </w:p>
          <w:p w14:paraId="1E27D229" w14:textId="77777777" w:rsidR="00A94E32" w:rsidRDefault="00A94E32" w:rsidP="00A94E32">
            <w:pPr>
              <w:pStyle w:val="paragraph"/>
              <w:spacing w:before="0" w:beforeAutospacing="0" w:after="0" w:afterAutospacing="0"/>
              <w:ind w:left="1440"/>
              <w:jc w:val="right"/>
              <w:textAlignment w:val="baseline"/>
              <w:rPr>
                <w:rFonts w:ascii="Segoe UI" w:hAnsi="Segoe UI" w:cs="Segoe UI"/>
                <w:sz w:val="18"/>
                <w:szCs w:val="18"/>
              </w:rPr>
            </w:pPr>
            <w:r>
              <w:rPr>
                <w:rStyle w:val="normaltextrun"/>
                <w:rFonts w:ascii="Calibri" w:eastAsiaTheme="majorEastAsia" w:hAnsi="Calibri" w:cs="Calibri"/>
                <w:sz w:val="22"/>
                <w:szCs w:val="22"/>
                <w:lang w:val="en-CA"/>
              </w:rPr>
              <w:t>Timmins, ON</w:t>
            </w:r>
            <w:r>
              <w:rPr>
                <w:rStyle w:val="eop"/>
                <w:rFonts w:ascii="Calibri" w:eastAsiaTheme="majorEastAsia" w:hAnsi="Calibri" w:cs="Calibri"/>
                <w:sz w:val="22"/>
                <w:szCs w:val="22"/>
              </w:rPr>
              <w:t> </w:t>
            </w:r>
          </w:p>
          <w:p w14:paraId="78B63D44" w14:textId="77777777" w:rsidR="00A94E32" w:rsidRDefault="00A94E32" w:rsidP="00A94E32">
            <w:pPr>
              <w:pStyle w:val="paragraph"/>
              <w:spacing w:before="0" w:beforeAutospacing="0" w:after="0" w:afterAutospacing="0"/>
              <w:ind w:left="1440"/>
              <w:jc w:val="right"/>
              <w:textAlignment w:val="baseline"/>
              <w:rPr>
                <w:rFonts w:ascii="Segoe UI" w:hAnsi="Segoe UI" w:cs="Segoe UI"/>
                <w:sz w:val="18"/>
                <w:szCs w:val="18"/>
              </w:rPr>
            </w:pPr>
            <w:r>
              <w:rPr>
                <w:rStyle w:val="normaltextrun"/>
                <w:rFonts w:ascii="Calibri" w:eastAsiaTheme="majorEastAsia" w:hAnsi="Calibri" w:cs="Calibri"/>
                <w:sz w:val="22"/>
                <w:szCs w:val="22"/>
                <w:lang w:val="en-CA"/>
              </w:rPr>
              <w:t>P4N 0B7</w:t>
            </w:r>
            <w:r>
              <w:rPr>
                <w:rStyle w:val="eop"/>
                <w:rFonts w:ascii="Calibri" w:eastAsiaTheme="majorEastAsia" w:hAnsi="Calibri" w:cs="Calibri"/>
                <w:sz w:val="22"/>
                <w:szCs w:val="22"/>
              </w:rPr>
              <w:t> </w:t>
            </w:r>
          </w:p>
          <w:p w14:paraId="7989C2E1" w14:textId="0D5C1531" w:rsidR="00A94E32" w:rsidRPr="009B66F0" w:rsidRDefault="00A94E32" w:rsidP="009B66F0">
            <w:pPr>
              <w:pStyle w:val="paragraph"/>
              <w:spacing w:before="0" w:beforeAutospacing="0" w:after="0" w:afterAutospacing="0"/>
              <w:ind w:left="1440"/>
              <w:jc w:val="right"/>
              <w:textAlignment w:val="baseline"/>
              <w:rPr>
                <w:rFonts w:eastAsiaTheme="majorEastAsia"/>
              </w:rPr>
            </w:pPr>
            <w:r>
              <w:rPr>
                <w:rFonts w:ascii="Calibri" w:hAnsi="Calibri" w:cs="Calibri"/>
                <w:sz w:val="22"/>
                <w:szCs w:val="22"/>
              </w:rPr>
              <w:br/>
            </w:r>
          </w:p>
        </w:tc>
      </w:tr>
    </w:tbl>
    <w:p w14:paraId="5A02123A" w14:textId="77777777" w:rsidR="00A94E32" w:rsidRDefault="00A94E32" w:rsidP="00A94E32">
      <w:pPr>
        <w:spacing w:after="0" w:line="240" w:lineRule="auto"/>
        <w:rPr>
          <w:rFonts w:ascii="Calibri" w:hAnsi="Calibri" w:cs="Calibri"/>
          <w:b/>
          <w:bCs/>
          <w:sz w:val="22"/>
          <w:szCs w:val="22"/>
          <w:lang w:val="en-CA"/>
        </w:rPr>
      </w:pPr>
    </w:p>
    <w:p w14:paraId="135AA065" w14:textId="7631B4A6" w:rsidR="00A94E32" w:rsidRDefault="00A94E32" w:rsidP="00A94E32">
      <w:pPr>
        <w:spacing w:after="0" w:line="240" w:lineRule="auto"/>
        <w:rPr>
          <w:rFonts w:ascii="Calibri" w:hAnsi="Calibri" w:cs="Calibri"/>
          <w:b/>
          <w:bCs/>
          <w:sz w:val="22"/>
          <w:szCs w:val="22"/>
          <w:lang w:val="en-CA"/>
        </w:rPr>
      </w:pPr>
      <w:r>
        <w:rPr>
          <w:rFonts w:ascii="Calibri" w:hAnsi="Calibri" w:cs="Calibri"/>
          <w:b/>
          <w:bCs/>
          <w:sz w:val="22"/>
          <w:szCs w:val="22"/>
          <w:lang w:val="en-CA"/>
        </w:rPr>
        <w:t>RE: EB-2025-0149 – Review of Electricity Transmission Filing Req</w:t>
      </w:r>
      <w:r w:rsidR="00CA1DA6">
        <w:rPr>
          <w:rFonts w:ascii="Calibri" w:hAnsi="Calibri" w:cs="Calibri"/>
          <w:b/>
          <w:bCs/>
          <w:sz w:val="22"/>
          <w:szCs w:val="22"/>
          <w:lang w:val="en-CA"/>
        </w:rPr>
        <w:t>uirements</w:t>
      </w:r>
      <w:r>
        <w:rPr>
          <w:rFonts w:ascii="Calibri" w:hAnsi="Calibri" w:cs="Calibri"/>
          <w:b/>
          <w:bCs/>
          <w:sz w:val="22"/>
          <w:szCs w:val="22"/>
          <w:lang w:val="en-CA"/>
        </w:rPr>
        <w:t xml:space="preserve"> – Five Nations Energy Inc. Comments</w:t>
      </w:r>
    </w:p>
    <w:p w14:paraId="10E8517C" w14:textId="77777777" w:rsidR="00A94E32" w:rsidRPr="00A94E32" w:rsidRDefault="00A94E32" w:rsidP="00A94E32">
      <w:pPr>
        <w:spacing w:after="0" w:line="240" w:lineRule="auto"/>
        <w:rPr>
          <w:rFonts w:ascii="Calibri" w:hAnsi="Calibri" w:cs="Calibri"/>
          <w:b/>
          <w:bCs/>
          <w:sz w:val="22"/>
          <w:szCs w:val="22"/>
          <w:lang w:val="en-CA"/>
        </w:rPr>
      </w:pPr>
    </w:p>
    <w:p w14:paraId="0E97A47C" w14:textId="77777777" w:rsidR="00A94E32" w:rsidRPr="00A94E32" w:rsidRDefault="00A94E32" w:rsidP="00A94E32">
      <w:pPr>
        <w:spacing w:after="0" w:line="240" w:lineRule="auto"/>
        <w:rPr>
          <w:rFonts w:ascii="Calibri" w:hAnsi="Calibri" w:cs="Calibri"/>
          <w:sz w:val="22"/>
          <w:szCs w:val="22"/>
          <w:lang w:val="en-CA"/>
        </w:rPr>
      </w:pPr>
    </w:p>
    <w:p w14:paraId="14225711" w14:textId="5B23317A" w:rsidR="00E91ABD" w:rsidRPr="00E91ABD" w:rsidRDefault="006E05BF" w:rsidP="00E91ABD">
      <w:pPr>
        <w:spacing w:line="360" w:lineRule="auto"/>
        <w:rPr>
          <w:rFonts w:ascii="Calibri" w:hAnsi="Calibri" w:cs="Calibri"/>
          <w:sz w:val="22"/>
          <w:szCs w:val="22"/>
          <w:lang w:val="en-CA"/>
        </w:rPr>
      </w:pPr>
      <w:r w:rsidRPr="0094284A">
        <w:rPr>
          <w:rFonts w:ascii="Calibri" w:hAnsi="Calibri" w:cs="Calibri"/>
          <w:sz w:val="22"/>
          <w:szCs w:val="22"/>
          <w:lang w:val="en-CA"/>
        </w:rPr>
        <w:t>Five Nations Energy Inc. (FNEI) is a n</w:t>
      </w:r>
      <w:r w:rsidRPr="00E91ABD">
        <w:rPr>
          <w:rFonts w:ascii="Calibri" w:hAnsi="Calibri" w:cs="Calibri"/>
          <w:sz w:val="22"/>
          <w:szCs w:val="22"/>
          <w:lang w:val="en-CA"/>
        </w:rPr>
        <w:t xml:space="preserve">on-profit, non-share capital, </w:t>
      </w:r>
      <w:r w:rsidR="008458EE" w:rsidRPr="00E91ABD">
        <w:rPr>
          <w:rFonts w:ascii="Calibri" w:hAnsi="Calibri" w:cs="Calibri"/>
          <w:sz w:val="22"/>
          <w:szCs w:val="22"/>
          <w:lang w:val="en-CA"/>
        </w:rPr>
        <w:t>federally incorporated</w:t>
      </w:r>
      <w:r w:rsidRPr="00E91ABD">
        <w:rPr>
          <w:rFonts w:ascii="Calibri" w:hAnsi="Calibri" w:cs="Calibri"/>
          <w:sz w:val="22"/>
          <w:szCs w:val="22"/>
          <w:lang w:val="en-CA"/>
        </w:rPr>
        <w:t xml:space="preserve"> corporation with </w:t>
      </w:r>
      <w:r w:rsidR="008458EE" w:rsidRPr="00E91ABD">
        <w:rPr>
          <w:rFonts w:ascii="Calibri" w:hAnsi="Calibri" w:cs="Calibri"/>
          <w:sz w:val="22"/>
          <w:szCs w:val="22"/>
          <w:lang w:val="en-CA"/>
        </w:rPr>
        <w:t xml:space="preserve">a </w:t>
      </w:r>
      <w:r w:rsidRPr="00E91ABD">
        <w:rPr>
          <w:rFonts w:ascii="Calibri" w:hAnsi="Calibri" w:cs="Calibri"/>
          <w:sz w:val="22"/>
          <w:szCs w:val="22"/>
          <w:lang w:val="en-CA"/>
        </w:rPr>
        <w:t>head office</w:t>
      </w:r>
      <w:r w:rsidR="008458EE" w:rsidRPr="00E91ABD">
        <w:rPr>
          <w:rFonts w:ascii="Calibri" w:hAnsi="Calibri" w:cs="Calibri"/>
          <w:sz w:val="22"/>
          <w:szCs w:val="22"/>
          <w:lang w:val="en-CA"/>
        </w:rPr>
        <w:t xml:space="preserve"> located</w:t>
      </w:r>
      <w:r w:rsidRPr="00E91ABD">
        <w:rPr>
          <w:rFonts w:ascii="Calibri" w:hAnsi="Calibri" w:cs="Calibri"/>
          <w:sz w:val="22"/>
          <w:szCs w:val="22"/>
          <w:lang w:val="en-CA"/>
        </w:rPr>
        <w:t xml:space="preserve"> in Moose Factory, Ontario, and </w:t>
      </w:r>
      <w:r w:rsidR="008458EE" w:rsidRPr="00E91ABD">
        <w:rPr>
          <w:rFonts w:ascii="Calibri" w:hAnsi="Calibri" w:cs="Calibri"/>
          <w:sz w:val="22"/>
          <w:szCs w:val="22"/>
          <w:lang w:val="en-CA"/>
        </w:rPr>
        <w:t>a</w:t>
      </w:r>
      <w:r w:rsidRPr="00E91ABD">
        <w:rPr>
          <w:rFonts w:ascii="Calibri" w:hAnsi="Calibri" w:cs="Calibri"/>
          <w:sz w:val="22"/>
          <w:szCs w:val="22"/>
          <w:lang w:val="en-CA"/>
        </w:rPr>
        <w:t xml:space="preserve"> main operational office located in Timmins, Ontario. </w:t>
      </w:r>
      <w:r w:rsidRPr="0094284A">
        <w:rPr>
          <w:rFonts w:ascii="Calibri" w:hAnsi="Calibri" w:cs="Calibri"/>
          <w:sz w:val="22"/>
          <w:szCs w:val="22"/>
          <w:lang w:val="en-CA"/>
        </w:rPr>
        <w:t xml:space="preserve">FNEI is a licensed transmitter of electricity in Ontario (ET-2003-0074), owning and operating transmission facilities along the western coast of James Bay that consist of: a 138 kV three-phase line approximately 270 km in length beginning at Moosonee and running northwest along James Bay by way of Fort Albany and Kashechewan and terminating at Attawapiskat, </w:t>
      </w:r>
      <w:r w:rsidRPr="006E05BF">
        <w:rPr>
          <w:rFonts w:ascii="Calibri" w:hAnsi="Calibri" w:cs="Calibri"/>
          <w:sz w:val="22"/>
          <w:szCs w:val="22"/>
          <w:lang w:val="en-CA"/>
        </w:rPr>
        <w:t>a second 138 kV three-phase line approximately 170 km in length beginning at Moosonee and running northwest along James Bay, parallel to</w:t>
      </w:r>
      <w:r w:rsidR="00CA1DA6">
        <w:rPr>
          <w:rFonts w:ascii="Calibri" w:hAnsi="Calibri" w:cs="Calibri"/>
          <w:sz w:val="22"/>
          <w:szCs w:val="22"/>
          <w:lang w:val="en-CA"/>
        </w:rPr>
        <w:t xml:space="preserve"> FNEI’s original line and</w:t>
      </w:r>
      <w:r w:rsidRPr="006E05BF">
        <w:rPr>
          <w:rFonts w:ascii="Calibri" w:hAnsi="Calibri" w:cs="Calibri"/>
          <w:sz w:val="22"/>
          <w:szCs w:val="22"/>
          <w:lang w:val="en-CA"/>
        </w:rPr>
        <w:t xml:space="preserve"> terminating in Kashechewan</w:t>
      </w:r>
      <w:r w:rsidRPr="0094284A">
        <w:rPr>
          <w:rFonts w:ascii="Calibri" w:hAnsi="Calibri" w:cs="Calibri"/>
          <w:sz w:val="22"/>
          <w:szCs w:val="22"/>
          <w:lang w:val="en-CA"/>
        </w:rPr>
        <w:t>,</w:t>
      </w:r>
      <w:r w:rsidRPr="006E05BF">
        <w:rPr>
          <w:rFonts w:ascii="Calibri" w:hAnsi="Calibri" w:cs="Calibri"/>
          <w:sz w:val="22"/>
          <w:szCs w:val="22"/>
          <w:lang w:val="en-CA"/>
        </w:rPr>
        <w:t xml:space="preserve"> and three step-down substations, one in each of Fort Albany, Kashechewan and Attawapiskat. </w:t>
      </w:r>
      <w:r w:rsidRPr="0094284A">
        <w:rPr>
          <w:rFonts w:ascii="Calibri" w:hAnsi="Calibri" w:cs="Calibri"/>
          <w:sz w:val="22"/>
          <w:szCs w:val="22"/>
          <w:lang w:val="en-CA"/>
        </w:rPr>
        <w:t xml:space="preserve">The FNEI transmission line serves the three First Nation communities of Attawapiskat, Fort Albany and Kashechewan. </w:t>
      </w:r>
    </w:p>
    <w:p w14:paraId="1C0B5451" w14:textId="179AC5F9" w:rsidR="00BD1F7D" w:rsidRPr="0094284A" w:rsidRDefault="00C27F2E" w:rsidP="00BD1F7D">
      <w:pPr>
        <w:spacing w:line="360" w:lineRule="auto"/>
        <w:rPr>
          <w:rFonts w:ascii="Calibri" w:hAnsi="Calibri" w:cs="Calibri"/>
          <w:sz w:val="22"/>
          <w:szCs w:val="22"/>
          <w:lang w:val="en-CA"/>
        </w:rPr>
      </w:pPr>
      <w:r w:rsidRPr="0094284A">
        <w:rPr>
          <w:rFonts w:ascii="Calibri" w:hAnsi="Calibri" w:cs="Calibri"/>
          <w:sz w:val="22"/>
          <w:szCs w:val="22"/>
          <w:lang w:val="en-CA"/>
        </w:rPr>
        <w:t xml:space="preserve">FNEI is pleased to participate in the OEB’s ongoing Electricity Transmission Rates Filing Requirements Review, in which the OEB is seeking stakeholder input on proposed updates to its Filing Requirements for Electricity Transmission Applications (Proposed Updates). </w:t>
      </w:r>
      <w:r w:rsidR="00BD1F7D">
        <w:rPr>
          <w:rFonts w:ascii="Calibri" w:hAnsi="Calibri" w:cs="Calibri"/>
          <w:sz w:val="22"/>
          <w:szCs w:val="22"/>
          <w:lang w:val="en-CA"/>
        </w:rPr>
        <w:t xml:space="preserve">In July of 2025, FNEI submitted a transmission revenue requirement application for rates effective January 1, 2026, under the Filing Requirements for Electricity Transmitters published February 11, 2016. As noted in the OEB’s June </w:t>
      </w:r>
      <w:r w:rsidR="007C5883">
        <w:rPr>
          <w:rFonts w:ascii="Calibri" w:hAnsi="Calibri" w:cs="Calibri"/>
          <w:sz w:val="22"/>
          <w:szCs w:val="22"/>
          <w:lang w:val="en-CA"/>
        </w:rPr>
        <w:t xml:space="preserve">5, 2025 correspondence, the Proposed Updates are proposed to apply to transmission rebasing applications for 2027 rates, and as such do not </w:t>
      </w:r>
      <w:r w:rsidR="004D3C4F">
        <w:rPr>
          <w:rFonts w:ascii="Calibri" w:hAnsi="Calibri" w:cs="Calibri"/>
          <w:sz w:val="22"/>
          <w:szCs w:val="22"/>
          <w:lang w:val="en-CA"/>
        </w:rPr>
        <w:t xml:space="preserve">affect FNEI’s 2026 revenue requirement </w:t>
      </w:r>
      <w:r w:rsidR="004D3C4F">
        <w:rPr>
          <w:rFonts w:ascii="Calibri" w:hAnsi="Calibri" w:cs="Calibri"/>
          <w:sz w:val="22"/>
          <w:szCs w:val="22"/>
          <w:lang w:val="en-CA"/>
        </w:rPr>
        <w:lastRenderedPageBreak/>
        <w:t xml:space="preserve">application. </w:t>
      </w:r>
      <w:r w:rsidR="00433654">
        <w:rPr>
          <w:rFonts w:ascii="Calibri" w:hAnsi="Calibri" w:cs="Calibri"/>
          <w:sz w:val="22"/>
          <w:szCs w:val="22"/>
          <w:lang w:val="en-CA"/>
        </w:rPr>
        <w:t>Any revisions to the transmission filing requirements will however impact subsequent FNEI revenue requirement applications, and as such FNEI is directly affected</w:t>
      </w:r>
      <w:r w:rsidR="00550A40">
        <w:rPr>
          <w:rFonts w:ascii="Calibri" w:hAnsi="Calibri" w:cs="Calibri"/>
          <w:sz w:val="22"/>
          <w:szCs w:val="22"/>
          <w:lang w:val="en-CA"/>
        </w:rPr>
        <w:t xml:space="preserve"> by the Proposed Updates. </w:t>
      </w:r>
      <w:r w:rsidR="004D3C4F">
        <w:rPr>
          <w:rFonts w:ascii="Calibri" w:hAnsi="Calibri" w:cs="Calibri"/>
          <w:sz w:val="22"/>
          <w:szCs w:val="22"/>
          <w:lang w:val="en-CA"/>
        </w:rPr>
        <w:t xml:space="preserve"> </w:t>
      </w:r>
    </w:p>
    <w:p w14:paraId="50FE4D02" w14:textId="702DF7D9" w:rsidR="00C27F2E" w:rsidRPr="0094284A" w:rsidRDefault="00C27F2E" w:rsidP="006E05BF">
      <w:pPr>
        <w:spacing w:line="360" w:lineRule="auto"/>
        <w:rPr>
          <w:rFonts w:ascii="Calibri" w:hAnsi="Calibri" w:cs="Calibri"/>
          <w:sz w:val="22"/>
          <w:szCs w:val="22"/>
          <w:lang w:val="en-CA"/>
        </w:rPr>
      </w:pPr>
      <w:r w:rsidRPr="0094284A">
        <w:rPr>
          <w:rFonts w:ascii="Calibri" w:hAnsi="Calibri" w:cs="Calibri"/>
          <w:sz w:val="22"/>
          <w:szCs w:val="22"/>
          <w:lang w:val="en-CA"/>
        </w:rPr>
        <w:t xml:space="preserve">FNEI has reviewed the materials circulated on June 5, 2025 for review, including the Consultation Launch Letter and Appendix A and B Tx Filing Requirements, and </w:t>
      </w:r>
      <w:r w:rsidR="00550A40">
        <w:rPr>
          <w:rFonts w:ascii="Calibri" w:hAnsi="Calibri" w:cs="Calibri"/>
          <w:sz w:val="22"/>
          <w:szCs w:val="22"/>
          <w:lang w:val="en-CA"/>
        </w:rPr>
        <w:t>had representatives attend</w:t>
      </w:r>
      <w:r w:rsidRPr="0094284A">
        <w:rPr>
          <w:rFonts w:ascii="Calibri" w:hAnsi="Calibri" w:cs="Calibri"/>
          <w:sz w:val="22"/>
          <w:szCs w:val="22"/>
          <w:lang w:val="en-CA"/>
        </w:rPr>
        <w:t xml:space="preserve"> the OEB’</w:t>
      </w:r>
      <w:r w:rsidR="00CA1DA6">
        <w:rPr>
          <w:rFonts w:ascii="Calibri" w:hAnsi="Calibri" w:cs="Calibri"/>
          <w:sz w:val="22"/>
          <w:szCs w:val="22"/>
          <w:lang w:val="en-CA"/>
        </w:rPr>
        <w:t>s</w:t>
      </w:r>
      <w:r w:rsidRPr="0094284A">
        <w:rPr>
          <w:rFonts w:ascii="Calibri" w:hAnsi="Calibri" w:cs="Calibri"/>
          <w:sz w:val="22"/>
          <w:szCs w:val="22"/>
          <w:lang w:val="en-CA"/>
        </w:rPr>
        <w:t xml:space="preserve"> Stakeholder </w:t>
      </w:r>
      <w:r w:rsidR="00E9374E" w:rsidRPr="0094284A">
        <w:rPr>
          <w:rFonts w:ascii="Calibri" w:hAnsi="Calibri" w:cs="Calibri"/>
          <w:sz w:val="22"/>
          <w:szCs w:val="22"/>
          <w:lang w:val="en-CA"/>
        </w:rPr>
        <w:t>M</w:t>
      </w:r>
      <w:r w:rsidRPr="0094284A">
        <w:rPr>
          <w:rFonts w:ascii="Calibri" w:hAnsi="Calibri" w:cs="Calibri"/>
          <w:sz w:val="22"/>
          <w:szCs w:val="22"/>
          <w:lang w:val="en-CA"/>
        </w:rPr>
        <w:t xml:space="preserve">eeting on June 25, 2025 to discuss the Proposed Updates. </w:t>
      </w:r>
      <w:r w:rsidR="006D4412">
        <w:rPr>
          <w:rFonts w:ascii="Calibri" w:hAnsi="Calibri" w:cs="Calibri"/>
          <w:sz w:val="22"/>
          <w:szCs w:val="22"/>
          <w:lang w:val="en-CA"/>
        </w:rPr>
        <w:t xml:space="preserve">This submission provides </w:t>
      </w:r>
      <w:r w:rsidRPr="0094284A">
        <w:rPr>
          <w:rFonts w:ascii="Calibri" w:hAnsi="Calibri" w:cs="Calibri"/>
          <w:sz w:val="22"/>
          <w:szCs w:val="22"/>
          <w:lang w:val="en-CA"/>
        </w:rPr>
        <w:t>FNEI</w:t>
      </w:r>
      <w:r w:rsidR="006D4412">
        <w:rPr>
          <w:rFonts w:ascii="Calibri" w:hAnsi="Calibri" w:cs="Calibri"/>
          <w:sz w:val="22"/>
          <w:szCs w:val="22"/>
          <w:lang w:val="en-CA"/>
        </w:rPr>
        <w:t xml:space="preserve">’s </w:t>
      </w:r>
      <w:r w:rsidRPr="0094284A">
        <w:rPr>
          <w:rFonts w:ascii="Calibri" w:hAnsi="Calibri" w:cs="Calibri"/>
          <w:sz w:val="22"/>
          <w:szCs w:val="22"/>
          <w:lang w:val="en-CA"/>
        </w:rPr>
        <w:t xml:space="preserve">comments on the Proposed Updates. </w:t>
      </w:r>
    </w:p>
    <w:p w14:paraId="4807FA01" w14:textId="665E35F5" w:rsidR="004115E6" w:rsidRPr="0094284A" w:rsidRDefault="004115E6" w:rsidP="006E05BF">
      <w:pPr>
        <w:spacing w:line="360" w:lineRule="auto"/>
        <w:rPr>
          <w:rFonts w:ascii="Calibri" w:hAnsi="Calibri" w:cs="Calibri"/>
          <w:sz w:val="22"/>
          <w:szCs w:val="22"/>
          <w:lang w:val="en-CA"/>
        </w:rPr>
      </w:pPr>
      <w:r w:rsidRPr="0094284A">
        <w:rPr>
          <w:rFonts w:ascii="Calibri" w:hAnsi="Calibri" w:cs="Calibri"/>
          <w:sz w:val="22"/>
          <w:szCs w:val="22"/>
          <w:lang w:val="en-CA"/>
        </w:rPr>
        <w:t>In its June 5, 2025 Invitation Letter to the Filing Requirements Review stakeholders, the OEB provided a rationale for its proposed changes as being to “provide guidance on the revenue requirement framework for the growing number of single-asset transmitters now operating in Ontario. Specifically, [the Proposed Update] aims to clarify the expectations for Custom Incentive Rate-setting (Custom IR) applications required to support filings under this approach.”</w:t>
      </w:r>
      <w:r w:rsidR="000F6135">
        <w:rPr>
          <w:rStyle w:val="FootnoteReference"/>
          <w:rFonts w:ascii="Calibri" w:hAnsi="Calibri" w:cs="Calibri"/>
          <w:sz w:val="22"/>
          <w:szCs w:val="22"/>
          <w:lang w:val="en-CA"/>
        </w:rPr>
        <w:footnoteReference w:id="1"/>
      </w:r>
      <w:r w:rsidRPr="0094284A">
        <w:rPr>
          <w:rFonts w:ascii="Calibri" w:hAnsi="Calibri" w:cs="Calibri"/>
          <w:sz w:val="22"/>
          <w:szCs w:val="22"/>
          <w:lang w:val="en-CA"/>
        </w:rPr>
        <w:t xml:space="preserve"> The Proposed </w:t>
      </w:r>
      <w:r w:rsidR="00CA1DA6">
        <w:rPr>
          <w:rFonts w:ascii="Calibri" w:hAnsi="Calibri" w:cs="Calibri"/>
          <w:sz w:val="22"/>
          <w:szCs w:val="22"/>
          <w:lang w:val="en-CA"/>
        </w:rPr>
        <w:t>Updates</w:t>
      </w:r>
      <w:r w:rsidRPr="0094284A">
        <w:rPr>
          <w:rFonts w:ascii="Calibri" w:hAnsi="Calibri" w:cs="Calibri"/>
          <w:sz w:val="22"/>
          <w:szCs w:val="22"/>
          <w:lang w:val="en-CA"/>
        </w:rPr>
        <w:t xml:space="preserve"> categorize single asset transmitters as those who “usually do not incur material capital expenditures once the transmission line is initially constructed and in service.”</w:t>
      </w:r>
      <w:r w:rsidR="000F6135">
        <w:rPr>
          <w:rStyle w:val="FootnoteReference"/>
          <w:rFonts w:ascii="Calibri" w:hAnsi="Calibri" w:cs="Calibri"/>
          <w:sz w:val="22"/>
          <w:szCs w:val="22"/>
          <w:lang w:val="en-CA"/>
        </w:rPr>
        <w:footnoteReference w:id="2"/>
      </w:r>
      <w:r w:rsidRPr="0094284A">
        <w:rPr>
          <w:rFonts w:ascii="Calibri" w:hAnsi="Calibri" w:cs="Calibri"/>
          <w:sz w:val="22"/>
          <w:szCs w:val="22"/>
          <w:lang w:val="en-CA"/>
        </w:rPr>
        <w:t xml:space="preserve"> The letter further notes that Ontario has seen significant growth in the number of transmitters who operate a single-line transmission asset, and that the OEB’s position is that the “revenue requirement-setting framework for these transmitters warrants unique consideration.”</w:t>
      </w:r>
      <w:r w:rsidR="000F6135">
        <w:rPr>
          <w:rStyle w:val="FootnoteReference"/>
          <w:rFonts w:ascii="Calibri" w:hAnsi="Calibri" w:cs="Calibri"/>
          <w:sz w:val="22"/>
          <w:szCs w:val="22"/>
          <w:lang w:val="en-CA"/>
        </w:rPr>
        <w:footnoteReference w:id="3"/>
      </w:r>
      <w:r w:rsidRPr="0094284A">
        <w:rPr>
          <w:rFonts w:ascii="Calibri" w:hAnsi="Calibri" w:cs="Calibri"/>
          <w:sz w:val="22"/>
          <w:szCs w:val="22"/>
          <w:lang w:val="en-CA"/>
        </w:rPr>
        <w:t xml:space="preserve"> The OEB clarified in its June 25 Stakeholder Meeting that the Proposed Updates </w:t>
      </w:r>
      <w:r w:rsidR="001347C2">
        <w:rPr>
          <w:rFonts w:ascii="Calibri" w:hAnsi="Calibri" w:cs="Calibri"/>
          <w:sz w:val="22"/>
          <w:szCs w:val="22"/>
          <w:lang w:val="en-CA"/>
        </w:rPr>
        <w:t>could</w:t>
      </w:r>
      <w:r w:rsidRPr="0094284A">
        <w:rPr>
          <w:rFonts w:ascii="Calibri" w:hAnsi="Calibri" w:cs="Calibri"/>
          <w:sz w:val="22"/>
          <w:szCs w:val="22"/>
          <w:lang w:val="en-CA"/>
        </w:rPr>
        <w:t xml:space="preserve"> apply to transmitters such as FNEI who own and operate more than a single asset, in FNEI’s case two lines and three step-down substations. As such, the Proposed Updates and their impact on single-asset transmitters’ capacity to propose suitable rate frameworks </w:t>
      </w:r>
      <w:r w:rsidR="00116B60">
        <w:rPr>
          <w:rFonts w:ascii="Calibri" w:hAnsi="Calibri" w:cs="Calibri"/>
          <w:sz w:val="22"/>
          <w:szCs w:val="22"/>
          <w:lang w:val="en-CA"/>
        </w:rPr>
        <w:t xml:space="preserve">could </w:t>
      </w:r>
      <w:r w:rsidRPr="0094284A">
        <w:rPr>
          <w:rFonts w:ascii="Calibri" w:hAnsi="Calibri" w:cs="Calibri"/>
          <w:sz w:val="22"/>
          <w:szCs w:val="22"/>
          <w:lang w:val="en-CA"/>
        </w:rPr>
        <w:t xml:space="preserve">have </w:t>
      </w:r>
      <w:r w:rsidR="00116B60">
        <w:rPr>
          <w:rFonts w:ascii="Calibri" w:hAnsi="Calibri" w:cs="Calibri"/>
          <w:sz w:val="22"/>
          <w:szCs w:val="22"/>
          <w:lang w:val="en-CA"/>
        </w:rPr>
        <w:t>direct implications</w:t>
      </w:r>
      <w:r w:rsidRPr="0094284A">
        <w:rPr>
          <w:rFonts w:ascii="Calibri" w:hAnsi="Calibri" w:cs="Calibri"/>
          <w:sz w:val="22"/>
          <w:szCs w:val="22"/>
          <w:lang w:val="en-CA"/>
        </w:rPr>
        <w:t xml:space="preserve"> on FNEI’s future applications to establish its transmission revenue requirement. </w:t>
      </w:r>
    </w:p>
    <w:p w14:paraId="4F610C59" w14:textId="77777777" w:rsidR="00BE3A6D" w:rsidRDefault="00C27F2E" w:rsidP="006E05BF">
      <w:pPr>
        <w:spacing w:line="360" w:lineRule="auto"/>
        <w:rPr>
          <w:rFonts w:ascii="Calibri" w:hAnsi="Calibri" w:cs="Calibri"/>
          <w:sz w:val="22"/>
          <w:szCs w:val="22"/>
          <w:lang w:val="en-CA"/>
        </w:rPr>
      </w:pPr>
      <w:r w:rsidRPr="0094284A">
        <w:rPr>
          <w:rFonts w:ascii="Calibri" w:hAnsi="Calibri" w:cs="Calibri"/>
          <w:sz w:val="22"/>
          <w:szCs w:val="22"/>
          <w:lang w:val="en-CA"/>
        </w:rPr>
        <w:t>The OEB’s Proposed Updates</w:t>
      </w:r>
      <w:r w:rsidR="00DB13EF" w:rsidRPr="0094284A">
        <w:rPr>
          <w:rFonts w:ascii="Calibri" w:hAnsi="Calibri" w:cs="Calibri"/>
          <w:sz w:val="22"/>
          <w:szCs w:val="22"/>
          <w:lang w:val="en-CA"/>
        </w:rPr>
        <w:t xml:space="preserve"> include amendments to several areas of the Transmission Filing Requirements to align with other OEB documentation, and substantive changes to sections 2.0.3 Custom IR Guidance for Transmitters with Minimal Capital Expenditures, 2.1.1 Application Filing Schedule, 2.1.5 Materiality Thresholds and 2.4 Transmission System Plan. </w:t>
      </w:r>
    </w:p>
    <w:p w14:paraId="38856D01" w14:textId="10766590" w:rsidR="0094284A" w:rsidRPr="00802249" w:rsidRDefault="00C27F2E" w:rsidP="006E05BF">
      <w:pPr>
        <w:spacing w:line="360" w:lineRule="auto"/>
        <w:rPr>
          <w:rFonts w:ascii="Calibri" w:hAnsi="Calibri" w:cs="Calibri"/>
          <w:sz w:val="22"/>
          <w:szCs w:val="22"/>
          <w:lang w:val="en-CA"/>
        </w:rPr>
      </w:pPr>
      <w:r w:rsidRPr="0094284A">
        <w:rPr>
          <w:rFonts w:ascii="Calibri" w:hAnsi="Calibri" w:cs="Calibri"/>
          <w:sz w:val="22"/>
          <w:szCs w:val="22"/>
          <w:lang w:val="en-CA"/>
        </w:rPr>
        <w:t>FNEI</w:t>
      </w:r>
      <w:r w:rsidR="00BE3A6D">
        <w:rPr>
          <w:rFonts w:ascii="Calibri" w:hAnsi="Calibri" w:cs="Calibri"/>
          <w:sz w:val="22"/>
          <w:szCs w:val="22"/>
          <w:lang w:val="en-CA"/>
        </w:rPr>
        <w:t xml:space="preserve">’s comments are limited to the proposed section 2.0.3, </w:t>
      </w:r>
      <w:r w:rsidR="00983815">
        <w:rPr>
          <w:rFonts w:ascii="Calibri" w:hAnsi="Calibri" w:cs="Calibri"/>
          <w:sz w:val="22"/>
          <w:szCs w:val="22"/>
          <w:lang w:val="en-CA"/>
        </w:rPr>
        <w:t>given its potential for direct implications for future FNEI transmission revenue requirement applications</w:t>
      </w:r>
      <w:r w:rsidRPr="0094284A">
        <w:rPr>
          <w:rFonts w:ascii="Calibri" w:hAnsi="Calibri" w:cs="Calibri"/>
          <w:sz w:val="22"/>
          <w:szCs w:val="22"/>
          <w:lang w:val="en-CA"/>
        </w:rPr>
        <w:t xml:space="preserve">. </w:t>
      </w:r>
      <w:r w:rsidR="009C6669">
        <w:rPr>
          <w:rFonts w:ascii="Calibri" w:hAnsi="Calibri" w:cs="Calibri"/>
          <w:sz w:val="22"/>
          <w:szCs w:val="22"/>
          <w:lang w:val="en-CA"/>
        </w:rPr>
        <w:t xml:space="preserve">FNEI’s lack of specific comment on other amendments proposed should not be interpreted as acceptance of such amendments. </w:t>
      </w:r>
    </w:p>
    <w:p w14:paraId="6C0AF444" w14:textId="6D322A16" w:rsidR="00DB13EF" w:rsidRPr="0094284A" w:rsidRDefault="00DB13EF" w:rsidP="0094284A">
      <w:pPr>
        <w:spacing w:after="0" w:line="360" w:lineRule="auto"/>
        <w:rPr>
          <w:rFonts w:ascii="Calibri" w:hAnsi="Calibri" w:cs="Calibri"/>
          <w:b/>
          <w:bCs/>
          <w:sz w:val="22"/>
          <w:szCs w:val="22"/>
          <w:u w:val="single"/>
          <w:lang w:val="en-CA"/>
        </w:rPr>
      </w:pPr>
      <w:r w:rsidRPr="0094284A">
        <w:rPr>
          <w:rFonts w:ascii="Calibri" w:hAnsi="Calibri" w:cs="Calibri"/>
          <w:b/>
          <w:bCs/>
          <w:sz w:val="22"/>
          <w:szCs w:val="22"/>
          <w:u w:val="single"/>
          <w:lang w:val="en-CA"/>
        </w:rPr>
        <w:lastRenderedPageBreak/>
        <w:t>Section 2.0.3 Custom IR Guidance for Transmitters with Minimal Capital Expenditures</w:t>
      </w:r>
    </w:p>
    <w:p w14:paraId="3E4843E9" w14:textId="5463816F" w:rsidR="0094284A" w:rsidRDefault="004115E6" w:rsidP="004115E6">
      <w:pPr>
        <w:spacing w:line="360" w:lineRule="auto"/>
        <w:rPr>
          <w:rFonts w:ascii="Calibri" w:hAnsi="Calibri" w:cs="Calibri"/>
          <w:sz w:val="22"/>
          <w:szCs w:val="22"/>
          <w:lang w:val="en-CA"/>
        </w:rPr>
      </w:pPr>
      <w:r w:rsidRPr="0094284A">
        <w:rPr>
          <w:rFonts w:ascii="Calibri" w:hAnsi="Calibri" w:cs="Calibri"/>
          <w:sz w:val="22"/>
          <w:szCs w:val="22"/>
          <w:lang w:val="en-CA"/>
        </w:rPr>
        <w:t>FNEI believes that the OEB’s classification of certain transmitters as “single-asset transmitters”</w:t>
      </w:r>
      <w:r w:rsidR="00C01756" w:rsidRPr="0094284A">
        <w:rPr>
          <w:rFonts w:ascii="Calibri" w:hAnsi="Calibri" w:cs="Calibri"/>
          <w:sz w:val="22"/>
          <w:szCs w:val="22"/>
          <w:lang w:val="en-CA"/>
        </w:rPr>
        <w:t xml:space="preserve">, and its related assumption that all single-asset transmitters operate within similar circumstances, </w:t>
      </w:r>
      <w:r w:rsidRPr="0094284A">
        <w:rPr>
          <w:rFonts w:ascii="Calibri" w:hAnsi="Calibri" w:cs="Calibri"/>
          <w:sz w:val="22"/>
          <w:szCs w:val="22"/>
          <w:lang w:val="en-CA"/>
        </w:rPr>
        <w:t xml:space="preserve">is overly </w:t>
      </w:r>
      <w:r w:rsidR="00FF31C1">
        <w:rPr>
          <w:rFonts w:ascii="Calibri" w:hAnsi="Calibri" w:cs="Calibri"/>
          <w:sz w:val="22"/>
          <w:szCs w:val="22"/>
          <w:lang w:val="en-CA"/>
        </w:rPr>
        <w:t>and unnecessarily prescriptive</w:t>
      </w:r>
      <w:r w:rsidRPr="0094284A">
        <w:rPr>
          <w:rFonts w:ascii="Calibri" w:hAnsi="Calibri" w:cs="Calibri"/>
          <w:sz w:val="22"/>
          <w:szCs w:val="22"/>
          <w:lang w:val="en-CA"/>
        </w:rPr>
        <w:t xml:space="preserve">. </w:t>
      </w:r>
      <w:r w:rsidR="00C01756" w:rsidRPr="0094284A">
        <w:rPr>
          <w:rFonts w:ascii="Calibri" w:hAnsi="Calibri" w:cs="Calibri"/>
          <w:sz w:val="22"/>
          <w:szCs w:val="22"/>
          <w:lang w:val="en-CA"/>
        </w:rPr>
        <w:t xml:space="preserve">FNEI was incorporated in 1997 and its line came into service in 2001. Since coming into service, FNEI has made substantial capital improvements to what was initially a “bare bones” radial line, including installing spare transformers, fibre optic communications, and twinning the line. It has not been FNEI’s experience that the operation and maintenance of its asset have required minimal capital investments since </w:t>
      </w:r>
      <w:r w:rsidR="00761243" w:rsidRPr="0094284A">
        <w:rPr>
          <w:rFonts w:ascii="Calibri" w:hAnsi="Calibri" w:cs="Calibri"/>
          <w:sz w:val="22"/>
          <w:szCs w:val="22"/>
          <w:lang w:val="en-CA"/>
        </w:rPr>
        <w:t>the initial capital investments it made to begin operation</w:t>
      </w:r>
      <w:r w:rsidR="00C01756" w:rsidRPr="0094284A">
        <w:rPr>
          <w:rFonts w:ascii="Calibri" w:hAnsi="Calibri" w:cs="Calibri"/>
          <w:sz w:val="22"/>
          <w:szCs w:val="22"/>
          <w:lang w:val="en-CA"/>
        </w:rPr>
        <w:t xml:space="preserve">. FNEI expects that </w:t>
      </w:r>
      <w:r w:rsidR="00761243" w:rsidRPr="0094284A">
        <w:rPr>
          <w:rFonts w:ascii="Calibri" w:hAnsi="Calibri" w:cs="Calibri"/>
          <w:sz w:val="22"/>
          <w:szCs w:val="22"/>
          <w:lang w:val="en-CA"/>
        </w:rPr>
        <w:t>economic development activities in Northern Ontario over the coming decades may again require FNEI to make further capital investments in its transmission system</w:t>
      </w:r>
      <w:r w:rsidR="00416C31">
        <w:rPr>
          <w:rFonts w:ascii="Calibri" w:hAnsi="Calibri" w:cs="Calibri"/>
          <w:sz w:val="22"/>
          <w:szCs w:val="22"/>
          <w:lang w:val="en-CA"/>
        </w:rPr>
        <w:t>,</w:t>
      </w:r>
      <w:r w:rsidR="0094284A" w:rsidRPr="0094284A">
        <w:rPr>
          <w:rFonts w:ascii="Calibri" w:hAnsi="Calibri" w:cs="Calibri"/>
          <w:sz w:val="22"/>
          <w:szCs w:val="22"/>
          <w:lang w:val="en-CA"/>
        </w:rPr>
        <w:t xml:space="preserve"> similar to those made to accommodate </w:t>
      </w:r>
      <w:r w:rsidR="00416C31">
        <w:rPr>
          <w:rFonts w:ascii="Calibri" w:hAnsi="Calibri" w:cs="Calibri"/>
          <w:sz w:val="22"/>
          <w:szCs w:val="22"/>
          <w:lang w:val="en-CA"/>
        </w:rPr>
        <w:t xml:space="preserve">the now decommissioned </w:t>
      </w:r>
      <w:r w:rsidR="0094284A" w:rsidRPr="0094284A">
        <w:rPr>
          <w:rFonts w:ascii="Calibri" w:hAnsi="Calibri" w:cs="Calibri"/>
          <w:sz w:val="22"/>
          <w:szCs w:val="22"/>
          <w:lang w:val="en-CA"/>
        </w:rPr>
        <w:t>DeBeers’ Victor Mine</w:t>
      </w:r>
      <w:r w:rsidR="00761243" w:rsidRPr="0094284A">
        <w:rPr>
          <w:rFonts w:ascii="Calibri" w:hAnsi="Calibri" w:cs="Calibri"/>
          <w:sz w:val="22"/>
          <w:szCs w:val="22"/>
          <w:lang w:val="en-CA"/>
        </w:rPr>
        <w:t xml:space="preserve">. </w:t>
      </w:r>
    </w:p>
    <w:p w14:paraId="09A708FF" w14:textId="2FCB616A" w:rsidR="00015634" w:rsidRDefault="00D7148F" w:rsidP="004115E6">
      <w:pPr>
        <w:spacing w:line="360" w:lineRule="auto"/>
        <w:rPr>
          <w:rFonts w:ascii="Calibri" w:hAnsi="Calibri" w:cs="Calibri"/>
          <w:sz w:val="22"/>
          <w:szCs w:val="22"/>
          <w:lang w:val="en-CA"/>
        </w:rPr>
      </w:pPr>
      <w:r>
        <w:rPr>
          <w:rFonts w:ascii="Calibri" w:hAnsi="Calibri" w:cs="Calibri"/>
          <w:sz w:val="22"/>
          <w:szCs w:val="22"/>
          <w:lang w:val="en-CA"/>
        </w:rPr>
        <w:t>With respect</w:t>
      </w:r>
      <w:r w:rsidR="0094284A">
        <w:rPr>
          <w:rFonts w:ascii="Calibri" w:hAnsi="Calibri" w:cs="Calibri"/>
          <w:sz w:val="22"/>
          <w:szCs w:val="22"/>
          <w:lang w:val="en-CA"/>
        </w:rPr>
        <w:t xml:space="preserve"> to the OEB’s definition of “single-asset transmitters”, FNEI is concerned that the OEB’s choice to implement a 2% threshold test for determining what constitute material capital expenditures is overly prescriptive</w:t>
      </w:r>
      <w:r w:rsidR="00015634">
        <w:rPr>
          <w:rFonts w:ascii="Calibri" w:hAnsi="Calibri" w:cs="Calibri"/>
          <w:sz w:val="22"/>
          <w:szCs w:val="22"/>
          <w:lang w:val="en-CA"/>
        </w:rPr>
        <w:t>. Section 2.0.3 of the Proposed Updates states:</w:t>
      </w:r>
    </w:p>
    <w:p w14:paraId="4D64E928" w14:textId="2AAB80A4" w:rsidR="00015634" w:rsidRPr="00015634" w:rsidRDefault="00015634" w:rsidP="00D7148F">
      <w:pPr>
        <w:spacing w:line="360" w:lineRule="auto"/>
        <w:ind w:left="709"/>
        <w:rPr>
          <w:rFonts w:ascii="Calibri" w:hAnsi="Calibri" w:cs="Calibri"/>
          <w:sz w:val="22"/>
          <w:szCs w:val="22"/>
          <w:lang w:val="en-CA"/>
        </w:rPr>
      </w:pPr>
      <w:r w:rsidRPr="00015634">
        <w:rPr>
          <w:rFonts w:ascii="Calibri" w:hAnsi="Calibri" w:cs="Calibri"/>
          <w:sz w:val="22"/>
          <w:szCs w:val="22"/>
          <w:lang w:val="en-CA"/>
        </w:rPr>
        <w:t>For assessing the materiality of a transmitter’s capital expenditures, the OEB considers an annual capital addition of 2% or more of the gross capital asset balance at the start of the rate term as material. This aligns with the assumption that transmission lines have a 50-year life and require minimal reinvestment once in service, resulting in an annual depreciation rate of approximately 2%.</w:t>
      </w:r>
    </w:p>
    <w:p w14:paraId="6B13F4C7" w14:textId="1D4969FD" w:rsidR="00015634" w:rsidRDefault="00015634" w:rsidP="00015634">
      <w:pPr>
        <w:spacing w:line="360" w:lineRule="auto"/>
        <w:ind w:left="709"/>
        <w:rPr>
          <w:rFonts w:ascii="Calibri" w:hAnsi="Calibri" w:cs="Calibri"/>
          <w:sz w:val="22"/>
          <w:szCs w:val="22"/>
          <w:lang w:val="en-CA"/>
        </w:rPr>
      </w:pPr>
      <w:r w:rsidRPr="00015634">
        <w:rPr>
          <w:rFonts w:ascii="Calibri" w:hAnsi="Calibri" w:cs="Calibri"/>
          <w:sz w:val="22"/>
          <w:szCs w:val="22"/>
          <w:lang w:val="en-CA"/>
        </w:rPr>
        <w:t>If annual capital additions meet this 2% threshold, rate base remains stable as it is offset by depreciation. However, transmitters anticipating annual capital expenditures below 2% will experience a declining rate base over the term.</w:t>
      </w:r>
      <w:r w:rsidR="00EF4D36">
        <w:rPr>
          <w:rStyle w:val="FootnoteReference"/>
          <w:rFonts w:ascii="Calibri" w:hAnsi="Calibri" w:cs="Calibri"/>
          <w:sz w:val="22"/>
          <w:szCs w:val="22"/>
          <w:lang w:val="en-CA"/>
        </w:rPr>
        <w:footnoteReference w:id="4"/>
      </w:r>
      <w:r w:rsidRPr="00015634">
        <w:rPr>
          <w:rFonts w:ascii="Calibri" w:hAnsi="Calibri" w:cs="Calibri"/>
          <w:sz w:val="22"/>
          <w:szCs w:val="22"/>
          <w:lang w:val="en-CA"/>
        </w:rPr>
        <w:t xml:space="preserve"> </w:t>
      </w:r>
    </w:p>
    <w:p w14:paraId="61919C19" w14:textId="62727DB4" w:rsidR="00D94FAF" w:rsidRDefault="00015634" w:rsidP="004115E6">
      <w:pPr>
        <w:spacing w:line="360" w:lineRule="auto"/>
        <w:rPr>
          <w:rFonts w:ascii="Calibri" w:hAnsi="Calibri" w:cs="Calibri"/>
          <w:sz w:val="22"/>
          <w:szCs w:val="22"/>
          <w:lang w:val="en-CA"/>
        </w:rPr>
      </w:pPr>
      <w:r>
        <w:rPr>
          <w:rFonts w:ascii="Calibri" w:hAnsi="Calibri" w:cs="Calibri"/>
          <w:sz w:val="22"/>
          <w:szCs w:val="22"/>
          <w:lang w:val="en-CA"/>
        </w:rPr>
        <w:t>This hard 2%</w:t>
      </w:r>
      <w:r w:rsidR="00802249">
        <w:rPr>
          <w:rFonts w:ascii="Calibri" w:hAnsi="Calibri" w:cs="Calibri"/>
          <w:sz w:val="22"/>
          <w:szCs w:val="22"/>
          <w:lang w:val="en-CA"/>
        </w:rPr>
        <w:t xml:space="preserve"> </w:t>
      </w:r>
      <w:r>
        <w:rPr>
          <w:rFonts w:ascii="Calibri" w:hAnsi="Calibri" w:cs="Calibri"/>
          <w:sz w:val="22"/>
          <w:szCs w:val="22"/>
          <w:lang w:val="en-CA"/>
        </w:rPr>
        <w:t xml:space="preserve">test </w:t>
      </w:r>
      <w:r w:rsidR="0094284A">
        <w:rPr>
          <w:rFonts w:ascii="Calibri" w:hAnsi="Calibri" w:cs="Calibri"/>
          <w:sz w:val="22"/>
          <w:szCs w:val="22"/>
          <w:lang w:val="en-CA"/>
        </w:rPr>
        <w:t>ignores the reality of</w:t>
      </w:r>
      <w:r w:rsidR="00667AED">
        <w:rPr>
          <w:rFonts w:ascii="Calibri" w:hAnsi="Calibri" w:cs="Calibri"/>
          <w:sz w:val="22"/>
          <w:szCs w:val="22"/>
          <w:lang w:val="en-CA"/>
        </w:rPr>
        <w:t xml:space="preserve"> specific transmitters, including FNEI. </w:t>
      </w:r>
      <w:r w:rsidR="00904DC2">
        <w:rPr>
          <w:rFonts w:ascii="Calibri" w:hAnsi="Calibri" w:cs="Calibri"/>
          <w:sz w:val="22"/>
          <w:szCs w:val="22"/>
          <w:lang w:val="en-CA"/>
        </w:rPr>
        <w:t xml:space="preserve">First, it is unclear </w:t>
      </w:r>
      <w:r w:rsidR="00B52186">
        <w:rPr>
          <w:rFonts w:ascii="Calibri" w:hAnsi="Calibri" w:cs="Calibri"/>
          <w:sz w:val="22"/>
          <w:szCs w:val="22"/>
          <w:lang w:val="en-CA"/>
        </w:rPr>
        <w:t xml:space="preserve">what “annual capital addition” the 2% rule applies to, as this </w:t>
      </w:r>
      <w:r w:rsidR="00B76F74">
        <w:rPr>
          <w:rFonts w:ascii="Calibri" w:hAnsi="Calibri" w:cs="Calibri"/>
          <w:sz w:val="22"/>
          <w:szCs w:val="22"/>
          <w:lang w:val="en-CA"/>
        </w:rPr>
        <w:t xml:space="preserve">could refer to test year capital expenditures or an average of annual capital expenditures. </w:t>
      </w:r>
      <w:r w:rsidR="007D485F">
        <w:rPr>
          <w:rFonts w:ascii="Calibri" w:hAnsi="Calibri" w:cs="Calibri"/>
          <w:sz w:val="22"/>
          <w:szCs w:val="22"/>
          <w:lang w:val="en-CA"/>
        </w:rPr>
        <w:t xml:space="preserve">Comparing annual capital expenditures to “gross capital asset balance at the start of the rate term” implies test year capital expenditures should be relied upon, which is </w:t>
      </w:r>
      <w:r w:rsidR="00D94FAF">
        <w:rPr>
          <w:rFonts w:ascii="Calibri" w:hAnsi="Calibri" w:cs="Calibri"/>
          <w:sz w:val="22"/>
          <w:szCs w:val="22"/>
          <w:lang w:val="en-CA"/>
        </w:rPr>
        <w:t>inappropriate in FNEI’s submission. This test is incompatible with a transmitter with a</w:t>
      </w:r>
      <w:r w:rsidR="0094284A">
        <w:rPr>
          <w:rFonts w:ascii="Calibri" w:hAnsi="Calibri" w:cs="Calibri"/>
          <w:sz w:val="22"/>
          <w:szCs w:val="22"/>
          <w:lang w:val="en-CA"/>
        </w:rPr>
        <w:t xml:space="preserve"> relatively small </w:t>
      </w:r>
      <w:r w:rsidR="00D94FAF">
        <w:rPr>
          <w:rFonts w:ascii="Calibri" w:hAnsi="Calibri" w:cs="Calibri"/>
          <w:sz w:val="22"/>
          <w:szCs w:val="22"/>
          <w:lang w:val="en-CA"/>
        </w:rPr>
        <w:t xml:space="preserve">financial </w:t>
      </w:r>
      <w:r w:rsidR="0094284A">
        <w:rPr>
          <w:rFonts w:ascii="Calibri" w:hAnsi="Calibri" w:cs="Calibri"/>
          <w:sz w:val="22"/>
          <w:szCs w:val="22"/>
          <w:lang w:val="en-CA"/>
        </w:rPr>
        <w:t>asset base where capital work may be disbursed in a lumpier, project-based manner in certain years in a given rate period</w:t>
      </w:r>
      <w:r w:rsidR="00D94FAF">
        <w:rPr>
          <w:rFonts w:ascii="Calibri" w:hAnsi="Calibri" w:cs="Calibri"/>
          <w:sz w:val="22"/>
          <w:szCs w:val="22"/>
          <w:lang w:val="en-CA"/>
        </w:rPr>
        <w:t xml:space="preserve">. To the degree substantial </w:t>
      </w:r>
      <w:r w:rsidR="00E367F1">
        <w:rPr>
          <w:rFonts w:ascii="Calibri" w:hAnsi="Calibri" w:cs="Calibri"/>
          <w:sz w:val="22"/>
          <w:szCs w:val="22"/>
          <w:lang w:val="en-CA"/>
        </w:rPr>
        <w:t xml:space="preserve">capital expenditures are required in later years of the rate term, the 2% test would </w:t>
      </w:r>
      <w:r w:rsidR="00E457EA">
        <w:rPr>
          <w:rFonts w:ascii="Calibri" w:hAnsi="Calibri" w:cs="Calibri"/>
          <w:sz w:val="22"/>
          <w:szCs w:val="22"/>
          <w:lang w:val="en-CA"/>
        </w:rPr>
        <w:t xml:space="preserve">be ineffective in its task. This highlights </w:t>
      </w:r>
      <w:r w:rsidR="00E457EA">
        <w:rPr>
          <w:rFonts w:ascii="Calibri" w:hAnsi="Calibri" w:cs="Calibri"/>
          <w:sz w:val="22"/>
          <w:szCs w:val="22"/>
          <w:lang w:val="en-CA"/>
        </w:rPr>
        <w:lastRenderedPageBreak/>
        <w:t>the need to allow transmitters to propose solutions to the OEB’s stated concern</w:t>
      </w:r>
      <w:r w:rsidR="00B94ED4">
        <w:rPr>
          <w:rFonts w:ascii="Calibri" w:hAnsi="Calibri" w:cs="Calibri"/>
          <w:sz w:val="22"/>
          <w:szCs w:val="22"/>
          <w:lang w:val="en-CA"/>
        </w:rPr>
        <w:t xml:space="preserve"> regarding declining rate base, rather than imposing a rigid rate-setting framework for all transmitters deemed “single-asset”. </w:t>
      </w:r>
    </w:p>
    <w:p w14:paraId="09074E6A" w14:textId="62E3E75C" w:rsidR="00802249" w:rsidRDefault="0039556B" w:rsidP="004115E6">
      <w:pPr>
        <w:spacing w:line="360" w:lineRule="auto"/>
        <w:rPr>
          <w:rFonts w:ascii="Calibri" w:hAnsi="Calibri" w:cs="Calibri"/>
          <w:sz w:val="22"/>
          <w:szCs w:val="22"/>
          <w:lang w:val="en-CA"/>
        </w:rPr>
      </w:pPr>
      <w:r>
        <w:rPr>
          <w:rFonts w:ascii="Calibri" w:hAnsi="Calibri" w:cs="Calibri"/>
          <w:sz w:val="22"/>
          <w:szCs w:val="22"/>
          <w:lang w:val="en-CA"/>
        </w:rPr>
        <w:t>Second, the</w:t>
      </w:r>
      <w:r w:rsidR="00015634">
        <w:rPr>
          <w:rFonts w:ascii="Calibri" w:hAnsi="Calibri" w:cs="Calibri"/>
          <w:sz w:val="22"/>
          <w:szCs w:val="22"/>
          <w:lang w:val="en-CA"/>
        </w:rPr>
        <w:t xml:space="preserve"> relationship between the 2% threshold and </w:t>
      </w:r>
      <w:r w:rsidR="00EF4D36">
        <w:rPr>
          <w:rFonts w:ascii="Calibri" w:hAnsi="Calibri" w:cs="Calibri"/>
          <w:sz w:val="22"/>
          <w:szCs w:val="22"/>
          <w:lang w:val="en-CA"/>
        </w:rPr>
        <w:t xml:space="preserve">a declining rate base is not as straightforward as this rule </w:t>
      </w:r>
      <w:r>
        <w:rPr>
          <w:rFonts w:ascii="Calibri" w:hAnsi="Calibri" w:cs="Calibri"/>
          <w:sz w:val="22"/>
          <w:szCs w:val="22"/>
          <w:lang w:val="en-CA"/>
        </w:rPr>
        <w:t>implies</w:t>
      </w:r>
      <w:r w:rsidR="00EF4D36">
        <w:rPr>
          <w:rFonts w:ascii="Calibri" w:hAnsi="Calibri" w:cs="Calibri"/>
          <w:sz w:val="22"/>
          <w:szCs w:val="22"/>
          <w:lang w:val="en-CA"/>
        </w:rPr>
        <w:t xml:space="preserve">. In single-asset transmitter Chatham x Lakeshore </w:t>
      </w:r>
      <w:r w:rsidR="00097EF4">
        <w:rPr>
          <w:rFonts w:ascii="Calibri" w:hAnsi="Calibri" w:cs="Calibri"/>
          <w:sz w:val="22"/>
          <w:szCs w:val="22"/>
          <w:lang w:val="en-CA"/>
        </w:rPr>
        <w:t>L</w:t>
      </w:r>
      <w:r w:rsidR="00EF4D36">
        <w:rPr>
          <w:rFonts w:ascii="Calibri" w:hAnsi="Calibri" w:cs="Calibri"/>
          <w:sz w:val="22"/>
          <w:szCs w:val="22"/>
          <w:lang w:val="en-CA"/>
        </w:rPr>
        <w:t>P Inc.’s recent transmission rates application, the utility cited that its depreciation rates for Towers and Fixtures w</w:t>
      </w:r>
      <w:r w:rsidR="00CA1DA6">
        <w:rPr>
          <w:rFonts w:ascii="Calibri" w:hAnsi="Calibri" w:cs="Calibri"/>
          <w:sz w:val="22"/>
          <w:szCs w:val="22"/>
          <w:lang w:val="en-CA"/>
        </w:rPr>
        <w:t>ere</w:t>
      </w:r>
      <w:r w:rsidR="00EF4D36">
        <w:rPr>
          <w:rFonts w:ascii="Calibri" w:hAnsi="Calibri" w:cs="Calibri"/>
          <w:sz w:val="22"/>
          <w:szCs w:val="22"/>
          <w:lang w:val="en-CA"/>
        </w:rPr>
        <w:t xml:space="preserve"> 1.33%, and its depreciation for Overhead Lines was 1.43%.</w:t>
      </w:r>
      <w:r w:rsidR="00EF4D36">
        <w:rPr>
          <w:rStyle w:val="FootnoteReference"/>
          <w:rFonts w:ascii="Calibri" w:hAnsi="Calibri" w:cs="Calibri"/>
          <w:sz w:val="22"/>
          <w:szCs w:val="22"/>
          <w:lang w:val="en-CA"/>
        </w:rPr>
        <w:footnoteReference w:id="5"/>
      </w:r>
      <w:r w:rsidR="00802249">
        <w:rPr>
          <w:rFonts w:ascii="Calibri" w:hAnsi="Calibri" w:cs="Calibri"/>
          <w:sz w:val="22"/>
          <w:szCs w:val="22"/>
          <w:lang w:val="en-CA"/>
        </w:rPr>
        <w:t xml:space="preserve"> In </w:t>
      </w:r>
      <w:r w:rsidR="00CA1DA6">
        <w:rPr>
          <w:rFonts w:ascii="Calibri" w:hAnsi="Calibri" w:cs="Calibri"/>
          <w:sz w:val="22"/>
          <w:szCs w:val="22"/>
          <w:lang w:val="en-CA"/>
        </w:rPr>
        <w:t>the</w:t>
      </w:r>
      <w:r w:rsidR="00802249">
        <w:rPr>
          <w:rFonts w:ascii="Calibri" w:hAnsi="Calibri" w:cs="Calibri"/>
          <w:sz w:val="22"/>
          <w:szCs w:val="22"/>
          <w:lang w:val="en-CA"/>
        </w:rPr>
        <w:t xml:space="preserve"> Proposed Updates, the OEB explained that it chose a 2% rule based on the assumption that transmission assets have a 50 year useful life. In reality, some transmission assets have a longer useful life, and others shorter, meaning that </w:t>
      </w:r>
      <w:r w:rsidR="008D0E0E">
        <w:rPr>
          <w:rFonts w:ascii="Calibri" w:hAnsi="Calibri" w:cs="Calibri"/>
          <w:sz w:val="22"/>
          <w:szCs w:val="22"/>
          <w:lang w:val="en-CA"/>
        </w:rPr>
        <w:t>some transmitters could expend more than 2% of gross assets in capital and</w:t>
      </w:r>
      <w:r w:rsidR="00802249">
        <w:rPr>
          <w:rFonts w:ascii="Calibri" w:hAnsi="Calibri" w:cs="Calibri"/>
          <w:sz w:val="22"/>
          <w:szCs w:val="22"/>
          <w:lang w:val="en-CA"/>
        </w:rPr>
        <w:t xml:space="preserve"> </w:t>
      </w:r>
      <w:r w:rsidR="008D0E0E">
        <w:rPr>
          <w:rFonts w:ascii="Calibri" w:hAnsi="Calibri" w:cs="Calibri"/>
          <w:sz w:val="22"/>
          <w:szCs w:val="22"/>
          <w:lang w:val="en-CA"/>
        </w:rPr>
        <w:t xml:space="preserve">still </w:t>
      </w:r>
      <w:r w:rsidR="00802249">
        <w:rPr>
          <w:rFonts w:ascii="Calibri" w:hAnsi="Calibri" w:cs="Calibri"/>
          <w:sz w:val="22"/>
          <w:szCs w:val="22"/>
          <w:lang w:val="en-CA"/>
        </w:rPr>
        <w:t xml:space="preserve">experience a declining rate base, </w:t>
      </w:r>
      <w:r w:rsidR="008D0E0E">
        <w:rPr>
          <w:rFonts w:ascii="Calibri" w:hAnsi="Calibri" w:cs="Calibri"/>
          <w:sz w:val="22"/>
          <w:szCs w:val="22"/>
          <w:lang w:val="en-CA"/>
        </w:rPr>
        <w:t>while others could have capital expenditures of</w:t>
      </w:r>
      <w:r w:rsidR="00802249">
        <w:rPr>
          <w:rFonts w:ascii="Calibri" w:hAnsi="Calibri" w:cs="Calibri"/>
          <w:sz w:val="22"/>
          <w:szCs w:val="22"/>
          <w:lang w:val="en-CA"/>
        </w:rPr>
        <w:t xml:space="preserve"> less than 2% without a declining rate base, depending on asset mix. Instead of a generic rule, the Transmission Filing Requirements should provide applicants with an opportunity to put forward a suitable capital plan and address the issue of a declining rate base, if relevant, through a rate framework that is suitable to their circumstances.</w:t>
      </w:r>
    </w:p>
    <w:p w14:paraId="42363315" w14:textId="36289AC9" w:rsidR="00567487" w:rsidRDefault="00567487" w:rsidP="004115E6">
      <w:pPr>
        <w:spacing w:line="360" w:lineRule="auto"/>
        <w:rPr>
          <w:rFonts w:ascii="Calibri" w:hAnsi="Calibri" w:cs="Calibri"/>
          <w:sz w:val="22"/>
          <w:szCs w:val="22"/>
          <w:lang w:val="en-CA"/>
        </w:rPr>
      </w:pPr>
      <w:r>
        <w:rPr>
          <w:rFonts w:ascii="Calibri" w:hAnsi="Calibri" w:cs="Calibri"/>
          <w:sz w:val="22"/>
          <w:szCs w:val="22"/>
          <w:lang w:val="en-CA"/>
        </w:rPr>
        <w:t xml:space="preserve">Third, </w:t>
      </w:r>
      <w:r w:rsidR="00025DA1">
        <w:rPr>
          <w:rFonts w:ascii="Calibri" w:hAnsi="Calibri" w:cs="Calibri"/>
          <w:sz w:val="22"/>
          <w:szCs w:val="22"/>
          <w:lang w:val="en-CA"/>
        </w:rPr>
        <w:t xml:space="preserve">it is unclear to FNEI whether comparison </w:t>
      </w:r>
      <w:r w:rsidR="0001452A">
        <w:rPr>
          <w:rFonts w:ascii="Calibri" w:hAnsi="Calibri" w:cs="Calibri"/>
          <w:sz w:val="22"/>
          <w:szCs w:val="22"/>
          <w:lang w:val="en-CA"/>
        </w:rPr>
        <w:t xml:space="preserve">of capital expenditures </w:t>
      </w:r>
      <w:r w:rsidR="00025DA1">
        <w:rPr>
          <w:rFonts w:ascii="Calibri" w:hAnsi="Calibri" w:cs="Calibri"/>
          <w:sz w:val="22"/>
          <w:szCs w:val="22"/>
          <w:lang w:val="en-CA"/>
        </w:rPr>
        <w:t xml:space="preserve">to gross assets at the start of the rate term is appropriate. </w:t>
      </w:r>
      <w:r w:rsidR="0001452A">
        <w:rPr>
          <w:rFonts w:ascii="Calibri" w:hAnsi="Calibri" w:cs="Calibri"/>
          <w:sz w:val="22"/>
          <w:szCs w:val="22"/>
          <w:lang w:val="en-CA"/>
        </w:rPr>
        <w:t xml:space="preserve">FNEI is unique in that its </w:t>
      </w:r>
      <w:r w:rsidR="00F25409">
        <w:rPr>
          <w:rFonts w:ascii="Calibri" w:hAnsi="Calibri" w:cs="Calibri"/>
          <w:sz w:val="22"/>
          <w:szCs w:val="22"/>
          <w:lang w:val="en-CA"/>
        </w:rPr>
        <w:t>initial construction incorporated substantial capital contributions from Indigenous</w:t>
      </w:r>
      <w:r w:rsidR="0031600D">
        <w:rPr>
          <w:rFonts w:ascii="Calibri" w:hAnsi="Calibri" w:cs="Calibri"/>
          <w:sz w:val="22"/>
          <w:szCs w:val="22"/>
          <w:lang w:val="en-CA"/>
        </w:rPr>
        <w:t xml:space="preserve"> and Northern Affairs Canada (INAC), and subsequent investments incorporated substantial capital contributions from De</w:t>
      </w:r>
      <w:r w:rsidR="00CA1DA6">
        <w:rPr>
          <w:rFonts w:ascii="Calibri" w:hAnsi="Calibri" w:cs="Calibri"/>
          <w:sz w:val="22"/>
          <w:szCs w:val="22"/>
          <w:lang w:val="en-CA"/>
        </w:rPr>
        <w:t>B</w:t>
      </w:r>
      <w:r w:rsidR="0031600D">
        <w:rPr>
          <w:rFonts w:ascii="Calibri" w:hAnsi="Calibri" w:cs="Calibri"/>
          <w:sz w:val="22"/>
          <w:szCs w:val="22"/>
          <w:lang w:val="en-CA"/>
        </w:rPr>
        <w:t>eers</w:t>
      </w:r>
      <w:r w:rsidR="0078502D">
        <w:rPr>
          <w:rFonts w:ascii="Calibri" w:hAnsi="Calibri" w:cs="Calibri"/>
          <w:sz w:val="22"/>
          <w:szCs w:val="22"/>
          <w:lang w:val="en-CA"/>
        </w:rPr>
        <w:t xml:space="preserve">. The current 2026 revenue requirement application under initial review by OEB Staff indicates a rate base of approximately $35 million, while gross property, plant and equipment are valued at $132 million. </w:t>
      </w:r>
      <w:r w:rsidR="00617B63">
        <w:rPr>
          <w:rFonts w:ascii="Calibri" w:hAnsi="Calibri" w:cs="Calibri"/>
          <w:sz w:val="22"/>
          <w:szCs w:val="22"/>
          <w:lang w:val="en-CA"/>
        </w:rPr>
        <w:t>The cost of transmission infrastructure have substantially increased since the initial construction of FNEI’s various assets</w:t>
      </w:r>
      <w:r w:rsidR="00FC151F">
        <w:rPr>
          <w:rFonts w:ascii="Calibri" w:hAnsi="Calibri" w:cs="Calibri"/>
          <w:sz w:val="22"/>
          <w:szCs w:val="22"/>
          <w:lang w:val="en-CA"/>
        </w:rPr>
        <w:t xml:space="preserve">. </w:t>
      </w:r>
      <w:r w:rsidR="0056126E">
        <w:rPr>
          <w:rFonts w:ascii="Calibri" w:hAnsi="Calibri" w:cs="Calibri"/>
          <w:sz w:val="22"/>
          <w:szCs w:val="22"/>
          <w:lang w:val="en-CA"/>
        </w:rPr>
        <w:t>In the mid-to-long term</w:t>
      </w:r>
      <w:r w:rsidR="00CA1DA6">
        <w:rPr>
          <w:rFonts w:ascii="Calibri" w:hAnsi="Calibri" w:cs="Calibri"/>
          <w:sz w:val="22"/>
          <w:szCs w:val="22"/>
          <w:lang w:val="en-CA"/>
        </w:rPr>
        <w:t>,</w:t>
      </w:r>
      <w:r w:rsidR="0056126E">
        <w:rPr>
          <w:rFonts w:ascii="Calibri" w:hAnsi="Calibri" w:cs="Calibri"/>
          <w:sz w:val="22"/>
          <w:szCs w:val="22"/>
          <w:lang w:val="en-CA"/>
        </w:rPr>
        <w:t xml:space="preserve"> FNEI will be required to engage in substantial renewal of assets which will cost orders of magnitude more than its current rate base. </w:t>
      </w:r>
      <w:r w:rsidR="00E07DF2">
        <w:rPr>
          <w:rFonts w:ascii="Calibri" w:hAnsi="Calibri" w:cs="Calibri"/>
          <w:sz w:val="22"/>
          <w:szCs w:val="22"/>
          <w:lang w:val="en-CA"/>
        </w:rPr>
        <w:t>Within that context, FNEI submits</w:t>
      </w:r>
      <w:r w:rsidR="00CA1DA6">
        <w:rPr>
          <w:rFonts w:ascii="Calibri" w:hAnsi="Calibri" w:cs="Calibri"/>
          <w:sz w:val="22"/>
          <w:szCs w:val="22"/>
          <w:lang w:val="en-CA"/>
        </w:rPr>
        <w:t xml:space="preserve"> that</w:t>
      </w:r>
      <w:r w:rsidR="00E07DF2">
        <w:rPr>
          <w:rFonts w:ascii="Calibri" w:hAnsi="Calibri" w:cs="Calibri"/>
          <w:sz w:val="22"/>
          <w:szCs w:val="22"/>
          <w:lang w:val="en-CA"/>
        </w:rPr>
        <w:t xml:space="preserve"> it is incredibly important the utility be afforded the opportunity to propose</w:t>
      </w:r>
      <w:r w:rsidR="00D84992">
        <w:rPr>
          <w:rFonts w:ascii="Calibri" w:hAnsi="Calibri" w:cs="Calibri"/>
          <w:sz w:val="22"/>
          <w:szCs w:val="22"/>
          <w:lang w:val="en-CA"/>
        </w:rPr>
        <w:t xml:space="preserve"> rate-setting frameworks which are directly responsive to these unique </w:t>
      </w:r>
      <w:r w:rsidR="00774A1F">
        <w:rPr>
          <w:rFonts w:ascii="Calibri" w:hAnsi="Calibri" w:cs="Calibri"/>
          <w:sz w:val="22"/>
          <w:szCs w:val="22"/>
          <w:lang w:val="en-CA"/>
        </w:rPr>
        <w:t>circumstances and</w:t>
      </w:r>
      <w:r w:rsidR="00D84992">
        <w:rPr>
          <w:rFonts w:ascii="Calibri" w:hAnsi="Calibri" w:cs="Calibri"/>
          <w:sz w:val="22"/>
          <w:szCs w:val="22"/>
          <w:lang w:val="en-CA"/>
        </w:rPr>
        <w:t xml:space="preserve"> </w:t>
      </w:r>
      <w:r w:rsidR="00CA1DA6">
        <w:rPr>
          <w:rFonts w:ascii="Calibri" w:hAnsi="Calibri" w:cs="Calibri"/>
          <w:sz w:val="22"/>
          <w:szCs w:val="22"/>
          <w:lang w:val="en-CA"/>
        </w:rPr>
        <w:t xml:space="preserve">to </w:t>
      </w:r>
      <w:r w:rsidR="00D84992">
        <w:rPr>
          <w:rFonts w:ascii="Calibri" w:hAnsi="Calibri" w:cs="Calibri"/>
          <w:sz w:val="22"/>
          <w:szCs w:val="22"/>
          <w:lang w:val="en-CA"/>
        </w:rPr>
        <w:t>not be burden</w:t>
      </w:r>
      <w:r w:rsidR="00CA1DA6">
        <w:rPr>
          <w:rFonts w:ascii="Calibri" w:hAnsi="Calibri" w:cs="Calibri"/>
          <w:sz w:val="22"/>
          <w:szCs w:val="22"/>
          <w:lang w:val="en-CA"/>
        </w:rPr>
        <w:t>ed</w:t>
      </w:r>
      <w:r w:rsidR="00D84992">
        <w:rPr>
          <w:rFonts w:ascii="Calibri" w:hAnsi="Calibri" w:cs="Calibri"/>
          <w:sz w:val="22"/>
          <w:szCs w:val="22"/>
          <w:lang w:val="en-CA"/>
        </w:rPr>
        <w:t xml:space="preserve"> with the onus to demonstrate the inapplicability of a rate-setting framework </w:t>
      </w:r>
      <w:r w:rsidR="00CA1DA6">
        <w:rPr>
          <w:rFonts w:ascii="Calibri" w:hAnsi="Calibri" w:cs="Calibri"/>
          <w:sz w:val="22"/>
          <w:szCs w:val="22"/>
          <w:lang w:val="en-CA"/>
        </w:rPr>
        <w:t>that</w:t>
      </w:r>
      <w:r w:rsidR="00D84992">
        <w:rPr>
          <w:rFonts w:ascii="Calibri" w:hAnsi="Calibri" w:cs="Calibri"/>
          <w:sz w:val="22"/>
          <w:szCs w:val="22"/>
          <w:lang w:val="en-CA"/>
        </w:rPr>
        <w:t xml:space="preserve"> </w:t>
      </w:r>
      <w:r w:rsidR="00812FDA">
        <w:rPr>
          <w:rFonts w:ascii="Calibri" w:hAnsi="Calibri" w:cs="Calibri"/>
          <w:sz w:val="22"/>
          <w:szCs w:val="22"/>
          <w:lang w:val="en-CA"/>
        </w:rPr>
        <w:t xml:space="preserve">does not recognize FNEI’s circumstances. </w:t>
      </w:r>
    </w:p>
    <w:p w14:paraId="6580729F" w14:textId="561FFF22" w:rsidR="004D5613" w:rsidRPr="008A1D22" w:rsidRDefault="000E3F3E" w:rsidP="004115E6">
      <w:pPr>
        <w:spacing w:line="360" w:lineRule="auto"/>
        <w:rPr>
          <w:rFonts w:ascii="Calibri" w:hAnsi="Calibri" w:cs="Calibri"/>
          <w:sz w:val="22"/>
          <w:szCs w:val="22"/>
          <w:lang w:val="en-CA"/>
        </w:rPr>
      </w:pPr>
      <w:r>
        <w:rPr>
          <w:rFonts w:ascii="Calibri" w:hAnsi="Calibri" w:cs="Calibri"/>
          <w:sz w:val="22"/>
          <w:szCs w:val="22"/>
          <w:lang w:val="en-CA"/>
        </w:rPr>
        <w:t>Th</w:t>
      </w:r>
      <w:r w:rsidR="00F22F35">
        <w:rPr>
          <w:rFonts w:ascii="Calibri" w:hAnsi="Calibri" w:cs="Calibri"/>
          <w:sz w:val="22"/>
          <w:szCs w:val="22"/>
          <w:lang w:val="en-CA"/>
        </w:rPr>
        <w:t>e OEB’s</w:t>
      </w:r>
      <w:r>
        <w:rPr>
          <w:rFonts w:ascii="Calibri" w:hAnsi="Calibri" w:cs="Calibri"/>
          <w:sz w:val="22"/>
          <w:szCs w:val="22"/>
          <w:lang w:val="en-CA"/>
        </w:rPr>
        <w:t xml:space="preserve"> proposed framework borrows significantly from the rate frameworks established in recent single-asset transmitter settlements involving the transmitters Niagara Reinforcement Limited Partnership</w:t>
      </w:r>
      <w:r w:rsidR="00D86984">
        <w:rPr>
          <w:rFonts w:ascii="Calibri" w:hAnsi="Calibri" w:cs="Calibri"/>
          <w:sz w:val="22"/>
          <w:szCs w:val="22"/>
          <w:lang w:val="en-CA"/>
        </w:rPr>
        <w:t xml:space="preserve"> (NRLP)</w:t>
      </w:r>
      <w:r>
        <w:rPr>
          <w:rFonts w:ascii="Calibri" w:hAnsi="Calibri" w:cs="Calibri"/>
          <w:sz w:val="22"/>
          <w:szCs w:val="22"/>
          <w:lang w:val="en-CA"/>
        </w:rPr>
        <w:t>, B2M Limited Partnership</w:t>
      </w:r>
      <w:r w:rsidR="00D86984">
        <w:rPr>
          <w:rFonts w:ascii="Calibri" w:hAnsi="Calibri" w:cs="Calibri"/>
          <w:sz w:val="22"/>
          <w:szCs w:val="22"/>
          <w:lang w:val="en-CA"/>
        </w:rPr>
        <w:t xml:space="preserve"> (B2M)</w:t>
      </w:r>
      <w:r>
        <w:rPr>
          <w:rFonts w:ascii="Calibri" w:hAnsi="Calibri" w:cs="Calibri"/>
          <w:sz w:val="22"/>
          <w:szCs w:val="22"/>
          <w:lang w:val="en-CA"/>
        </w:rPr>
        <w:t xml:space="preserve"> and Chatham </w:t>
      </w:r>
      <w:r w:rsidR="00CA1DA6">
        <w:rPr>
          <w:rFonts w:ascii="Calibri" w:hAnsi="Calibri" w:cs="Calibri"/>
          <w:sz w:val="22"/>
          <w:szCs w:val="22"/>
          <w:lang w:val="en-CA"/>
        </w:rPr>
        <w:t>X</w:t>
      </w:r>
      <w:r>
        <w:rPr>
          <w:rFonts w:ascii="Calibri" w:hAnsi="Calibri" w:cs="Calibri"/>
          <w:sz w:val="22"/>
          <w:szCs w:val="22"/>
          <w:lang w:val="en-CA"/>
        </w:rPr>
        <w:t xml:space="preserve"> Lakeshore Limited Partnership</w:t>
      </w:r>
      <w:r w:rsidR="00D86984">
        <w:rPr>
          <w:rFonts w:ascii="Calibri" w:hAnsi="Calibri" w:cs="Calibri"/>
          <w:sz w:val="22"/>
          <w:szCs w:val="22"/>
          <w:lang w:val="en-CA"/>
        </w:rPr>
        <w:t xml:space="preserve"> (CLLP)</w:t>
      </w:r>
      <w:r w:rsidR="00B5086E">
        <w:rPr>
          <w:rFonts w:ascii="Calibri" w:hAnsi="Calibri" w:cs="Calibri"/>
          <w:sz w:val="22"/>
          <w:szCs w:val="22"/>
          <w:lang w:val="en-CA"/>
        </w:rPr>
        <w:t>. However the OEB</w:t>
      </w:r>
      <w:r w:rsidR="00CA1DA6">
        <w:rPr>
          <w:rFonts w:ascii="Calibri" w:hAnsi="Calibri" w:cs="Calibri"/>
          <w:sz w:val="22"/>
          <w:szCs w:val="22"/>
          <w:lang w:val="en-CA"/>
        </w:rPr>
        <w:t>’s</w:t>
      </w:r>
      <w:r w:rsidR="00B5086E">
        <w:rPr>
          <w:rFonts w:ascii="Calibri" w:hAnsi="Calibri" w:cs="Calibri"/>
          <w:sz w:val="22"/>
          <w:szCs w:val="22"/>
          <w:lang w:val="en-CA"/>
        </w:rPr>
        <w:t xml:space="preserve"> proposed framework appears to modify</w:t>
      </w:r>
      <w:r>
        <w:rPr>
          <w:rFonts w:ascii="Calibri" w:hAnsi="Calibri" w:cs="Calibri"/>
          <w:sz w:val="22"/>
          <w:szCs w:val="22"/>
          <w:lang w:val="en-CA"/>
        </w:rPr>
        <w:t xml:space="preserve"> those settlements by escalating </w:t>
      </w:r>
      <w:r>
        <w:rPr>
          <w:rFonts w:ascii="Calibri" w:hAnsi="Calibri" w:cs="Calibri"/>
          <w:sz w:val="22"/>
          <w:szCs w:val="22"/>
          <w:lang w:val="en-CA"/>
        </w:rPr>
        <w:lastRenderedPageBreak/>
        <w:t>OM&amp;A by I – X instead of approving a five-year OM&amp;A forecast, as was the case for those three transmitters.</w:t>
      </w:r>
      <w:r>
        <w:rPr>
          <w:rStyle w:val="FootnoteReference"/>
          <w:rFonts w:ascii="Calibri" w:hAnsi="Calibri" w:cs="Calibri"/>
          <w:sz w:val="22"/>
          <w:szCs w:val="22"/>
          <w:lang w:val="en-CA"/>
        </w:rPr>
        <w:footnoteReference w:id="6"/>
      </w:r>
      <w:r>
        <w:rPr>
          <w:rFonts w:ascii="Calibri" w:hAnsi="Calibri" w:cs="Calibri"/>
          <w:sz w:val="22"/>
          <w:szCs w:val="22"/>
          <w:lang w:val="en-CA"/>
        </w:rPr>
        <w:t xml:space="preserve"> </w:t>
      </w:r>
      <w:r w:rsidR="005E508A">
        <w:rPr>
          <w:rFonts w:ascii="Calibri" w:hAnsi="Calibri" w:cs="Calibri"/>
          <w:sz w:val="22"/>
          <w:szCs w:val="22"/>
          <w:lang w:val="en-CA"/>
        </w:rPr>
        <w:t xml:space="preserve">The implication of the Proposed Updates is that a framework suitable for these three “single-asset transmitters” should be suitable for all such transmitters, however the proposed framework was not even deemed suitable by NRLP, B2M and CLLP. </w:t>
      </w:r>
      <w:r w:rsidR="008A1D22">
        <w:rPr>
          <w:rFonts w:ascii="Calibri" w:hAnsi="Calibri" w:cs="Calibri"/>
          <w:sz w:val="22"/>
          <w:szCs w:val="22"/>
          <w:lang w:val="en-CA"/>
        </w:rPr>
        <w:t xml:space="preserve"> The rate framework in the Proposed Updates is a poor reflection of actual OM&amp;A costs experienced by </w:t>
      </w:r>
      <w:r w:rsidR="004D5613">
        <w:rPr>
          <w:rFonts w:ascii="Calibri" w:hAnsi="Calibri" w:cs="Calibri"/>
          <w:sz w:val="22"/>
          <w:szCs w:val="22"/>
        </w:rPr>
        <w:t>FNEI</w:t>
      </w:r>
      <w:r w:rsidR="008A1D22">
        <w:rPr>
          <w:rFonts w:ascii="Calibri" w:hAnsi="Calibri" w:cs="Calibri"/>
          <w:sz w:val="22"/>
          <w:szCs w:val="22"/>
        </w:rPr>
        <w:t>, as the utility</w:t>
      </w:r>
      <w:r w:rsidR="004D5613">
        <w:rPr>
          <w:rFonts w:ascii="Calibri" w:hAnsi="Calibri" w:cs="Calibri"/>
          <w:sz w:val="22"/>
          <w:szCs w:val="22"/>
        </w:rPr>
        <w:t xml:space="preserve"> conducts vegetation management in multi-year cycles on a project basis</w:t>
      </w:r>
      <w:r w:rsidR="008B772B" w:rsidRPr="008B772B">
        <w:rPr>
          <w:rFonts w:ascii="Calibri" w:hAnsi="Calibri" w:cs="Calibri"/>
          <w:sz w:val="22"/>
          <w:szCs w:val="22"/>
        </w:rPr>
        <w:t xml:space="preserve"> </w:t>
      </w:r>
      <w:r w:rsidR="008B772B">
        <w:rPr>
          <w:rFonts w:ascii="Calibri" w:hAnsi="Calibri" w:cs="Calibri"/>
          <w:sz w:val="22"/>
          <w:szCs w:val="22"/>
        </w:rPr>
        <w:t>in accordance with best practice</w:t>
      </w:r>
      <w:r w:rsidR="004D5613">
        <w:rPr>
          <w:rFonts w:ascii="Calibri" w:hAnsi="Calibri" w:cs="Calibri"/>
          <w:sz w:val="22"/>
          <w:szCs w:val="22"/>
        </w:rPr>
        <w:t>, and it would not be a prudent use of its vegetation management funding to smooth its expenditures over the course of the rate period</w:t>
      </w:r>
      <w:r w:rsidR="008B772B">
        <w:rPr>
          <w:rFonts w:ascii="Calibri" w:hAnsi="Calibri" w:cs="Calibri"/>
          <w:sz w:val="22"/>
          <w:szCs w:val="22"/>
        </w:rPr>
        <w:t xml:space="preserve"> for the sole purpose of aligning with a rigid rate framework</w:t>
      </w:r>
      <w:r w:rsidR="004D5613">
        <w:rPr>
          <w:rFonts w:ascii="Calibri" w:hAnsi="Calibri" w:cs="Calibri"/>
          <w:sz w:val="22"/>
          <w:szCs w:val="22"/>
        </w:rPr>
        <w:t>.</w:t>
      </w:r>
      <w:r w:rsidR="008B772B">
        <w:rPr>
          <w:rFonts w:ascii="Calibri" w:hAnsi="Calibri" w:cs="Calibri"/>
          <w:sz w:val="22"/>
          <w:szCs w:val="22"/>
        </w:rPr>
        <w:t xml:space="preserve"> </w:t>
      </w:r>
      <w:r w:rsidR="00D613FF">
        <w:rPr>
          <w:rFonts w:ascii="Calibri" w:hAnsi="Calibri" w:cs="Calibri"/>
          <w:sz w:val="22"/>
          <w:szCs w:val="22"/>
        </w:rPr>
        <w:t>Paired with a prescriptive forecast approach to capital-related revenue requirement, I-X OM&amp;A funding does not align with FNEI’s needs.</w:t>
      </w:r>
    </w:p>
    <w:p w14:paraId="0D9694DE" w14:textId="53D67526" w:rsidR="00A8154A" w:rsidRDefault="007933C5" w:rsidP="004115E6">
      <w:pPr>
        <w:spacing w:line="360" w:lineRule="auto"/>
        <w:rPr>
          <w:rFonts w:ascii="Calibri" w:hAnsi="Calibri" w:cs="Calibri"/>
          <w:sz w:val="22"/>
          <w:szCs w:val="22"/>
        </w:rPr>
      </w:pPr>
      <w:r>
        <w:rPr>
          <w:rFonts w:ascii="Calibri" w:hAnsi="Calibri" w:cs="Calibri"/>
          <w:sz w:val="22"/>
          <w:szCs w:val="22"/>
          <w:lang w:val="en-CA"/>
        </w:rPr>
        <w:t xml:space="preserve">FNEI believes that settled cases are an inappropriate foundation for establishing a new rate framework. Settlements occur in </w:t>
      </w:r>
      <w:r w:rsidR="00CA1DA6">
        <w:rPr>
          <w:rFonts w:ascii="Calibri" w:hAnsi="Calibri" w:cs="Calibri"/>
          <w:sz w:val="22"/>
          <w:szCs w:val="22"/>
          <w:lang w:val="en-CA"/>
        </w:rPr>
        <w:t>confidence and</w:t>
      </w:r>
      <w:r>
        <w:rPr>
          <w:rFonts w:ascii="Calibri" w:hAnsi="Calibri" w:cs="Calibri"/>
          <w:sz w:val="22"/>
          <w:szCs w:val="22"/>
          <w:lang w:val="en-CA"/>
        </w:rPr>
        <w:t xml:space="preserve"> are intended to apply to the specific circumstances of the parties participating</w:t>
      </w:r>
      <w:r w:rsidR="00E2069C">
        <w:rPr>
          <w:rFonts w:ascii="Calibri" w:hAnsi="Calibri" w:cs="Calibri"/>
          <w:sz w:val="22"/>
          <w:szCs w:val="22"/>
          <w:lang w:val="en-CA"/>
        </w:rPr>
        <w:t xml:space="preserve"> based on various trade-offs made in a confidential setting</w:t>
      </w:r>
      <w:r>
        <w:rPr>
          <w:rFonts w:ascii="Calibri" w:hAnsi="Calibri" w:cs="Calibri"/>
          <w:sz w:val="22"/>
          <w:szCs w:val="22"/>
          <w:lang w:val="en-CA"/>
        </w:rPr>
        <w:t xml:space="preserve">. </w:t>
      </w:r>
      <w:r w:rsidR="00D86984">
        <w:rPr>
          <w:rFonts w:ascii="Calibri" w:hAnsi="Calibri" w:cs="Calibri"/>
          <w:sz w:val="22"/>
          <w:szCs w:val="22"/>
          <w:lang w:val="en-CA"/>
        </w:rPr>
        <w:t>For example and as is standard</w:t>
      </w:r>
      <w:r>
        <w:rPr>
          <w:rFonts w:ascii="Calibri" w:hAnsi="Calibri" w:cs="Calibri"/>
          <w:sz w:val="22"/>
          <w:szCs w:val="22"/>
          <w:lang w:val="en-CA"/>
        </w:rPr>
        <w:t>, NRLP’s Settlement Proposal in its 2025-2029 transmission rates case states: “</w:t>
      </w:r>
      <w:r w:rsidRPr="007933C5">
        <w:rPr>
          <w:rFonts w:ascii="Calibri" w:hAnsi="Calibri" w:cs="Calibri"/>
          <w:sz w:val="22"/>
          <w:szCs w:val="22"/>
        </w:rPr>
        <w:t>Unless otherwise expressly stated in this Settlement Proposal, the settlement of any particular issue in this proceeding and the positions of the Parties in this Settlement Proposal are without prejudice to the rights of the Parties to raise the same issue and/or to take any position thereon in any other proceeding, whether or not NRLP is a party to such proceeding.</w:t>
      </w:r>
      <w:r>
        <w:rPr>
          <w:rFonts w:ascii="Calibri" w:hAnsi="Calibri" w:cs="Calibri"/>
          <w:sz w:val="22"/>
          <w:szCs w:val="22"/>
        </w:rPr>
        <w:t>”</w:t>
      </w:r>
      <w:r>
        <w:rPr>
          <w:rStyle w:val="FootnoteReference"/>
          <w:rFonts w:ascii="Calibri" w:hAnsi="Calibri" w:cs="Calibri"/>
          <w:sz w:val="22"/>
          <w:szCs w:val="22"/>
        </w:rPr>
        <w:footnoteReference w:id="7"/>
      </w:r>
      <w:r>
        <w:rPr>
          <w:rFonts w:ascii="Calibri" w:hAnsi="Calibri" w:cs="Calibri"/>
          <w:sz w:val="22"/>
          <w:szCs w:val="22"/>
        </w:rPr>
        <w:t xml:space="preserve"> These settlements were established to suit the particular circumstances of the applicants, and principles established within them should not be extrapolate</w:t>
      </w:r>
      <w:r w:rsidR="00F22F35">
        <w:rPr>
          <w:rFonts w:ascii="Calibri" w:hAnsi="Calibri" w:cs="Calibri"/>
          <w:sz w:val="22"/>
          <w:szCs w:val="22"/>
        </w:rPr>
        <w:t>d</w:t>
      </w:r>
      <w:r>
        <w:rPr>
          <w:rFonts w:ascii="Calibri" w:hAnsi="Calibri" w:cs="Calibri"/>
          <w:sz w:val="22"/>
          <w:szCs w:val="22"/>
        </w:rPr>
        <w:t xml:space="preserve"> to apply to the circumstances of all </w:t>
      </w:r>
      <w:r w:rsidR="007513B4">
        <w:rPr>
          <w:rFonts w:ascii="Calibri" w:hAnsi="Calibri" w:cs="Calibri"/>
          <w:sz w:val="22"/>
          <w:szCs w:val="22"/>
        </w:rPr>
        <w:t>transmitters deemed “</w:t>
      </w:r>
      <w:r>
        <w:rPr>
          <w:rFonts w:ascii="Calibri" w:hAnsi="Calibri" w:cs="Calibri"/>
          <w:sz w:val="22"/>
          <w:szCs w:val="22"/>
        </w:rPr>
        <w:t>single-asset</w:t>
      </w:r>
      <w:r w:rsidR="007513B4">
        <w:rPr>
          <w:rFonts w:ascii="Calibri" w:hAnsi="Calibri" w:cs="Calibri"/>
          <w:sz w:val="22"/>
          <w:szCs w:val="22"/>
        </w:rPr>
        <w:t>”</w:t>
      </w:r>
      <w:r>
        <w:rPr>
          <w:rFonts w:ascii="Calibri" w:hAnsi="Calibri" w:cs="Calibri"/>
          <w:sz w:val="22"/>
          <w:szCs w:val="22"/>
        </w:rPr>
        <w:t xml:space="preserve">. </w:t>
      </w:r>
      <w:r w:rsidR="005930A0">
        <w:rPr>
          <w:rFonts w:ascii="Calibri" w:hAnsi="Calibri" w:cs="Calibri"/>
          <w:sz w:val="22"/>
          <w:szCs w:val="22"/>
        </w:rPr>
        <w:t xml:space="preserve">Instead of making policy changes via the Transmission Filing Requirements that draw heavily from </w:t>
      </w:r>
      <w:r w:rsidR="007513B4">
        <w:rPr>
          <w:rFonts w:ascii="Calibri" w:hAnsi="Calibri" w:cs="Calibri"/>
          <w:sz w:val="22"/>
          <w:szCs w:val="22"/>
        </w:rPr>
        <w:t>specific settled applications</w:t>
      </w:r>
      <w:r w:rsidR="005930A0">
        <w:rPr>
          <w:rFonts w:ascii="Calibri" w:hAnsi="Calibri" w:cs="Calibri"/>
          <w:sz w:val="22"/>
          <w:szCs w:val="22"/>
        </w:rPr>
        <w:t xml:space="preserve">, FNEI believes that potential changes would be better considered through the mechanism of a Generic </w:t>
      </w:r>
      <w:r w:rsidR="004D5613">
        <w:rPr>
          <w:rFonts w:ascii="Calibri" w:hAnsi="Calibri" w:cs="Calibri"/>
          <w:sz w:val="22"/>
          <w:szCs w:val="22"/>
        </w:rPr>
        <w:t>Proceeding</w:t>
      </w:r>
      <w:r w:rsidR="005930A0">
        <w:rPr>
          <w:rFonts w:ascii="Calibri" w:hAnsi="Calibri" w:cs="Calibri"/>
          <w:sz w:val="22"/>
          <w:szCs w:val="22"/>
        </w:rPr>
        <w:t xml:space="preserve">, likely set on a longer time frame with more opportunities for participation, where parties may consider potential alterations to the Renewed Regulatory Framework on a principles-first basis.   </w:t>
      </w:r>
    </w:p>
    <w:p w14:paraId="13182683" w14:textId="763BBDB4" w:rsidR="00A8154A" w:rsidRDefault="00A8154A" w:rsidP="004115E6">
      <w:pPr>
        <w:spacing w:line="360" w:lineRule="auto"/>
        <w:rPr>
          <w:rFonts w:ascii="Calibri" w:hAnsi="Calibri" w:cs="Calibri"/>
          <w:sz w:val="22"/>
          <w:szCs w:val="22"/>
        </w:rPr>
      </w:pPr>
      <w:r>
        <w:rPr>
          <w:rFonts w:ascii="Calibri" w:hAnsi="Calibri" w:cs="Calibri"/>
          <w:sz w:val="22"/>
          <w:szCs w:val="22"/>
        </w:rPr>
        <w:t xml:space="preserve">Finally, </w:t>
      </w:r>
      <w:r w:rsidR="0063328D">
        <w:rPr>
          <w:rFonts w:ascii="Calibri" w:hAnsi="Calibri" w:cs="Calibri"/>
          <w:sz w:val="22"/>
          <w:szCs w:val="22"/>
        </w:rPr>
        <w:t xml:space="preserve">FNEI is concerned that the single-asset framework in the Proposed Updates does not provide sufficient flexibility to </w:t>
      </w:r>
      <w:r w:rsidR="00242528">
        <w:rPr>
          <w:rFonts w:ascii="Calibri" w:hAnsi="Calibri" w:cs="Calibri"/>
          <w:sz w:val="22"/>
          <w:szCs w:val="22"/>
        </w:rPr>
        <w:t>adapt to volatile costs and needs</w:t>
      </w:r>
      <w:r>
        <w:rPr>
          <w:rFonts w:ascii="Calibri" w:hAnsi="Calibri" w:cs="Calibri"/>
          <w:sz w:val="22"/>
          <w:szCs w:val="22"/>
        </w:rPr>
        <w:t xml:space="preserve">. FNEI operates in Ontario’s north within a high-cost geographic area. The utility has relatively few opportunities to find savings and is subject to price volatility for services, particularly because there are relatively few service providers that FNEI can leverage to perform work. </w:t>
      </w:r>
    </w:p>
    <w:p w14:paraId="58F29FDA" w14:textId="7CD802DA" w:rsidR="006E05BF" w:rsidRDefault="00F22F35" w:rsidP="00A8154A">
      <w:pPr>
        <w:spacing w:line="360" w:lineRule="auto"/>
        <w:rPr>
          <w:rFonts w:ascii="Calibri" w:hAnsi="Calibri" w:cs="Calibri"/>
          <w:sz w:val="22"/>
          <w:szCs w:val="22"/>
        </w:rPr>
      </w:pPr>
      <w:r>
        <w:rPr>
          <w:rFonts w:ascii="Calibri" w:hAnsi="Calibri" w:cs="Calibri"/>
          <w:sz w:val="22"/>
          <w:szCs w:val="22"/>
        </w:rPr>
        <w:lastRenderedPageBreak/>
        <w:t>FNEI believes that the Transmission Filing Requirements should</w:t>
      </w:r>
      <w:r w:rsidR="00A8154A">
        <w:rPr>
          <w:rFonts w:ascii="Calibri" w:hAnsi="Calibri" w:cs="Calibri"/>
          <w:sz w:val="22"/>
          <w:szCs w:val="22"/>
        </w:rPr>
        <w:t xml:space="preserve"> not restrict transmitters </w:t>
      </w:r>
      <w:r w:rsidR="00EA67CB">
        <w:rPr>
          <w:rFonts w:ascii="Calibri" w:hAnsi="Calibri" w:cs="Calibri"/>
          <w:sz w:val="22"/>
          <w:szCs w:val="22"/>
        </w:rPr>
        <w:t>to a pre-defined</w:t>
      </w:r>
      <w:r w:rsidR="00A8154A">
        <w:rPr>
          <w:rFonts w:ascii="Calibri" w:hAnsi="Calibri" w:cs="Calibri"/>
          <w:sz w:val="22"/>
          <w:szCs w:val="22"/>
        </w:rPr>
        <w:t xml:space="preserve"> a specific category,</w:t>
      </w:r>
      <w:r w:rsidR="00EA67CB">
        <w:rPr>
          <w:rFonts w:ascii="Calibri" w:hAnsi="Calibri" w:cs="Calibri"/>
          <w:sz w:val="22"/>
          <w:szCs w:val="22"/>
        </w:rPr>
        <w:t xml:space="preserve"> particularly when the method for definition </w:t>
      </w:r>
      <w:r w:rsidR="00D565F8">
        <w:rPr>
          <w:rFonts w:ascii="Calibri" w:hAnsi="Calibri" w:cs="Calibri"/>
          <w:sz w:val="22"/>
          <w:szCs w:val="22"/>
        </w:rPr>
        <w:t>is flawed as is the case with the proposed 2% threshold.</w:t>
      </w:r>
      <w:r w:rsidR="00A8154A">
        <w:rPr>
          <w:rFonts w:ascii="Calibri" w:hAnsi="Calibri" w:cs="Calibri"/>
          <w:sz w:val="22"/>
          <w:szCs w:val="22"/>
        </w:rPr>
        <w:t xml:space="preserve"> Instead, the </w:t>
      </w:r>
      <w:r w:rsidR="008A0BFF">
        <w:rPr>
          <w:rFonts w:ascii="Calibri" w:hAnsi="Calibri" w:cs="Calibri"/>
          <w:sz w:val="22"/>
          <w:szCs w:val="22"/>
        </w:rPr>
        <w:t xml:space="preserve">OEB should </w:t>
      </w:r>
      <w:r w:rsidR="00D565F8">
        <w:rPr>
          <w:rFonts w:ascii="Calibri" w:hAnsi="Calibri" w:cs="Calibri"/>
          <w:sz w:val="22"/>
          <w:szCs w:val="22"/>
        </w:rPr>
        <w:t>continue to leverage the RRF as it is,</w:t>
      </w:r>
      <w:r w:rsidR="007F2E98">
        <w:rPr>
          <w:rFonts w:ascii="Calibri" w:hAnsi="Calibri" w:cs="Calibri"/>
          <w:sz w:val="22"/>
          <w:szCs w:val="22"/>
        </w:rPr>
        <w:t xml:space="preserve"> allowing for Revenue Cap IR where appropriate, or a Custom Incentive Regulation application as needed, in a manner that responds to the needs and circumstances of electricity transmitters across the province. To the degree </w:t>
      </w:r>
      <w:r w:rsidR="005A5875">
        <w:rPr>
          <w:rFonts w:ascii="Calibri" w:hAnsi="Calibri" w:cs="Calibri"/>
          <w:sz w:val="22"/>
          <w:szCs w:val="22"/>
        </w:rPr>
        <w:t xml:space="preserve">that </w:t>
      </w:r>
      <w:r w:rsidR="003455D6">
        <w:rPr>
          <w:rFonts w:ascii="Calibri" w:hAnsi="Calibri" w:cs="Calibri"/>
          <w:sz w:val="22"/>
          <w:szCs w:val="22"/>
        </w:rPr>
        <w:t xml:space="preserve">updates of this magnitude are required in the OEB’s assessment, </w:t>
      </w:r>
      <w:r w:rsidR="008A0BFF">
        <w:rPr>
          <w:rFonts w:ascii="Calibri" w:hAnsi="Calibri" w:cs="Calibri"/>
          <w:sz w:val="22"/>
          <w:szCs w:val="22"/>
        </w:rPr>
        <w:t xml:space="preserve">a Generic </w:t>
      </w:r>
      <w:r w:rsidR="00D565F8">
        <w:rPr>
          <w:rFonts w:ascii="Calibri" w:hAnsi="Calibri" w:cs="Calibri"/>
          <w:sz w:val="22"/>
          <w:szCs w:val="22"/>
        </w:rPr>
        <w:t>Proceeding</w:t>
      </w:r>
      <w:r w:rsidR="008A0BFF">
        <w:rPr>
          <w:rFonts w:ascii="Calibri" w:hAnsi="Calibri" w:cs="Calibri"/>
          <w:sz w:val="22"/>
          <w:szCs w:val="22"/>
        </w:rPr>
        <w:t xml:space="preserve"> </w:t>
      </w:r>
      <w:r w:rsidR="003455D6">
        <w:rPr>
          <w:rFonts w:ascii="Calibri" w:hAnsi="Calibri" w:cs="Calibri"/>
          <w:sz w:val="22"/>
          <w:szCs w:val="22"/>
        </w:rPr>
        <w:t xml:space="preserve">should be relied upon </w:t>
      </w:r>
      <w:r w:rsidR="008A0BFF">
        <w:rPr>
          <w:rFonts w:ascii="Calibri" w:hAnsi="Calibri" w:cs="Calibri"/>
          <w:sz w:val="22"/>
          <w:szCs w:val="22"/>
        </w:rPr>
        <w:t>to</w:t>
      </w:r>
      <w:r w:rsidR="00A8154A">
        <w:rPr>
          <w:rFonts w:ascii="Calibri" w:hAnsi="Calibri" w:cs="Calibri"/>
          <w:sz w:val="22"/>
          <w:szCs w:val="22"/>
        </w:rPr>
        <w:t xml:space="preserve"> </w:t>
      </w:r>
      <w:r w:rsidR="003455D6">
        <w:rPr>
          <w:rFonts w:ascii="Calibri" w:hAnsi="Calibri" w:cs="Calibri"/>
          <w:sz w:val="22"/>
          <w:szCs w:val="22"/>
        </w:rPr>
        <w:t>assess</w:t>
      </w:r>
      <w:r w:rsidR="008A0BFF">
        <w:rPr>
          <w:rFonts w:ascii="Calibri" w:hAnsi="Calibri" w:cs="Calibri"/>
          <w:sz w:val="22"/>
          <w:szCs w:val="22"/>
        </w:rPr>
        <w:t xml:space="preserve"> </w:t>
      </w:r>
      <w:r w:rsidR="00A8154A">
        <w:rPr>
          <w:rFonts w:ascii="Calibri" w:hAnsi="Calibri" w:cs="Calibri"/>
          <w:sz w:val="22"/>
          <w:szCs w:val="22"/>
        </w:rPr>
        <w:t xml:space="preserve">concerns regarding depreciating rate base and provide transmitters with the tools to propose </w:t>
      </w:r>
      <w:r w:rsidR="005930A0">
        <w:rPr>
          <w:rFonts w:ascii="Calibri" w:hAnsi="Calibri" w:cs="Calibri"/>
          <w:sz w:val="22"/>
          <w:szCs w:val="22"/>
        </w:rPr>
        <w:t xml:space="preserve">rate frameworks that align with the RRF.  </w:t>
      </w:r>
    </w:p>
    <w:p w14:paraId="0E3DAE34" w14:textId="4FB0833A" w:rsidR="00A8154A" w:rsidRDefault="00A8154A" w:rsidP="00A8154A">
      <w:pPr>
        <w:spacing w:line="360" w:lineRule="auto"/>
        <w:rPr>
          <w:rFonts w:ascii="Calibri" w:hAnsi="Calibri" w:cs="Calibri"/>
          <w:sz w:val="22"/>
          <w:szCs w:val="22"/>
          <w:lang w:val="en-CA"/>
        </w:rPr>
      </w:pPr>
    </w:p>
    <w:sectPr w:rsidR="00A8154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DCF5" w14:textId="77777777" w:rsidR="00997CF3" w:rsidRDefault="00997CF3" w:rsidP="00FA50BE">
      <w:pPr>
        <w:spacing w:after="0" w:line="240" w:lineRule="auto"/>
      </w:pPr>
      <w:r>
        <w:separator/>
      </w:r>
    </w:p>
  </w:endnote>
  <w:endnote w:type="continuationSeparator" w:id="0">
    <w:p w14:paraId="1F24E714" w14:textId="77777777" w:rsidR="00997CF3" w:rsidRDefault="00997CF3" w:rsidP="00FA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7982340"/>
      <w:docPartObj>
        <w:docPartGallery w:val="Page Numbers (Bottom of Page)"/>
        <w:docPartUnique/>
      </w:docPartObj>
    </w:sdtPr>
    <w:sdtContent>
      <w:p w14:paraId="0DE49B38" w14:textId="653DEE34" w:rsidR="00774A1F" w:rsidRDefault="00774A1F" w:rsidP="008F27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172E1" w14:textId="77777777" w:rsidR="0094284A" w:rsidRDefault="0094284A" w:rsidP="00774A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6145108"/>
      <w:docPartObj>
        <w:docPartGallery w:val="Page Numbers (Bottom of Page)"/>
        <w:docPartUnique/>
      </w:docPartObj>
    </w:sdtPr>
    <w:sdtContent>
      <w:p w14:paraId="70C90AAC" w14:textId="633E501D" w:rsidR="00774A1F" w:rsidRDefault="00774A1F" w:rsidP="008F27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9B48999" w14:textId="77777777" w:rsidR="0094284A" w:rsidRDefault="0094284A" w:rsidP="00774A1F">
    <w:pPr>
      <w:pStyle w:val="Footer"/>
      <w:ind w:right="360"/>
    </w:pPr>
  </w:p>
  <w:sdt>
    <w:sdtPr>
      <w:alias w:val="LX-DOCUMENTID_4a992c8e-9917-4972-85bc-a894a3fa5300"/>
      <w:tag w:val="LX-DOCUMENTID"/>
      <w:id w:val="679321856"/>
      <w:placeholder>
        <w:docPart w:val="DefaultPlaceholder_-1854013440"/>
      </w:placeholder>
    </w:sdtPr>
    <w:sdtContent>
      <w:p w14:paraId="06B5D674" w14:textId="7038EEA5" w:rsidR="00D742FB" w:rsidRDefault="00D742FB" w:rsidP="00D742FB">
        <w:pPr>
          <w:pStyle w:val="DocsID"/>
        </w:pPr>
        <w:r>
          <w:t>FNEI_Comments_TxRF_20250717.docx</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001A" w14:textId="77777777" w:rsidR="00D742FB" w:rsidRDefault="00D74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A8D2" w14:textId="77777777" w:rsidR="00997CF3" w:rsidRDefault="00997CF3" w:rsidP="00FA50BE">
      <w:pPr>
        <w:spacing w:after="0" w:line="240" w:lineRule="auto"/>
      </w:pPr>
      <w:r>
        <w:separator/>
      </w:r>
    </w:p>
  </w:footnote>
  <w:footnote w:type="continuationSeparator" w:id="0">
    <w:p w14:paraId="67CA672C" w14:textId="77777777" w:rsidR="00997CF3" w:rsidRDefault="00997CF3" w:rsidP="00FA50BE">
      <w:pPr>
        <w:spacing w:after="0" w:line="240" w:lineRule="auto"/>
      </w:pPr>
      <w:r>
        <w:continuationSeparator/>
      </w:r>
    </w:p>
  </w:footnote>
  <w:footnote w:id="1">
    <w:p w14:paraId="0FFDB5A7" w14:textId="242E3FEB" w:rsidR="000F6135" w:rsidRPr="007C74E5" w:rsidRDefault="000F6135">
      <w:pPr>
        <w:pStyle w:val="FootnoteText"/>
        <w:rPr>
          <w:rFonts w:ascii="Calibri" w:hAnsi="Calibri" w:cs="Calibri"/>
          <w:lang w:val="en-CA"/>
        </w:rPr>
      </w:pPr>
      <w:r w:rsidRPr="007C74E5">
        <w:rPr>
          <w:rStyle w:val="FootnoteReference"/>
          <w:rFonts w:ascii="Calibri" w:hAnsi="Calibri" w:cs="Calibri"/>
        </w:rPr>
        <w:footnoteRef/>
      </w:r>
      <w:r w:rsidRPr="007C74E5">
        <w:rPr>
          <w:rFonts w:ascii="Calibri" w:hAnsi="Calibri" w:cs="Calibri"/>
        </w:rPr>
        <w:t xml:space="preserve"> </w:t>
      </w:r>
      <w:r w:rsidRPr="007C74E5">
        <w:rPr>
          <w:rFonts w:ascii="Calibri" w:hAnsi="Calibri" w:cs="Calibri"/>
          <w:lang w:val="en-CA"/>
        </w:rPr>
        <w:t>June 5, 2025 “Stakeholder Consultation on the Review of the OEB’s Filing Requirements for Electricity Transmission Applications – Chapter 1 and Chapter 2 Ontario Energy Board File No. EB-2025-0149”, p. 1.</w:t>
      </w:r>
    </w:p>
  </w:footnote>
  <w:footnote w:id="2">
    <w:p w14:paraId="13DB8771" w14:textId="3B4A9E61" w:rsidR="000F6135" w:rsidRPr="007C74E5" w:rsidRDefault="000F6135">
      <w:pPr>
        <w:pStyle w:val="FootnoteText"/>
        <w:rPr>
          <w:rFonts w:ascii="Calibri" w:hAnsi="Calibri" w:cs="Calibri"/>
          <w:lang w:val="en-CA"/>
        </w:rPr>
      </w:pPr>
      <w:r w:rsidRPr="007C74E5">
        <w:rPr>
          <w:rStyle w:val="FootnoteReference"/>
          <w:rFonts w:ascii="Calibri" w:hAnsi="Calibri" w:cs="Calibri"/>
        </w:rPr>
        <w:footnoteRef/>
      </w:r>
      <w:r w:rsidRPr="007C74E5">
        <w:rPr>
          <w:rFonts w:ascii="Calibri" w:hAnsi="Calibri" w:cs="Calibri"/>
        </w:rPr>
        <w:t xml:space="preserve"> </w:t>
      </w:r>
      <w:r w:rsidRPr="007C74E5">
        <w:rPr>
          <w:rFonts w:ascii="Calibri" w:hAnsi="Calibri" w:cs="Calibri"/>
          <w:i/>
          <w:iCs/>
        </w:rPr>
        <w:t xml:space="preserve">Ibid </w:t>
      </w:r>
      <w:r w:rsidRPr="007C74E5">
        <w:rPr>
          <w:rFonts w:ascii="Calibri" w:hAnsi="Calibri" w:cs="Calibri"/>
        </w:rPr>
        <w:t xml:space="preserve">at p. </w:t>
      </w:r>
      <w:r w:rsidR="00342350" w:rsidRPr="007C74E5">
        <w:rPr>
          <w:rFonts w:ascii="Calibri" w:hAnsi="Calibri" w:cs="Calibri"/>
        </w:rPr>
        <w:t xml:space="preserve">3. </w:t>
      </w:r>
    </w:p>
  </w:footnote>
  <w:footnote w:id="3">
    <w:p w14:paraId="277B2BBF" w14:textId="0D63C86A" w:rsidR="000F6135" w:rsidRPr="00342350" w:rsidRDefault="000F6135">
      <w:pPr>
        <w:pStyle w:val="FootnoteText"/>
        <w:rPr>
          <w:lang w:val="en-CA"/>
        </w:rPr>
      </w:pPr>
      <w:r w:rsidRPr="007C74E5">
        <w:rPr>
          <w:rStyle w:val="FootnoteReference"/>
          <w:rFonts w:ascii="Calibri" w:hAnsi="Calibri" w:cs="Calibri"/>
        </w:rPr>
        <w:footnoteRef/>
      </w:r>
      <w:r w:rsidRPr="007C74E5">
        <w:rPr>
          <w:rFonts w:ascii="Calibri" w:hAnsi="Calibri" w:cs="Calibri"/>
        </w:rPr>
        <w:t xml:space="preserve"> </w:t>
      </w:r>
      <w:r w:rsidR="00342350" w:rsidRPr="007C74E5">
        <w:rPr>
          <w:rFonts w:ascii="Calibri" w:hAnsi="Calibri" w:cs="Calibri"/>
          <w:i/>
          <w:iCs/>
        </w:rPr>
        <w:t>Ibid</w:t>
      </w:r>
      <w:r w:rsidR="00342350" w:rsidRPr="007C74E5">
        <w:rPr>
          <w:rFonts w:ascii="Calibri" w:hAnsi="Calibri" w:cs="Calibri"/>
        </w:rPr>
        <w:t>.</w:t>
      </w:r>
    </w:p>
  </w:footnote>
  <w:footnote w:id="4">
    <w:p w14:paraId="2473D01A" w14:textId="0FCB670B" w:rsidR="00EF4D36" w:rsidRPr="007C74E5" w:rsidRDefault="00EF4D36">
      <w:pPr>
        <w:pStyle w:val="FootnoteText"/>
        <w:rPr>
          <w:rFonts w:ascii="Calibri" w:hAnsi="Calibri" w:cs="Calibri"/>
          <w:lang w:val="en-CA"/>
        </w:rPr>
      </w:pPr>
      <w:r w:rsidRPr="007C74E5">
        <w:rPr>
          <w:rStyle w:val="FootnoteReference"/>
          <w:rFonts w:ascii="Calibri" w:hAnsi="Calibri" w:cs="Calibri"/>
        </w:rPr>
        <w:footnoteRef/>
      </w:r>
      <w:r w:rsidRPr="007C74E5">
        <w:rPr>
          <w:rFonts w:ascii="Calibri" w:hAnsi="Calibri" w:cs="Calibri"/>
        </w:rPr>
        <w:t xml:space="preserve"> </w:t>
      </w:r>
      <w:r w:rsidR="00342350" w:rsidRPr="007C74E5">
        <w:rPr>
          <w:rFonts w:ascii="Calibri" w:hAnsi="Calibri" w:cs="Calibri"/>
          <w:i/>
          <w:iCs/>
        </w:rPr>
        <w:t>Ibid</w:t>
      </w:r>
      <w:r w:rsidR="00342350" w:rsidRPr="007C74E5">
        <w:rPr>
          <w:rFonts w:ascii="Calibri" w:hAnsi="Calibri" w:cs="Calibri"/>
        </w:rPr>
        <w:t xml:space="preserve">. </w:t>
      </w:r>
    </w:p>
  </w:footnote>
  <w:footnote w:id="5">
    <w:p w14:paraId="20635959" w14:textId="35DB6205" w:rsidR="00EF4D36" w:rsidRPr="00EF4D36" w:rsidRDefault="007933C5">
      <w:pPr>
        <w:pStyle w:val="FootnoteText"/>
        <w:rPr>
          <w:lang w:val="en-CA"/>
        </w:rPr>
      </w:pPr>
      <w:r w:rsidRPr="007C74E5">
        <w:rPr>
          <w:rStyle w:val="FootnoteReference"/>
          <w:rFonts w:ascii="Calibri" w:hAnsi="Calibri" w:cs="Calibri"/>
        </w:rPr>
        <w:footnoteRef/>
      </w:r>
      <w:r w:rsidR="00EF4D36" w:rsidRPr="007C74E5">
        <w:rPr>
          <w:rStyle w:val="FootnoteReference"/>
          <w:rFonts w:ascii="Calibri" w:hAnsi="Calibri" w:cs="Calibri"/>
        </w:rPr>
        <w:footnoteRef/>
      </w:r>
      <w:r w:rsidR="00EF4D36" w:rsidRPr="007C74E5">
        <w:rPr>
          <w:rFonts w:ascii="Calibri" w:hAnsi="Calibri" w:cs="Calibri"/>
        </w:rPr>
        <w:t xml:space="preserve"> </w:t>
      </w:r>
      <w:r w:rsidR="00802249" w:rsidRPr="007C74E5">
        <w:rPr>
          <w:rFonts w:ascii="Calibri" w:hAnsi="Calibri" w:cs="Calibri"/>
          <w:lang w:val="en-CA"/>
        </w:rPr>
        <w:t xml:space="preserve">EB-2024-0216, Application and Evidence, Exhibit F-5-1, Attachment 1, </w:t>
      </w:r>
      <w:r w:rsidR="00CA1DA6">
        <w:rPr>
          <w:rFonts w:ascii="Calibri" w:hAnsi="Calibri" w:cs="Calibri"/>
          <w:lang w:val="en-CA"/>
        </w:rPr>
        <w:t>p.</w:t>
      </w:r>
      <w:r w:rsidR="00802249" w:rsidRPr="007C74E5">
        <w:rPr>
          <w:rFonts w:ascii="Calibri" w:hAnsi="Calibri" w:cs="Calibri"/>
          <w:lang w:val="en-CA"/>
        </w:rPr>
        <w:t xml:space="preserve"> 1.</w:t>
      </w:r>
      <w:r w:rsidR="00802249">
        <w:rPr>
          <w:lang w:val="en-CA"/>
        </w:rPr>
        <w:t xml:space="preserve"> </w:t>
      </w:r>
    </w:p>
  </w:footnote>
  <w:footnote w:id="6">
    <w:p w14:paraId="7DA859A7" w14:textId="7A229FEA" w:rsidR="000E3F3E" w:rsidRPr="007C74E5" w:rsidRDefault="000E3F3E">
      <w:pPr>
        <w:pStyle w:val="FootnoteText"/>
        <w:rPr>
          <w:rFonts w:ascii="Calibri" w:hAnsi="Calibri" w:cs="Calibri"/>
          <w:lang w:val="en-CA"/>
        </w:rPr>
      </w:pPr>
      <w:r w:rsidRPr="007C74E5">
        <w:rPr>
          <w:rStyle w:val="FootnoteReference"/>
          <w:rFonts w:ascii="Calibri" w:hAnsi="Calibri" w:cs="Calibri"/>
        </w:rPr>
        <w:footnoteRef/>
      </w:r>
      <w:r w:rsidRPr="007C74E5">
        <w:rPr>
          <w:rFonts w:ascii="Calibri" w:hAnsi="Calibri" w:cs="Calibri"/>
        </w:rPr>
        <w:t xml:space="preserve"> </w:t>
      </w:r>
      <w:r w:rsidRPr="007C74E5">
        <w:rPr>
          <w:rFonts w:ascii="Calibri" w:hAnsi="Calibri" w:cs="Calibri"/>
          <w:lang w:val="en-CA"/>
        </w:rPr>
        <w:t>Niagara Reinforcement Limited Partnership, EB-2024-0117; B2M Limited Partnership, EB-2024-0116; Chatham X Lakeshore Limited Partnership, EB-2024-0216.</w:t>
      </w:r>
    </w:p>
  </w:footnote>
  <w:footnote w:id="7">
    <w:p w14:paraId="1A9A2D73" w14:textId="1FDDAA1F" w:rsidR="007933C5" w:rsidRPr="007C74E5" w:rsidRDefault="007933C5">
      <w:pPr>
        <w:pStyle w:val="FootnoteText"/>
        <w:rPr>
          <w:rFonts w:ascii="Calibri" w:hAnsi="Calibri" w:cs="Calibri"/>
          <w:lang w:val="en-CA"/>
        </w:rPr>
      </w:pPr>
      <w:r w:rsidRPr="007C74E5">
        <w:rPr>
          <w:rStyle w:val="FootnoteReference"/>
          <w:rFonts w:ascii="Calibri" w:hAnsi="Calibri" w:cs="Calibri"/>
        </w:rPr>
        <w:footnoteRef/>
      </w:r>
      <w:r w:rsidRPr="007C74E5">
        <w:rPr>
          <w:rFonts w:ascii="Calibri" w:hAnsi="Calibri" w:cs="Calibri"/>
        </w:rPr>
        <w:t xml:space="preserve"> </w:t>
      </w:r>
      <w:r w:rsidRPr="007C74E5">
        <w:rPr>
          <w:rFonts w:ascii="Calibri" w:hAnsi="Calibri" w:cs="Calibri"/>
          <w:lang w:val="en-CA"/>
        </w:rPr>
        <w:t xml:space="preserve">EB-2024-0117, Settlement Proposal, p.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C910" w14:textId="77777777" w:rsidR="00D742FB" w:rsidRDefault="00D74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6E2B" w14:textId="77777777" w:rsidR="00D742FB" w:rsidRDefault="00D74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93A7" w14:textId="77777777" w:rsidR="00D742FB" w:rsidRDefault="00D74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2C91"/>
    <w:multiLevelType w:val="multilevel"/>
    <w:tmpl w:val="F04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C0C4A"/>
    <w:multiLevelType w:val="multilevel"/>
    <w:tmpl w:val="5BBE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366D78"/>
    <w:multiLevelType w:val="multilevel"/>
    <w:tmpl w:val="D0DE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3654629">
    <w:abstractNumId w:val="1"/>
  </w:num>
  <w:num w:numId="2" w16cid:durableId="1357729050">
    <w:abstractNumId w:val="2"/>
  </w:num>
  <w:num w:numId="3" w16cid:durableId="126183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BF"/>
    <w:rsid w:val="0001452A"/>
    <w:rsid w:val="00015634"/>
    <w:rsid w:val="00025DA1"/>
    <w:rsid w:val="000447DC"/>
    <w:rsid w:val="00044BE2"/>
    <w:rsid w:val="00091756"/>
    <w:rsid w:val="00097EF4"/>
    <w:rsid w:val="000C08B5"/>
    <w:rsid w:val="000E3F3E"/>
    <w:rsid w:val="000F6135"/>
    <w:rsid w:val="00116B60"/>
    <w:rsid w:val="001347C2"/>
    <w:rsid w:val="0017021D"/>
    <w:rsid w:val="001776D5"/>
    <w:rsid w:val="00181D97"/>
    <w:rsid w:val="001A704B"/>
    <w:rsid w:val="001F5719"/>
    <w:rsid w:val="00242528"/>
    <w:rsid w:val="0026090D"/>
    <w:rsid w:val="00294E59"/>
    <w:rsid w:val="00305CE0"/>
    <w:rsid w:val="0031600D"/>
    <w:rsid w:val="00317D45"/>
    <w:rsid w:val="00342350"/>
    <w:rsid w:val="003434AE"/>
    <w:rsid w:val="003455D6"/>
    <w:rsid w:val="0039556B"/>
    <w:rsid w:val="003E640C"/>
    <w:rsid w:val="003F1C7A"/>
    <w:rsid w:val="004115E6"/>
    <w:rsid w:val="004145F0"/>
    <w:rsid w:val="00416C31"/>
    <w:rsid w:val="004305A9"/>
    <w:rsid w:val="00433654"/>
    <w:rsid w:val="00492E78"/>
    <w:rsid w:val="00494735"/>
    <w:rsid w:val="004D1E2A"/>
    <w:rsid w:val="004D3C4F"/>
    <w:rsid w:val="004D5613"/>
    <w:rsid w:val="00534EB8"/>
    <w:rsid w:val="00550A40"/>
    <w:rsid w:val="0056126E"/>
    <w:rsid w:val="00567487"/>
    <w:rsid w:val="005930A0"/>
    <w:rsid w:val="005A5875"/>
    <w:rsid w:val="005E508A"/>
    <w:rsid w:val="00617B63"/>
    <w:rsid w:val="0063328D"/>
    <w:rsid w:val="006456EE"/>
    <w:rsid w:val="00667AED"/>
    <w:rsid w:val="006859BA"/>
    <w:rsid w:val="006A1974"/>
    <w:rsid w:val="006C261E"/>
    <w:rsid w:val="006D4412"/>
    <w:rsid w:val="006E05BF"/>
    <w:rsid w:val="006F0F31"/>
    <w:rsid w:val="00701437"/>
    <w:rsid w:val="00723165"/>
    <w:rsid w:val="00727075"/>
    <w:rsid w:val="007513B4"/>
    <w:rsid w:val="00761243"/>
    <w:rsid w:val="00774A1F"/>
    <w:rsid w:val="0078502D"/>
    <w:rsid w:val="007933C5"/>
    <w:rsid w:val="007B59AB"/>
    <w:rsid w:val="007C5883"/>
    <w:rsid w:val="007C74E5"/>
    <w:rsid w:val="007D485F"/>
    <w:rsid w:val="007F2E98"/>
    <w:rsid w:val="00802249"/>
    <w:rsid w:val="00812FDA"/>
    <w:rsid w:val="00836B9F"/>
    <w:rsid w:val="008458EE"/>
    <w:rsid w:val="008A0BFF"/>
    <w:rsid w:val="008A1D22"/>
    <w:rsid w:val="008A7D8D"/>
    <w:rsid w:val="008B772B"/>
    <w:rsid w:val="008D0E0E"/>
    <w:rsid w:val="00904DC2"/>
    <w:rsid w:val="0094284A"/>
    <w:rsid w:val="009772C5"/>
    <w:rsid w:val="0098037D"/>
    <w:rsid w:val="00983815"/>
    <w:rsid w:val="00997993"/>
    <w:rsid w:val="00997CF3"/>
    <w:rsid w:val="009B66F0"/>
    <w:rsid w:val="009B7585"/>
    <w:rsid w:val="009C6669"/>
    <w:rsid w:val="00A8154A"/>
    <w:rsid w:val="00A94E32"/>
    <w:rsid w:val="00AE1E71"/>
    <w:rsid w:val="00B000DF"/>
    <w:rsid w:val="00B26481"/>
    <w:rsid w:val="00B5086E"/>
    <w:rsid w:val="00B52186"/>
    <w:rsid w:val="00B76F74"/>
    <w:rsid w:val="00B90503"/>
    <w:rsid w:val="00B94ED4"/>
    <w:rsid w:val="00BD1F7D"/>
    <w:rsid w:val="00BE0F20"/>
    <w:rsid w:val="00BE3A6D"/>
    <w:rsid w:val="00C01756"/>
    <w:rsid w:val="00C27F2E"/>
    <w:rsid w:val="00C71D71"/>
    <w:rsid w:val="00CA1DA6"/>
    <w:rsid w:val="00D53E93"/>
    <w:rsid w:val="00D565F8"/>
    <w:rsid w:val="00D613FF"/>
    <w:rsid w:val="00D7148F"/>
    <w:rsid w:val="00D742FB"/>
    <w:rsid w:val="00D84992"/>
    <w:rsid w:val="00D86984"/>
    <w:rsid w:val="00D94FAF"/>
    <w:rsid w:val="00DB13EF"/>
    <w:rsid w:val="00DC0E9F"/>
    <w:rsid w:val="00DE53DF"/>
    <w:rsid w:val="00E0661F"/>
    <w:rsid w:val="00E07DF2"/>
    <w:rsid w:val="00E2069C"/>
    <w:rsid w:val="00E367F1"/>
    <w:rsid w:val="00E457EA"/>
    <w:rsid w:val="00E735F5"/>
    <w:rsid w:val="00E82B37"/>
    <w:rsid w:val="00E91ABD"/>
    <w:rsid w:val="00E9374E"/>
    <w:rsid w:val="00EA0518"/>
    <w:rsid w:val="00EA67CB"/>
    <w:rsid w:val="00EF4D36"/>
    <w:rsid w:val="00F22F35"/>
    <w:rsid w:val="00F25409"/>
    <w:rsid w:val="00F4647B"/>
    <w:rsid w:val="00F477FA"/>
    <w:rsid w:val="00F60145"/>
    <w:rsid w:val="00F653C8"/>
    <w:rsid w:val="00F74687"/>
    <w:rsid w:val="00F80CEE"/>
    <w:rsid w:val="00F86A23"/>
    <w:rsid w:val="00FA50BE"/>
    <w:rsid w:val="00FC151F"/>
    <w:rsid w:val="00FF3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E7AC"/>
  <w15:chartTrackingRefBased/>
  <w15:docId w15:val="{884CED17-FB40-4380-80B1-039AD245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0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0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5BF"/>
    <w:rPr>
      <w:rFonts w:eastAsiaTheme="majorEastAsia" w:cstheme="majorBidi"/>
      <w:color w:val="272727" w:themeColor="text1" w:themeTint="D8"/>
    </w:rPr>
  </w:style>
  <w:style w:type="paragraph" w:styleId="Title">
    <w:name w:val="Title"/>
    <w:basedOn w:val="Normal"/>
    <w:next w:val="Normal"/>
    <w:link w:val="TitleChar"/>
    <w:uiPriority w:val="10"/>
    <w:qFormat/>
    <w:rsid w:val="006E0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5BF"/>
    <w:pPr>
      <w:spacing w:before="160"/>
      <w:jc w:val="center"/>
    </w:pPr>
    <w:rPr>
      <w:i/>
      <w:iCs/>
      <w:color w:val="404040" w:themeColor="text1" w:themeTint="BF"/>
    </w:rPr>
  </w:style>
  <w:style w:type="character" w:customStyle="1" w:styleId="QuoteChar">
    <w:name w:val="Quote Char"/>
    <w:basedOn w:val="DefaultParagraphFont"/>
    <w:link w:val="Quote"/>
    <w:uiPriority w:val="29"/>
    <w:rsid w:val="006E05BF"/>
    <w:rPr>
      <w:i/>
      <w:iCs/>
      <w:color w:val="404040" w:themeColor="text1" w:themeTint="BF"/>
    </w:rPr>
  </w:style>
  <w:style w:type="paragraph" w:styleId="ListParagraph">
    <w:name w:val="List Paragraph"/>
    <w:basedOn w:val="Normal"/>
    <w:uiPriority w:val="34"/>
    <w:qFormat/>
    <w:rsid w:val="006E05BF"/>
    <w:pPr>
      <w:ind w:left="720"/>
      <w:contextualSpacing/>
    </w:pPr>
  </w:style>
  <w:style w:type="character" w:styleId="IntenseEmphasis">
    <w:name w:val="Intense Emphasis"/>
    <w:basedOn w:val="DefaultParagraphFont"/>
    <w:uiPriority w:val="21"/>
    <w:qFormat/>
    <w:rsid w:val="006E05BF"/>
    <w:rPr>
      <w:i/>
      <w:iCs/>
      <w:color w:val="0F4761" w:themeColor="accent1" w:themeShade="BF"/>
    </w:rPr>
  </w:style>
  <w:style w:type="paragraph" w:styleId="IntenseQuote">
    <w:name w:val="Intense Quote"/>
    <w:basedOn w:val="Normal"/>
    <w:next w:val="Normal"/>
    <w:link w:val="IntenseQuoteChar"/>
    <w:uiPriority w:val="30"/>
    <w:qFormat/>
    <w:rsid w:val="006E0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5BF"/>
    <w:rPr>
      <w:i/>
      <w:iCs/>
      <w:color w:val="0F4761" w:themeColor="accent1" w:themeShade="BF"/>
    </w:rPr>
  </w:style>
  <w:style w:type="character" w:styleId="IntenseReference">
    <w:name w:val="Intense Reference"/>
    <w:basedOn w:val="DefaultParagraphFont"/>
    <w:uiPriority w:val="32"/>
    <w:qFormat/>
    <w:rsid w:val="006E05BF"/>
    <w:rPr>
      <w:b/>
      <w:bCs/>
      <w:smallCaps/>
      <w:color w:val="0F4761" w:themeColor="accent1" w:themeShade="BF"/>
      <w:spacing w:val="5"/>
    </w:rPr>
  </w:style>
  <w:style w:type="character" w:customStyle="1" w:styleId="normaltextrun">
    <w:name w:val="normaltextrun"/>
    <w:basedOn w:val="DefaultParagraphFont"/>
    <w:rsid w:val="006E05BF"/>
  </w:style>
  <w:style w:type="character" w:styleId="CommentReference">
    <w:name w:val="annotation reference"/>
    <w:basedOn w:val="DefaultParagraphFont"/>
    <w:uiPriority w:val="99"/>
    <w:semiHidden/>
    <w:unhideWhenUsed/>
    <w:rsid w:val="00C27F2E"/>
    <w:rPr>
      <w:sz w:val="16"/>
      <w:szCs w:val="16"/>
    </w:rPr>
  </w:style>
  <w:style w:type="paragraph" w:styleId="CommentText">
    <w:name w:val="annotation text"/>
    <w:basedOn w:val="Normal"/>
    <w:link w:val="CommentTextChar"/>
    <w:uiPriority w:val="99"/>
    <w:semiHidden/>
    <w:unhideWhenUsed/>
    <w:rsid w:val="00C27F2E"/>
    <w:pPr>
      <w:spacing w:line="240" w:lineRule="auto"/>
    </w:pPr>
    <w:rPr>
      <w:sz w:val="20"/>
      <w:szCs w:val="20"/>
    </w:rPr>
  </w:style>
  <w:style w:type="character" w:customStyle="1" w:styleId="CommentTextChar">
    <w:name w:val="Comment Text Char"/>
    <w:basedOn w:val="DefaultParagraphFont"/>
    <w:link w:val="CommentText"/>
    <w:uiPriority w:val="99"/>
    <w:semiHidden/>
    <w:rsid w:val="00C27F2E"/>
    <w:rPr>
      <w:sz w:val="20"/>
      <w:szCs w:val="20"/>
    </w:rPr>
  </w:style>
  <w:style w:type="paragraph" w:styleId="CommentSubject">
    <w:name w:val="annotation subject"/>
    <w:basedOn w:val="CommentText"/>
    <w:next w:val="CommentText"/>
    <w:link w:val="CommentSubjectChar"/>
    <w:uiPriority w:val="99"/>
    <w:semiHidden/>
    <w:unhideWhenUsed/>
    <w:rsid w:val="00C27F2E"/>
    <w:rPr>
      <w:b/>
      <w:bCs/>
    </w:rPr>
  </w:style>
  <w:style w:type="character" w:customStyle="1" w:styleId="CommentSubjectChar">
    <w:name w:val="Comment Subject Char"/>
    <w:basedOn w:val="CommentTextChar"/>
    <w:link w:val="CommentSubject"/>
    <w:uiPriority w:val="99"/>
    <w:semiHidden/>
    <w:rsid w:val="00C27F2E"/>
    <w:rPr>
      <w:b/>
      <w:bCs/>
      <w:sz w:val="20"/>
      <w:szCs w:val="20"/>
    </w:rPr>
  </w:style>
  <w:style w:type="paragraph" w:styleId="FootnoteText">
    <w:name w:val="footnote text"/>
    <w:basedOn w:val="Normal"/>
    <w:link w:val="FootnoteTextChar"/>
    <w:uiPriority w:val="99"/>
    <w:semiHidden/>
    <w:unhideWhenUsed/>
    <w:rsid w:val="00FA5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0BE"/>
    <w:rPr>
      <w:sz w:val="20"/>
      <w:szCs w:val="20"/>
    </w:rPr>
  </w:style>
  <w:style w:type="character" w:styleId="FootnoteReference">
    <w:name w:val="footnote reference"/>
    <w:basedOn w:val="DefaultParagraphFont"/>
    <w:uiPriority w:val="99"/>
    <w:semiHidden/>
    <w:unhideWhenUsed/>
    <w:rsid w:val="00FA50BE"/>
    <w:rPr>
      <w:vertAlign w:val="superscript"/>
    </w:rPr>
  </w:style>
  <w:style w:type="paragraph" w:styleId="Header">
    <w:name w:val="header"/>
    <w:basedOn w:val="Normal"/>
    <w:link w:val="HeaderChar"/>
    <w:uiPriority w:val="99"/>
    <w:unhideWhenUsed/>
    <w:rsid w:val="00942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84A"/>
  </w:style>
  <w:style w:type="paragraph" w:styleId="Footer">
    <w:name w:val="footer"/>
    <w:basedOn w:val="Normal"/>
    <w:link w:val="FooterChar"/>
    <w:uiPriority w:val="99"/>
    <w:unhideWhenUsed/>
    <w:rsid w:val="00942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84A"/>
  </w:style>
  <w:style w:type="character" w:styleId="PageNumber">
    <w:name w:val="page number"/>
    <w:basedOn w:val="DefaultParagraphFont"/>
    <w:uiPriority w:val="99"/>
    <w:semiHidden/>
    <w:unhideWhenUsed/>
    <w:rsid w:val="00774A1F"/>
  </w:style>
  <w:style w:type="paragraph" w:customStyle="1" w:styleId="paragraph">
    <w:name w:val="paragraph"/>
    <w:basedOn w:val="Normal"/>
    <w:rsid w:val="003434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cxw124604702">
    <w:name w:val="scxw124604702"/>
    <w:basedOn w:val="DefaultParagraphFont"/>
    <w:rsid w:val="003434AE"/>
  </w:style>
  <w:style w:type="character" w:customStyle="1" w:styleId="eop">
    <w:name w:val="eop"/>
    <w:basedOn w:val="DefaultParagraphFont"/>
    <w:rsid w:val="003434AE"/>
  </w:style>
  <w:style w:type="table" w:styleId="TableGrid">
    <w:name w:val="Table Grid"/>
    <w:basedOn w:val="TableNormal"/>
    <w:uiPriority w:val="39"/>
    <w:rsid w:val="00343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58743244">
    <w:name w:val="scxw58743244"/>
    <w:basedOn w:val="DefaultParagraphFont"/>
    <w:rsid w:val="00A94E32"/>
  </w:style>
  <w:style w:type="character" w:styleId="PlaceholderText">
    <w:name w:val="Placeholder Text"/>
    <w:basedOn w:val="DefaultParagraphFont"/>
    <w:uiPriority w:val="99"/>
    <w:semiHidden/>
    <w:rsid w:val="00D742FB"/>
    <w:rPr>
      <w:color w:val="666666"/>
    </w:rPr>
  </w:style>
  <w:style w:type="paragraph" w:customStyle="1" w:styleId="DocsID">
    <w:name w:val="DocsID"/>
    <w:basedOn w:val="Normal"/>
    <w:link w:val="DocsIDChar"/>
    <w:rsid w:val="00D742FB"/>
    <w:rPr>
      <w:color w:val="000000"/>
      <w:sz w:val="12"/>
      <w:lang w:val="en-CA"/>
    </w:rPr>
  </w:style>
  <w:style w:type="character" w:customStyle="1" w:styleId="DocsIDChar">
    <w:name w:val="DocsID Char"/>
    <w:basedOn w:val="DefaultParagraphFont"/>
    <w:link w:val="DocsID"/>
    <w:rsid w:val="00D742FB"/>
    <w:rPr>
      <w:color w:val="000000"/>
      <w:sz w:val="1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65355">
      <w:bodyDiv w:val="1"/>
      <w:marLeft w:val="0"/>
      <w:marRight w:val="0"/>
      <w:marTop w:val="0"/>
      <w:marBottom w:val="0"/>
      <w:divBdr>
        <w:top w:val="none" w:sz="0" w:space="0" w:color="auto"/>
        <w:left w:val="none" w:sz="0" w:space="0" w:color="auto"/>
        <w:bottom w:val="none" w:sz="0" w:space="0" w:color="auto"/>
        <w:right w:val="none" w:sz="0" w:space="0" w:color="auto"/>
      </w:divBdr>
      <w:divsChild>
        <w:div w:id="1499152760">
          <w:marLeft w:val="0"/>
          <w:marRight w:val="0"/>
          <w:marTop w:val="0"/>
          <w:marBottom w:val="0"/>
          <w:divBdr>
            <w:top w:val="none" w:sz="0" w:space="0" w:color="auto"/>
            <w:left w:val="none" w:sz="0" w:space="0" w:color="auto"/>
            <w:bottom w:val="none" w:sz="0" w:space="0" w:color="auto"/>
            <w:right w:val="none" w:sz="0" w:space="0" w:color="auto"/>
          </w:divBdr>
        </w:div>
        <w:div w:id="970135757">
          <w:marLeft w:val="0"/>
          <w:marRight w:val="0"/>
          <w:marTop w:val="0"/>
          <w:marBottom w:val="0"/>
          <w:divBdr>
            <w:top w:val="none" w:sz="0" w:space="0" w:color="auto"/>
            <w:left w:val="none" w:sz="0" w:space="0" w:color="auto"/>
            <w:bottom w:val="none" w:sz="0" w:space="0" w:color="auto"/>
            <w:right w:val="none" w:sz="0" w:space="0" w:color="auto"/>
          </w:divBdr>
        </w:div>
        <w:div w:id="1822235284">
          <w:marLeft w:val="0"/>
          <w:marRight w:val="0"/>
          <w:marTop w:val="0"/>
          <w:marBottom w:val="0"/>
          <w:divBdr>
            <w:top w:val="none" w:sz="0" w:space="0" w:color="auto"/>
            <w:left w:val="none" w:sz="0" w:space="0" w:color="auto"/>
            <w:bottom w:val="none" w:sz="0" w:space="0" w:color="auto"/>
            <w:right w:val="none" w:sz="0" w:space="0" w:color="auto"/>
          </w:divBdr>
        </w:div>
        <w:div w:id="627786357">
          <w:marLeft w:val="0"/>
          <w:marRight w:val="0"/>
          <w:marTop w:val="0"/>
          <w:marBottom w:val="0"/>
          <w:divBdr>
            <w:top w:val="none" w:sz="0" w:space="0" w:color="auto"/>
            <w:left w:val="none" w:sz="0" w:space="0" w:color="auto"/>
            <w:bottom w:val="none" w:sz="0" w:space="0" w:color="auto"/>
            <w:right w:val="none" w:sz="0" w:space="0" w:color="auto"/>
          </w:divBdr>
        </w:div>
      </w:divsChild>
    </w:div>
    <w:div w:id="688023583">
      <w:bodyDiv w:val="1"/>
      <w:marLeft w:val="0"/>
      <w:marRight w:val="0"/>
      <w:marTop w:val="0"/>
      <w:marBottom w:val="0"/>
      <w:divBdr>
        <w:top w:val="none" w:sz="0" w:space="0" w:color="auto"/>
        <w:left w:val="none" w:sz="0" w:space="0" w:color="auto"/>
        <w:bottom w:val="none" w:sz="0" w:space="0" w:color="auto"/>
        <w:right w:val="none" w:sz="0" w:space="0" w:color="auto"/>
      </w:divBdr>
    </w:div>
    <w:div w:id="741829810">
      <w:bodyDiv w:val="1"/>
      <w:marLeft w:val="0"/>
      <w:marRight w:val="0"/>
      <w:marTop w:val="0"/>
      <w:marBottom w:val="0"/>
      <w:divBdr>
        <w:top w:val="none" w:sz="0" w:space="0" w:color="auto"/>
        <w:left w:val="none" w:sz="0" w:space="0" w:color="auto"/>
        <w:bottom w:val="none" w:sz="0" w:space="0" w:color="auto"/>
        <w:right w:val="none" w:sz="0" w:space="0" w:color="auto"/>
      </w:divBdr>
    </w:div>
    <w:div w:id="1244996471">
      <w:bodyDiv w:val="1"/>
      <w:marLeft w:val="0"/>
      <w:marRight w:val="0"/>
      <w:marTop w:val="0"/>
      <w:marBottom w:val="0"/>
      <w:divBdr>
        <w:top w:val="none" w:sz="0" w:space="0" w:color="auto"/>
        <w:left w:val="none" w:sz="0" w:space="0" w:color="auto"/>
        <w:bottom w:val="none" w:sz="0" w:space="0" w:color="auto"/>
        <w:right w:val="none" w:sz="0" w:space="0" w:color="auto"/>
      </w:divBdr>
      <w:divsChild>
        <w:div w:id="2072653894">
          <w:marLeft w:val="0"/>
          <w:marRight w:val="0"/>
          <w:marTop w:val="0"/>
          <w:marBottom w:val="0"/>
          <w:divBdr>
            <w:top w:val="none" w:sz="0" w:space="0" w:color="auto"/>
            <w:left w:val="none" w:sz="0" w:space="0" w:color="auto"/>
            <w:bottom w:val="none" w:sz="0" w:space="0" w:color="auto"/>
            <w:right w:val="none" w:sz="0" w:space="0" w:color="auto"/>
          </w:divBdr>
        </w:div>
        <w:div w:id="1917125691">
          <w:marLeft w:val="0"/>
          <w:marRight w:val="0"/>
          <w:marTop w:val="0"/>
          <w:marBottom w:val="0"/>
          <w:divBdr>
            <w:top w:val="none" w:sz="0" w:space="0" w:color="auto"/>
            <w:left w:val="none" w:sz="0" w:space="0" w:color="auto"/>
            <w:bottom w:val="none" w:sz="0" w:space="0" w:color="auto"/>
            <w:right w:val="none" w:sz="0" w:space="0" w:color="auto"/>
          </w:divBdr>
        </w:div>
        <w:div w:id="1280180501">
          <w:marLeft w:val="0"/>
          <w:marRight w:val="0"/>
          <w:marTop w:val="0"/>
          <w:marBottom w:val="0"/>
          <w:divBdr>
            <w:top w:val="none" w:sz="0" w:space="0" w:color="auto"/>
            <w:left w:val="none" w:sz="0" w:space="0" w:color="auto"/>
            <w:bottom w:val="none" w:sz="0" w:space="0" w:color="auto"/>
            <w:right w:val="none" w:sz="0" w:space="0" w:color="auto"/>
          </w:divBdr>
        </w:div>
        <w:div w:id="6514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ACC3BF1-A6E1-4582-AD2C-AF6D7B03C736}"/>
      </w:docPartPr>
      <w:docPartBody>
        <w:p w:rsidR="00000000" w:rsidRDefault="0068164B">
          <w:r w:rsidRPr="005937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4B"/>
    <w:rsid w:val="0068164B"/>
    <w:rsid w:val="00997993"/>
    <w:rsid w:val="00ED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6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8d8a70-55d5-4828-a1cb-39c7a4ea1aa6">
      <Terms xmlns="http://schemas.microsoft.com/office/infopath/2007/PartnerControls"/>
    </lcf76f155ced4ddcb4097134ff3c332f>
    <TaxCatchAll xmlns="afebf44e-3847-4d5f-9a78-07f3492fbf0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16D136C44BEE41AC588AB04EEF8BC9" ma:contentTypeVersion="17" ma:contentTypeDescription="Create a new document." ma:contentTypeScope="" ma:versionID="570b4c3bd3cd8a8b8159e1eae1d11db0">
  <xsd:schema xmlns:xsd="http://www.w3.org/2001/XMLSchema" xmlns:xs="http://www.w3.org/2001/XMLSchema" xmlns:p="http://schemas.microsoft.com/office/2006/metadata/properties" xmlns:ns2="838d8a70-55d5-4828-a1cb-39c7a4ea1aa6" xmlns:ns3="afebf44e-3847-4d5f-9a78-07f3492fbf0b" targetNamespace="http://schemas.microsoft.com/office/2006/metadata/properties" ma:root="true" ma:fieldsID="cd6a08f9b189b62d1816eaad0d3ccfca" ns2:_="" ns3:_="">
    <xsd:import namespace="838d8a70-55d5-4828-a1cb-39c7a4ea1aa6"/>
    <xsd:import namespace="afebf44e-3847-4d5f-9a78-07f3492fbf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d8a70-55d5-4828-a1cb-39c7a4ea1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b30678-c39d-4978-b88d-bf256d84e78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bf44e-3847-4d5f-9a78-07f3492fbf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356211-8b1d-41ce-b4d5-45acda0bbce1}" ma:internalName="TaxCatchAll" ma:showField="CatchAllData" ma:web="afebf44e-3847-4d5f-9a78-07f3492fb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B72E6-80A3-43B2-AF57-5CB12CBF7B22}">
  <ds:schemaRefs>
    <ds:schemaRef ds:uri="http://schemas.microsoft.com/office/2006/metadata/properties"/>
    <ds:schemaRef ds:uri="http://schemas.microsoft.com/office/infopath/2007/PartnerControls"/>
    <ds:schemaRef ds:uri="838d8a70-55d5-4828-a1cb-39c7a4ea1aa6"/>
    <ds:schemaRef ds:uri="afebf44e-3847-4d5f-9a78-07f3492fbf0b"/>
  </ds:schemaRefs>
</ds:datastoreItem>
</file>

<file path=customXml/itemProps2.xml><?xml version="1.0" encoding="utf-8"?>
<ds:datastoreItem xmlns:ds="http://schemas.openxmlformats.org/officeDocument/2006/customXml" ds:itemID="{22612A57-BA2B-3949-A812-BAD5A7483F50}">
  <ds:schemaRefs>
    <ds:schemaRef ds:uri="http://schemas.openxmlformats.org/officeDocument/2006/bibliography"/>
  </ds:schemaRefs>
</ds:datastoreItem>
</file>

<file path=customXml/itemProps3.xml><?xml version="1.0" encoding="utf-8"?>
<ds:datastoreItem xmlns:ds="http://schemas.openxmlformats.org/officeDocument/2006/customXml" ds:itemID="{5D53823D-964B-4D0F-B300-F0A680AAB26D}">
  <ds:schemaRefs>
    <ds:schemaRef ds:uri="http://schemas.microsoft.com/sharepoint/v3/contenttype/forms"/>
  </ds:schemaRefs>
</ds:datastoreItem>
</file>

<file path=customXml/itemProps4.xml><?xml version="1.0" encoding="utf-8"?>
<ds:datastoreItem xmlns:ds="http://schemas.openxmlformats.org/officeDocument/2006/customXml" ds:itemID="{B003062F-1A95-4E70-B7DB-76C23B802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d8a70-55d5-4828-a1cb-39c7a4ea1aa6"/>
    <ds:schemaRef ds:uri="afebf44e-3847-4d5f-9a78-07f3492f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2049</Words>
  <Characters>11766</Characters>
  <Application>Microsoft Office Word</Application>
  <DocSecurity>0</DocSecurity>
  <Lines>178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Waterhouse</dc:creator>
  <cp:keywords/>
  <dc:description/>
  <cp:lastModifiedBy>Tavener, Cole</cp:lastModifiedBy>
  <cp:revision>3</cp:revision>
  <dcterms:created xsi:type="dcterms:W3CDTF">2025-07-17T17:26:00Z</dcterms:created>
  <dcterms:modified xsi:type="dcterms:W3CDTF">2025-07-17T17:47:00Z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0x0101005B16D136C44BEE41AC588AB04EEF8BC9</vt:lpwstr>
  </property>
  <property fmtid="{D5CDD505-2E9C-101B-9397-08002B2CF9AE}" pid="3" name="MediaServiceImageTags">
    <vt:lpwstr/>
  </property>
  <property fmtid="{D5CDD505-2E9C-101B-9397-08002B2CF9AE}" pid="4" name="WordLXNoDocIdAutoUpdate">
    <vt:lpwstr>False</vt:lpwstr>
  </property>
  <property fmtid="{D5CDD505-2E9C-101B-9397-08002B2CF9AE}" pid="5" name="DOCUMENTID-SETTINGS">
    <vt:lpwstr>0</vt:lpwstr>
  </property>
</Properties>
</file>