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0584" w14:textId="77777777" w:rsidR="0014258A" w:rsidRPr="000D762F" w:rsidRDefault="0014258A" w:rsidP="0014258A">
      <w:pPr>
        <w:spacing w:after="160"/>
        <w:jc w:val="center"/>
        <w:rPr>
          <w:rFonts w:ascii="Arial" w:hAnsi="Arial" w:cs="Arial"/>
          <w:b/>
          <w:bCs/>
          <w:sz w:val="24"/>
          <w:szCs w:val="24"/>
          <w:highlight w:val="yellow"/>
        </w:rPr>
      </w:pPr>
      <w:bookmarkStart w:id="0" w:name="_Hlk136869431"/>
      <w:r w:rsidRPr="000D762F">
        <w:rPr>
          <w:rFonts w:ascii="Arial" w:hAnsi="Arial" w:cs="Arial"/>
          <w:b/>
          <w:bCs/>
          <w:sz w:val="24"/>
          <w:szCs w:val="24"/>
        </w:rPr>
        <w:t>OEB Staff Pre-ADR</w:t>
      </w:r>
    </w:p>
    <w:p w14:paraId="30138214" w14:textId="77777777" w:rsidR="0014258A" w:rsidRPr="000D762F" w:rsidRDefault="0014258A" w:rsidP="0014258A">
      <w:pPr>
        <w:spacing w:after="0"/>
        <w:jc w:val="center"/>
        <w:rPr>
          <w:rFonts w:ascii="Arial" w:hAnsi="Arial" w:cs="Arial"/>
          <w:b/>
          <w:bCs/>
          <w:sz w:val="24"/>
          <w:szCs w:val="24"/>
        </w:rPr>
      </w:pPr>
      <w:bookmarkStart w:id="1" w:name="App_Name_2"/>
      <w:bookmarkEnd w:id="1"/>
      <w:r w:rsidRPr="000D762F">
        <w:rPr>
          <w:rFonts w:ascii="Arial" w:hAnsi="Arial" w:cs="Arial"/>
          <w:b/>
          <w:bCs/>
          <w:sz w:val="24"/>
          <w:szCs w:val="24"/>
        </w:rPr>
        <w:t>2026 Electricity Distribution Rates Application</w:t>
      </w:r>
    </w:p>
    <w:p w14:paraId="77720D08" w14:textId="77777777" w:rsidR="0014258A" w:rsidRPr="000D762F" w:rsidRDefault="0014258A" w:rsidP="0014258A">
      <w:pPr>
        <w:spacing w:after="0"/>
        <w:ind w:left="720" w:hanging="720"/>
        <w:jc w:val="center"/>
        <w:rPr>
          <w:rFonts w:ascii="Arial" w:eastAsia="Times New Roman" w:hAnsi="Arial" w:cs="Arial"/>
          <w:b/>
          <w:sz w:val="24"/>
          <w:szCs w:val="24"/>
          <w:lang w:val="en-US"/>
        </w:rPr>
      </w:pPr>
      <w:bookmarkStart w:id="2" w:name="LDC_LName_2"/>
      <w:bookmarkStart w:id="3" w:name="Case_Num_2"/>
      <w:bookmarkEnd w:id="2"/>
      <w:bookmarkEnd w:id="3"/>
      <w:r w:rsidRPr="000D762F">
        <w:rPr>
          <w:rFonts w:ascii="Arial" w:eastAsia="Times New Roman" w:hAnsi="Arial" w:cs="Times New Roman"/>
          <w:b/>
          <w:sz w:val="24"/>
          <w:szCs w:val="24"/>
          <w:lang w:val="en-US"/>
        </w:rPr>
        <w:t>Burlington Hydro</w:t>
      </w:r>
    </w:p>
    <w:p w14:paraId="6D6AEEF4" w14:textId="77777777" w:rsidR="0014258A" w:rsidRPr="000D762F" w:rsidRDefault="0014258A" w:rsidP="0014258A">
      <w:pPr>
        <w:spacing w:after="0"/>
        <w:jc w:val="center"/>
        <w:rPr>
          <w:rFonts w:ascii="Arial" w:hAnsi="Arial" w:cs="Arial"/>
          <w:b/>
          <w:bCs/>
          <w:sz w:val="24"/>
          <w:szCs w:val="24"/>
        </w:rPr>
      </w:pPr>
      <w:r w:rsidRPr="000D762F">
        <w:rPr>
          <w:rFonts w:ascii="Arial" w:hAnsi="Arial" w:cs="Arial"/>
          <w:b/>
          <w:bCs/>
          <w:sz w:val="24"/>
          <w:szCs w:val="24"/>
        </w:rPr>
        <w:t>EB-2025-0051</w:t>
      </w:r>
    </w:p>
    <w:p w14:paraId="3A5DFB01" w14:textId="77777777" w:rsidR="0014258A" w:rsidRPr="000D762F" w:rsidRDefault="0014258A" w:rsidP="0014258A">
      <w:pPr>
        <w:spacing w:after="0"/>
        <w:rPr>
          <w:rFonts w:ascii="Arial" w:hAnsi="Arial" w:cs="Arial"/>
          <w:sz w:val="24"/>
          <w:szCs w:val="24"/>
        </w:rPr>
      </w:pPr>
    </w:p>
    <w:p w14:paraId="427332A6" w14:textId="77777777" w:rsidR="0014258A" w:rsidRPr="000D762F" w:rsidRDefault="0014258A" w:rsidP="0014258A">
      <w:pPr>
        <w:spacing w:after="0"/>
        <w:rPr>
          <w:rFonts w:ascii="Arial" w:hAnsi="Arial" w:cs="Arial"/>
          <w:b/>
          <w:sz w:val="24"/>
          <w:szCs w:val="24"/>
        </w:rPr>
      </w:pPr>
    </w:p>
    <w:p w14:paraId="586AE99D"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Staff-96</w:t>
      </w:r>
    </w:p>
    <w:p w14:paraId="189107AD"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Primary station switchgear</w:t>
      </w:r>
    </w:p>
    <w:p w14:paraId="0EE030F2"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 xml:space="preserve">Ref 1: DSP Appendix A: Material Investment Summary Documents, Material Investment Summary for Switchgear Replacement and Substation Automation </w:t>
      </w:r>
    </w:p>
    <w:p w14:paraId="49C27720"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Ref 2: Response to 2-Intervenor-63</w:t>
      </w:r>
    </w:p>
    <w:p w14:paraId="4460DDD7" w14:textId="77777777" w:rsidR="0014258A" w:rsidRPr="000D762F" w:rsidRDefault="0014258A" w:rsidP="0014258A">
      <w:pPr>
        <w:rPr>
          <w:rFonts w:ascii="Arial" w:hAnsi="Arial" w:cs="Arial"/>
          <w:sz w:val="24"/>
          <w:szCs w:val="24"/>
        </w:rPr>
      </w:pPr>
    </w:p>
    <w:p w14:paraId="532B6B6E" w14:textId="77777777" w:rsidR="0014258A" w:rsidRPr="000D762F" w:rsidRDefault="0014258A" w:rsidP="0014258A">
      <w:pPr>
        <w:rPr>
          <w:rFonts w:ascii="Arial" w:hAnsi="Arial" w:cs="Arial"/>
          <w:b/>
          <w:bCs/>
          <w:sz w:val="24"/>
          <w:szCs w:val="24"/>
        </w:rPr>
      </w:pPr>
      <w:r w:rsidRPr="000D762F">
        <w:rPr>
          <w:rFonts w:ascii="Arial" w:hAnsi="Arial" w:cs="Arial"/>
          <w:b/>
          <w:bCs/>
          <w:sz w:val="24"/>
          <w:szCs w:val="24"/>
        </w:rPr>
        <w:t>Question(s):</w:t>
      </w:r>
    </w:p>
    <w:p w14:paraId="43C52B22" w14:textId="77777777" w:rsidR="0014258A" w:rsidRPr="000D762F" w:rsidRDefault="0014258A" w:rsidP="0014258A">
      <w:pPr>
        <w:pStyle w:val="ListParagraph"/>
        <w:numPr>
          <w:ilvl w:val="0"/>
          <w:numId w:val="18"/>
        </w:numPr>
        <w:spacing w:after="160"/>
        <w:rPr>
          <w:rFonts w:ascii="Arial" w:hAnsi="Arial" w:cs="Arial"/>
          <w:sz w:val="24"/>
          <w:szCs w:val="24"/>
        </w:rPr>
      </w:pPr>
      <w:r w:rsidRPr="000D762F">
        <w:rPr>
          <w:rFonts w:ascii="Arial" w:hAnsi="Arial" w:cs="Arial"/>
          <w:sz w:val="24"/>
          <w:szCs w:val="24"/>
        </w:rPr>
        <w:t>At reference 1, Burlington Hydro states that it plans to replace one to two primary station switchgear annually over the DSP period. At reference 2 in Table 1, table 1 shows that it plans to replace four switchgears in 2026 and three each year in the remainder of the term. Please confirm how many switchgears Burlington Hydro Plans to replace each year from 2026-2030.</w:t>
      </w:r>
    </w:p>
    <w:p w14:paraId="781DFEEF"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Staff-97</w:t>
      </w:r>
    </w:p>
    <w:p w14:paraId="31CA0173"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Capital contributions</w:t>
      </w:r>
    </w:p>
    <w:p w14:paraId="2DA65E89"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Ref 1: Response to 2-Staff-4</w:t>
      </w:r>
    </w:p>
    <w:p w14:paraId="62858BBA" w14:textId="372C22C8" w:rsidR="0014258A" w:rsidRPr="000D762F" w:rsidRDefault="0014258A" w:rsidP="0014258A">
      <w:pPr>
        <w:rPr>
          <w:rFonts w:ascii="Arial" w:hAnsi="Arial" w:cs="Arial"/>
          <w:b/>
          <w:bCs/>
          <w:sz w:val="24"/>
          <w:szCs w:val="24"/>
        </w:rPr>
      </w:pPr>
      <w:r w:rsidRPr="000D762F">
        <w:rPr>
          <w:rFonts w:ascii="Arial" w:hAnsi="Arial" w:cs="Arial"/>
          <w:b/>
          <w:bCs/>
          <w:sz w:val="24"/>
          <w:szCs w:val="24"/>
        </w:rPr>
        <w:t xml:space="preserve">Question(s): </w:t>
      </w:r>
    </w:p>
    <w:p w14:paraId="16F60E5B" w14:textId="1A4214B4" w:rsidR="0014258A" w:rsidRPr="000D762F" w:rsidRDefault="0014258A" w:rsidP="004C1D5A">
      <w:pPr>
        <w:pStyle w:val="ListParagraph"/>
        <w:numPr>
          <w:ilvl w:val="0"/>
          <w:numId w:val="19"/>
        </w:numPr>
        <w:spacing w:after="160"/>
        <w:rPr>
          <w:sz w:val="24"/>
          <w:szCs w:val="24"/>
        </w:rPr>
      </w:pPr>
      <w:r w:rsidRPr="000D762F">
        <w:rPr>
          <w:rFonts w:ascii="Arial" w:hAnsi="Arial" w:cs="Arial"/>
          <w:sz w:val="24"/>
          <w:szCs w:val="24"/>
        </w:rPr>
        <w:t xml:space="preserve">Please explain </w:t>
      </w:r>
      <w:r w:rsidR="004C1D5A" w:rsidRPr="000D762F">
        <w:rPr>
          <w:rFonts w:ascii="Arial" w:hAnsi="Arial" w:cs="Arial"/>
          <w:sz w:val="24"/>
          <w:szCs w:val="24"/>
        </w:rPr>
        <w:t xml:space="preserve">how the capital contribution for the </w:t>
      </w:r>
      <w:r w:rsidR="00B34741" w:rsidRPr="000D762F">
        <w:rPr>
          <w:rFonts w:ascii="Arial" w:hAnsi="Arial" w:cs="Arial"/>
          <w:sz w:val="24"/>
          <w:szCs w:val="24"/>
        </w:rPr>
        <w:t>Major Transit Station Area Development</w:t>
      </w:r>
      <w:r w:rsidR="00784A6A" w:rsidRPr="000D762F">
        <w:rPr>
          <w:rFonts w:ascii="Arial" w:hAnsi="Arial" w:cs="Arial"/>
          <w:sz w:val="24"/>
          <w:szCs w:val="24"/>
        </w:rPr>
        <w:t xml:space="preserve"> project </w:t>
      </w:r>
      <w:r w:rsidR="004C1D5A" w:rsidRPr="000D762F">
        <w:rPr>
          <w:rFonts w:ascii="Arial" w:hAnsi="Arial" w:cs="Arial"/>
          <w:sz w:val="24"/>
          <w:szCs w:val="24"/>
        </w:rPr>
        <w:t>was calculated.</w:t>
      </w:r>
      <w:r w:rsidR="00DF4154" w:rsidRPr="000D762F">
        <w:rPr>
          <w:rFonts w:ascii="Arial" w:hAnsi="Arial" w:cs="Arial"/>
          <w:sz w:val="24"/>
          <w:szCs w:val="24"/>
        </w:rPr>
        <w:t xml:space="preserve"> </w:t>
      </w:r>
    </w:p>
    <w:p w14:paraId="65F9ACDC" w14:textId="77777777" w:rsidR="00784A6A" w:rsidRPr="000D762F" w:rsidRDefault="00784A6A" w:rsidP="0014258A">
      <w:pPr>
        <w:spacing w:after="0"/>
        <w:rPr>
          <w:rFonts w:ascii="Arial" w:hAnsi="Arial" w:cs="Arial"/>
          <w:b/>
          <w:bCs/>
          <w:sz w:val="24"/>
          <w:szCs w:val="24"/>
        </w:rPr>
      </w:pPr>
    </w:p>
    <w:p w14:paraId="0E1B97FA" w14:textId="59D1F039"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Staff-</w:t>
      </w:r>
      <w:r w:rsidR="00E77ABC" w:rsidRPr="000D762F">
        <w:rPr>
          <w:rFonts w:ascii="Arial" w:hAnsi="Arial" w:cs="Arial"/>
          <w:b/>
          <w:bCs/>
          <w:sz w:val="24"/>
          <w:szCs w:val="24"/>
        </w:rPr>
        <w:t>98</w:t>
      </w:r>
    </w:p>
    <w:p w14:paraId="53A20C7D"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Previously approved ICM funding</w:t>
      </w:r>
    </w:p>
    <w:p w14:paraId="0AC5F9DF"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Ref 1: Response to 2-Staff-19</w:t>
      </w:r>
    </w:p>
    <w:p w14:paraId="680F870C" w14:textId="77777777" w:rsidR="0014258A" w:rsidRPr="000D762F" w:rsidRDefault="0014258A" w:rsidP="0014258A">
      <w:pPr>
        <w:rPr>
          <w:rFonts w:ascii="Arial" w:hAnsi="Arial" w:cs="Arial"/>
          <w:b/>
          <w:bCs/>
          <w:sz w:val="24"/>
          <w:szCs w:val="24"/>
        </w:rPr>
      </w:pPr>
      <w:r w:rsidRPr="000D762F">
        <w:rPr>
          <w:rFonts w:ascii="Arial" w:hAnsi="Arial" w:cs="Arial"/>
          <w:b/>
          <w:bCs/>
          <w:sz w:val="24"/>
          <w:szCs w:val="24"/>
        </w:rPr>
        <w:t xml:space="preserve">Question(s): </w:t>
      </w:r>
    </w:p>
    <w:p w14:paraId="36BCC98D" w14:textId="77777777" w:rsidR="0014258A" w:rsidRPr="000D762F" w:rsidRDefault="0014258A" w:rsidP="0014258A">
      <w:pPr>
        <w:pStyle w:val="Default"/>
        <w:numPr>
          <w:ilvl w:val="0"/>
          <w:numId w:val="20"/>
        </w:numPr>
        <w:spacing w:line="276" w:lineRule="auto"/>
        <w:rPr>
          <w:b/>
          <w:bCs/>
        </w:rPr>
      </w:pPr>
      <w:r w:rsidRPr="000D762F">
        <w:t>Please explain the reasons for the revised in-service date for the Dundas Street Road Widening project (Northampton Boulevard to Guelph Line section), which has been deferred from 2025 to 2026.</w:t>
      </w:r>
    </w:p>
    <w:p w14:paraId="038CF92C" w14:textId="77777777" w:rsidR="0014258A" w:rsidRPr="000D762F" w:rsidRDefault="0014258A" w:rsidP="0014258A">
      <w:pPr>
        <w:pStyle w:val="Default"/>
        <w:numPr>
          <w:ilvl w:val="0"/>
          <w:numId w:val="20"/>
        </w:numPr>
        <w:spacing w:line="276" w:lineRule="auto"/>
        <w:rPr>
          <w:b/>
          <w:bCs/>
        </w:rPr>
      </w:pPr>
      <w:r w:rsidRPr="000D762F">
        <w:t xml:space="preserve">Please summarize the original scope of work planned for completion in 2025 for the Northampton Boulevard to Guelph Line </w:t>
      </w:r>
      <w:proofErr w:type="gramStart"/>
      <w:r w:rsidRPr="000D762F">
        <w:t>section, and</w:t>
      </w:r>
      <w:proofErr w:type="gramEnd"/>
      <w:r w:rsidRPr="000D762F">
        <w:t xml:space="preserve"> outline any changes to the scope resulting from the revised 2026 in-service date.</w:t>
      </w:r>
    </w:p>
    <w:p w14:paraId="523FC362" w14:textId="77777777" w:rsidR="0014258A" w:rsidRPr="000D762F" w:rsidRDefault="0014258A" w:rsidP="0014258A">
      <w:pPr>
        <w:pStyle w:val="Default"/>
        <w:numPr>
          <w:ilvl w:val="0"/>
          <w:numId w:val="20"/>
        </w:numPr>
        <w:spacing w:line="276" w:lineRule="auto"/>
      </w:pPr>
      <w:r w:rsidRPr="000D762F">
        <w:t xml:space="preserve">Please clarify the factors that led to the change in the project cost for the Dundas Street Road Widening project (Northampton Boulevard to Guelph Line and Guelph Line to Kerns Road sections) as provided in Chapter 2 Appendices from the </w:t>
      </w:r>
      <w:proofErr w:type="spellStart"/>
      <w:r w:rsidRPr="000D762F">
        <w:t>prefiled</w:t>
      </w:r>
      <w:proofErr w:type="spellEnd"/>
      <w:r w:rsidRPr="000D762F">
        <w:t xml:space="preserve"> evidence to the response to 1-Staff-01: </w:t>
      </w:r>
    </w:p>
    <w:p w14:paraId="73375B7E" w14:textId="77777777" w:rsidR="0014258A" w:rsidRPr="000D762F" w:rsidRDefault="0014258A" w:rsidP="0014258A">
      <w:pPr>
        <w:pStyle w:val="Default"/>
        <w:numPr>
          <w:ilvl w:val="1"/>
          <w:numId w:val="20"/>
        </w:numPr>
        <w:spacing w:line="276" w:lineRule="auto"/>
      </w:pPr>
      <w:r w:rsidRPr="000D762F">
        <w:t>Northampton Boulevard to Guelph Line: $4.09M (</w:t>
      </w:r>
      <w:proofErr w:type="spellStart"/>
      <w:r w:rsidRPr="000D762F">
        <w:t>prefiled</w:t>
      </w:r>
      <w:proofErr w:type="spellEnd"/>
      <w:r w:rsidRPr="000D762F">
        <w:t xml:space="preserve"> evidence) to $3.79M (response to 1-Staff-01)</w:t>
      </w:r>
    </w:p>
    <w:p w14:paraId="2DBDE942" w14:textId="77777777" w:rsidR="0014258A" w:rsidRPr="000D762F" w:rsidRDefault="0014258A" w:rsidP="0014258A">
      <w:pPr>
        <w:pStyle w:val="Default"/>
        <w:numPr>
          <w:ilvl w:val="1"/>
          <w:numId w:val="20"/>
        </w:numPr>
        <w:spacing w:line="276" w:lineRule="auto"/>
      </w:pPr>
      <w:r w:rsidRPr="000D762F">
        <w:t>Guelph Line to Kerns Rd.: $8.06M (</w:t>
      </w:r>
      <w:proofErr w:type="spellStart"/>
      <w:r w:rsidRPr="000D762F">
        <w:t>prefiled</w:t>
      </w:r>
      <w:proofErr w:type="spellEnd"/>
      <w:r w:rsidRPr="000D762F">
        <w:t xml:space="preserve"> evidence) to $9.18M (response to 1-Staff-01)</w:t>
      </w:r>
    </w:p>
    <w:p w14:paraId="69AA65CF" w14:textId="77777777" w:rsidR="0014258A" w:rsidRPr="000D762F" w:rsidRDefault="0014258A" w:rsidP="0014258A">
      <w:pPr>
        <w:pStyle w:val="Default"/>
        <w:numPr>
          <w:ilvl w:val="0"/>
          <w:numId w:val="20"/>
        </w:numPr>
        <w:spacing w:line="276" w:lineRule="auto"/>
      </w:pPr>
      <w:r w:rsidRPr="000D762F">
        <w:t>Please provide a detailed project schedule and cost breakdown for the Dundas Street Road Widening project (Northampton Boulevard to Guelph Line and Guelph Line to Kerns Road sections), including key milestones, forecasted quarterly expenditures, and the expected in-service date.</w:t>
      </w:r>
    </w:p>
    <w:p w14:paraId="4910B86D" w14:textId="77777777" w:rsidR="0014258A" w:rsidRPr="000D762F" w:rsidRDefault="0014258A" w:rsidP="0014258A">
      <w:pPr>
        <w:pStyle w:val="Default"/>
        <w:numPr>
          <w:ilvl w:val="0"/>
          <w:numId w:val="20"/>
        </w:numPr>
        <w:spacing w:line="276" w:lineRule="auto"/>
      </w:pPr>
      <w:r w:rsidRPr="000D762F">
        <w:t>Does Burlington Hydro anticipate any further delays to the Dundas Street Road Widening project (Northampton Boulevard to Guelph Line and Guelph Line to Kerns Road sections)? If so, please provide details.</w:t>
      </w:r>
    </w:p>
    <w:p w14:paraId="217FFB9A" w14:textId="203C1FBA" w:rsidR="0014258A" w:rsidRPr="000D762F" w:rsidRDefault="0014258A" w:rsidP="0014258A">
      <w:pPr>
        <w:pStyle w:val="Default"/>
        <w:numPr>
          <w:ilvl w:val="0"/>
          <w:numId w:val="20"/>
        </w:numPr>
        <w:spacing w:line="276" w:lineRule="auto"/>
      </w:pPr>
      <w:r w:rsidRPr="000D762F">
        <w:t xml:space="preserve">Please explain </w:t>
      </w:r>
      <w:r w:rsidR="00570154" w:rsidRPr="000D762F">
        <w:t>if</w:t>
      </w:r>
      <w:r w:rsidRPr="000D762F">
        <w:t xml:space="preserve"> </w:t>
      </w:r>
      <w:r w:rsidR="0041467C" w:rsidRPr="000D762F">
        <w:t xml:space="preserve">the project </w:t>
      </w:r>
      <w:r w:rsidRPr="000D762F">
        <w:t xml:space="preserve">delay </w:t>
      </w:r>
      <w:r w:rsidR="0041467C" w:rsidRPr="000D762F">
        <w:t xml:space="preserve">will result in credits to customers </w:t>
      </w:r>
      <w:r w:rsidR="005654B1" w:rsidRPr="000D762F">
        <w:t>refunding</w:t>
      </w:r>
      <w:r w:rsidR="009A3D4F" w:rsidRPr="000D762F">
        <w:t xml:space="preserve"> </w:t>
      </w:r>
      <w:r w:rsidRPr="000D762F">
        <w:t>the ICM funding already collected from customers.</w:t>
      </w:r>
    </w:p>
    <w:p w14:paraId="45E3F9CB" w14:textId="77777777" w:rsidR="0014258A" w:rsidRPr="000D762F" w:rsidRDefault="0014258A" w:rsidP="0014258A">
      <w:pPr>
        <w:pStyle w:val="Default"/>
        <w:spacing w:line="276" w:lineRule="auto"/>
      </w:pPr>
      <w:r w:rsidRPr="000D762F">
        <w:rPr>
          <w:b/>
          <w:bCs/>
        </w:rPr>
        <w:t xml:space="preserve"> </w:t>
      </w:r>
    </w:p>
    <w:p w14:paraId="5BB360C0" w14:textId="238BF99E"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99</w:t>
      </w:r>
    </w:p>
    <w:p w14:paraId="0B9384D6" w14:textId="7777777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Fixed asset - Capitalization</w:t>
      </w:r>
    </w:p>
    <w:p w14:paraId="355BCC7A" w14:textId="77777777" w:rsidR="0014258A" w:rsidRPr="000D762F" w:rsidRDefault="0014258A" w:rsidP="0014258A">
      <w:pPr>
        <w:spacing w:after="0"/>
        <w:contextualSpacing/>
        <w:rPr>
          <w:rStyle w:val="normaltextrun"/>
          <w:rFonts w:ascii="Arial" w:hAnsi="Arial" w:cs="Arial"/>
          <w:b/>
          <w:bCs/>
          <w:sz w:val="24"/>
          <w:szCs w:val="24"/>
        </w:rPr>
      </w:pPr>
      <w:r w:rsidRPr="000D762F">
        <w:rPr>
          <w:rFonts w:ascii="Arial" w:hAnsi="Arial" w:cs="Arial"/>
          <w:b/>
          <w:sz w:val="24"/>
          <w:szCs w:val="24"/>
        </w:rPr>
        <w:t xml:space="preserve">Ref 1: </w:t>
      </w:r>
      <w:r w:rsidRPr="000D762F">
        <w:rPr>
          <w:rStyle w:val="normaltextrun"/>
          <w:rFonts w:ascii="Arial" w:hAnsi="Arial" w:cs="Arial"/>
          <w:b/>
          <w:bCs/>
          <w:sz w:val="24"/>
          <w:szCs w:val="24"/>
        </w:rPr>
        <w:t>BHI_IRR_Staff_07242025, 2-Staff-27</w:t>
      </w:r>
    </w:p>
    <w:p w14:paraId="1DC029C8" w14:textId="7777777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Ref 2: APH (Accounting Procedures handbook Dec 2011), Article 410, Part a &amp; b</w:t>
      </w:r>
    </w:p>
    <w:p w14:paraId="700F9FBE" w14:textId="7777777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Ref 3: Chapter 2 Filing Requirements for Electricity Distribution Rate Applications - 2025 Edition for 2026 Rate Applications, December 9, 2024, Section 2.2.2, p.18</w:t>
      </w:r>
    </w:p>
    <w:p w14:paraId="22701DCF" w14:textId="77777777" w:rsidR="0014258A" w:rsidRPr="000D762F" w:rsidRDefault="0014258A" w:rsidP="0014258A">
      <w:pPr>
        <w:spacing w:after="0"/>
        <w:contextualSpacing/>
        <w:rPr>
          <w:rFonts w:ascii="Arial" w:hAnsi="Arial" w:cs="Arial"/>
          <w:b/>
          <w:sz w:val="24"/>
          <w:szCs w:val="24"/>
        </w:rPr>
      </w:pPr>
    </w:p>
    <w:p w14:paraId="42344353"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Preamble:</w:t>
      </w:r>
    </w:p>
    <w:p w14:paraId="6A0798AC" w14:textId="77777777" w:rsidR="0014258A" w:rsidRPr="000D762F" w:rsidRDefault="0014258A" w:rsidP="0014258A">
      <w:pPr>
        <w:spacing w:after="0"/>
        <w:ind w:left="720"/>
        <w:rPr>
          <w:rFonts w:ascii="Arial" w:hAnsi="Arial" w:cs="Arial"/>
          <w:sz w:val="24"/>
          <w:szCs w:val="24"/>
        </w:rPr>
      </w:pPr>
    </w:p>
    <w:p w14:paraId="4078F04D" w14:textId="77777777" w:rsidR="0014258A" w:rsidRPr="000D762F" w:rsidRDefault="0014258A" w:rsidP="0014258A">
      <w:pPr>
        <w:spacing w:after="0"/>
        <w:rPr>
          <w:rFonts w:ascii="Arial" w:hAnsi="Arial" w:cs="Arial"/>
          <w:sz w:val="24"/>
          <w:szCs w:val="24"/>
          <w:lang w:val="en-US"/>
        </w:rPr>
      </w:pPr>
      <w:r w:rsidRPr="000D762F">
        <w:rPr>
          <w:rFonts w:ascii="Arial" w:hAnsi="Arial" w:cs="Arial"/>
          <w:sz w:val="24"/>
          <w:szCs w:val="24"/>
        </w:rPr>
        <w:t xml:space="preserve">In Ref 1, Burlington Hydro states </w:t>
      </w:r>
      <w:r w:rsidRPr="000D762F">
        <w:rPr>
          <w:rFonts w:ascii="Arial" w:hAnsi="Arial" w:cs="Arial"/>
          <w:sz w:val="24"/>
          <w:szCs w:val="24"/>
          <w:lang w:val="en-US"/>
        </w:rPr>
        <w:t xml:space="preserve">that its assets do not meet the definition of a qualifying asset, nor are the borrowing costs directly attributable to the acquisition, construction or production of that asset. It also states that the interest costs associated with the debt cannot be directly attributed to a specific asset. </w:t>
      </w:r>
      <w:r w:rsidRPr="000D762F">
        <w:rPr>
          <w:rFonts w:ascii="Arial" w:hAnsi="Arial" w:cs="Arial"/>
          <w:sz w:val="24"/>
          <w:szCs w:val="24"/>
        </w:rPr>
        <w:t>Burlington Hydro</w:t>
      </w:r>
      <w:r w:rsidRPr="000D762F">
        <w:rPr>
          <w:rFonts w:ascii="Arial" w:hAnsi="Arial" w:cs="Arial"/>
          <w:sz w:val="24"/>
          <w:szCs w:val="24"/>
          <w:lang w:val="en-US"/>
        </w:rPr>
        <w:t xml:space="preserve"> expenses interest on long-term debt in USoA 6605 which is not included in any components of revenue requirement.</w:t>
      </w:r>
    </w:p>
    <w:p w14:paraId="7AA79070" w14:textId="77777777" w:rsidR="0014258A" w:rsidRPr="000D762F" w:rsidRDefault="0014258A" w:rsidP="0014258A">
      <w:pPr>
        <w:spacing w:after="0"/>
        <w:rPr>
          <w:rFonts w:ascii="Arial" w:hAnsi="Arial" w:cs="Arial"/>
          <w:sz w:val="24"/>
          <w:szCs w:val="24"/>
          <w:lang w:val="en-US"/>
        </w:rPr>
      </w:pPr>
    </w:p>
    <w:p w14:paraId="42B09220" w14:textId="77777777" w:rsidR="00DB4A41" w:rsidRDefault="00DB4A41" w:rsidP="0014258A">
      <w:pPr>
        <w:spacing w:after="0"/>
        <w:rPr>
          <w:rFonts w:ascii="Arial" w:hAnsi="Arial" w:cs="Arial"/>
          <w:b/>
          <w:bCs/>
          <w:sz w:val="24"/>
          <w:szCs w:val="24"/>
        </w:rPr>
      </w:pPr>
    </w:p>
    <w:p w14:paraId="095D0A0F" w14:textId="0EA09CEB"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51578E2E" w14:textId="77777777" w:rsidR="0014258A" w:rsidRPr="000D762F" w:rsidRDefault="0014258A" w:rsidP="0014258A">
      <w:pPr>
        <w:spacing w:after="0"/>
        <w:rPr>
          <w:rFonts w:ascii="Arial" w:hAnsi="Arial" w:cs="Arial"/>
          <w:b/>
          <w:bCs/>
          <w:sz w:val="24"/>
          <w:szCs w:val="24"/>
        </w:rPr>
      </w:pPr>
    </w:p>
    <w:p w14:paraId="26F66569" w14:textId="77777777" w:rsidR="0014258A" w:rsidRPr="000D762F" w:rsidRDefault="0014258A" w:rsidP="0014258A">
      <w:pPr>
        <w:pStyle w:val="ListParagraph"/>
        <w:numPr>
          <w:ilvl w:val="0"/>
          <w:numId w:val="2"/>
        </w:numPr>
        <w:spacing w:after="0"/>
        <w:rPr>
          <w:rFonts w:ascii="Arial" w:hAnsi="Arial" w:cs="Arial"/>
          <w:sz w:val="24"/>
          <w:szCs w:val="24"/>
        </w:rPr>
      </w:pPr>
      <w:r w:rsidRPr="000D762F">
        <w:rPr>
          <w:rFonts w:ascii="Arial" w:hAnsi="Arial" w:cs="Arial"/>
          <w:sz w:val="24"/>
          <w:szCs w:val="24"/>
        </w:rPr>
        <w:t>Please confirm Burlington Hydro’s practice of not capitalizing interests has been agreed upon by the external auditor and clarify whether Burlington Hydro has adopted this accounting policy in its previous cost of service applications under MIFRS. If not, please elaborate further.</w:t>
      </w:r>
    </w:p>
    <w:p w14:paraId="559D39CC" w14:textId="77777777" w:rsidR="0014258A" w:rsidRPr="000D762F" w:rsidRDefault="0014258A" w:rsidP="0014258A">
      <w:pPr>
        <w:pStyle w:val="ListParagraph"/>
        <w:numPr>
          <w:ilvl w:val="0"/>
          <w:numId w:val="2"/>
        </w:numPr>
        <w:spacing w:after="0"/>
        <w:rPr>
          <w:rFonts w:ascii="Arial" w:hAnsi="Arial" w:cs="Arial"/>
          <w:sz w:val="24"/>
          <w:szCs w:val="24"/>
        </w:rPr>
      </w:pPr>
      <w:r w:rsidRPr="000D762F">
        <w:rPr>
          <w:rFonts w:ascii="Arial" w:hAnsi="Arial" w:cs="Arial"/>
          <w:sz w:val="24"/>
          <w:szCs w:val="24"/>
          <w:lang w:val="en-US"/>
        </w:rPr>
        <w:t xml:space="preserve">Please provide the nature of USoA 6605 since it is not included in APH of Ref 2. Please update the evidence as applicable. </w:t>
      </w:r>
    </w:p>
    <w:p w14:paraId="0BBF19FC" w14:textId="77777777" w:rsidR="0014258A" w:rsidRPr="000D762F" w:rsidRDefault="0014258A" w:rsidP="0014258A">
      <w:pPr>
        <w:spacing w:after="0"/>
        <w:rPr>
          <w:rFonts w:ascii="Arial" w:hAnsi="Arial" w:cs="Arial"/>
          <w:sz w:val="24"/>
          <w:szCs w:val="24"/>
        </w:rPr>
      </w:pPr>
    </w:p>
    <w:p w14:paraId="3D5487FA" w14:textId="4BF3DB1E"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100</w:t>
      </w:r>
    </w:p>
    <w:p w14:paraId="6EF15AD5" w14:textId="7777777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Revenue Impact – UsoA 1611</w:t>
      </w:r>
    </w:p>
    <w:p w14:paraId="3C36957D" w14:textId="77777777" w:rsidR="0014258A" w:rsidRPr="000D762F" w:rsidRDefault="0014258A" w:rsidP="0014258A">
      <w:pPr>
        <w:spacing w:after="0"/>
        <w:contextualSpacing/>
        <w:rPr>
          <w:rStyle w:val="normaltextrun"/>
          <w:rFonts w:ascii="Arial" w:hAnsi="Arial" w:cs="Arial"/>
          <w:b/>
          <w:sz w:val="24"/>
          <w:szCs w:val="24"/>
        </w:rPr>
      </w:pPr>
      <w:r w:rsidRPr="000D762F">
        <w:rPr>
          <w:rFonts w:ascii="Arial" w:hAnsi="Arial" w:cs="Arial"/>
          <w:b/>
          <w:sz w:val="24"/>
          <w:szCs w:val="24"/>
        </w:rPr>
        <w:t xml:space="preserve">Ref 1: </w:t>
      </w:r>
      <w:r w:rsidRPr="000D762F">
        <w:rPr>
          <w:rStyle w:val="normaltextrun"/>
          <w:rFonts w:ascii="Arial" w:hAnsi="Arial" w:cs="Arial"/>
          <w:b/>
          <w:sz w:val="24"/>
          <w:szCs w:val="24"/>
        </w:rPr>
        <w:t>Chapter2Appendices_2BB_Service Life_07242025, 2BA</w:t>
      </w:r>
    </w:p>
    <w:p w14:paraId="1511BCD9" w14:textId="7777777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 xml:space="preserve">Ref 2: </w:t>
      </w:r>
      <w:r w:rsidRPr="000D762F">
        <w:rPr>
          <w:rStyle w:val="normaltextrun"/>
          <w:rFonts w:ascii="Arial" w:hAnsi="Arial" w:cs="Arial"/>
          <w:b/>
          <w:bCs/>
          <w:sz w:val="24"/>
          <w:szCs w:val="24"/>
        </w:rPr>
        <w:t>BHI_IRR_Staff_07242025, 2-Staff-28, Table 1</w:t>
      </w:r>
    </w:p>
    <w:p w14:paraId="64867B8A" w14:textId="77777777" w:rsidR="0014258A" w:rsidRPr="000D762F" w:rsidRDefault="0014258A" w:rsidP="0014258A">
      <w:pPr>
        <w:spacing w:after="0"/>
        <w:rPr>
          <w:rFonts w:ascii="Arial" w:hAnsi="Arial" w:cs="Arial"/>
          <w:sz w:val="24"/>
          <w:szCs w:val="24"/>
        </w:rPr>
      </w:pPr>
    </w:p>
    <w:p w14:paraId="163E4B81"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Preamble:</w:t>
      </w:r>
    </w:p>
    <w:p w14:paraId="6EE35CB1" w14:textId="77777777" w:rsidR="0014258A" w:rsidRPr="000D762F" w:rsidRDefault="0014258A" w:rsidP="0014258A">
      <w:pPr>
        <w:spacing w:after="0"/>
        <w:rPr>
          <w:rFonts w:ascii="Arial" w:hAnsi="Arial" w:cs="Arial"/>
          <w:sz w:val="24"/>
          <w:szCs w:val="24"/>
        </w:rPr>
      </w:pPr>
    </w:p>
    <w:p w14:paraId="2367E16C"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In Ref 1 &amp; 2, OEB staff has compiled Table (A) as below, showing the difference of revenue impact between Ref 1 and Ref 2.</w:t>
      </w:r>
    </w:p>
    <w:p w14:paraId="633FAE18" w14:textId="77777777" w:rsidR="0014258A" w:rsidRPr="000D762F" w:rsidRDefault="0014258A" w:rsidP="0014258A">
      <w:pPr>
        <w:spacing w:after="0"/>
        <w:jc w:val="center"/>
        <w:rPr>
          <w:rFonts w:ascii="Arial" w:hAnsi="Arial" w:cs="Arial"/>
          <w:sz w:val="24"/>
          <w:szCs w:val="24"/>
        </w:rPr>
      </w:pPr>
      <w:r w:rsidRPr="000D762F">
        <w:rPr>
          <w:rFonts w:ascii="Arial" w:hAnsi="Arial" w:cs="Arial"/>
          <w:sz w:val="24"/>
          <w:szCs w:val="24"/>
        </w:rPr>
        <w:t xml:space="preserve">Table (A): Comparation of Useful Lives </w:t>
      </w:r>
    </w:p>
    <w:tbl>
      <w:tblPr>
        <w:tblStyle w:val="TableGrid"/>
        <w:tblW w:w="0" w:type="auto"/>
        <w:jc w:val="center"/>
        <w:tblLook w:val="04A0" w:firstRow="1" w:lastRow="0" w:firstColumn="1" w:lastColumn="0" w:noHBand="0" w:noVBand="1"/>
      </w:tblPr>
      <w:tblGrid>
        <w:gridCol w:w="1615"/>
        <w:gridCol w:w="1800"/>
        <w:gridCol w:w="1980"/>
        <w:gridCol w:w="1980"/>
      </w:tblGrid>
      <w:tr w:rsidR="0014258A" w:rsidRPr="000D762F" w14:paraId="08F2A68A" w14:textId="77777777">
        <w:trPr>
          <w:jc w:val="center"/>
        </w:trPr>
        <w:tc>
          <w:tcPr>
            <w:tcW w:w="1615" w:type="dxa"/>
          </w:tcPr>
          <w:p w14:paraId="1D06C1F6" w14:textId="77777777" w:rsidR="0014258A" w:rsidRPr="000D762F" w:rsidRDefault="0014258A" w:rsidP="0014258A">
            <w:pPr>
              <w:pStyle w:val="ListParagraph"/>
              <w:spacing w:after="0"/>
              <w:ind w:left="0"/>
              <w:jc w:val="center"/>
              <w:rPr>
                <w:rFonts w:cs="Arial"/>
                <w:sz w:val="24"/>
                <w:szCs w:val="24"/>
              </w:rPr>
            </w:pPr>
            <w:r w:rsidRPr="000D762F">
              <w:rPr>
                <w:rFonts w:cs="Arial"/>
                <w:b/>
                <w:bCs/>
                <w:sz w:val="24"/>
                <w:szCs w:val="24"/>
                <w:lang w:val="en-US"/>
              </w:rPr>
              <w:t>USoA 1611</w:t>
            </w:r>
          </w:p>
        </w:tc>
        <w:tc>
          <w:tcPr>
            <w:tcW w:w="1800" w:type="dxa"/>
          </w:tcPr>
          <w:p w14:paraId="274BBBC8" w14:textId="77777777" w:rsidR="0014258A" w:rsidRPr="000D762F" w:rsidRDefault="0014258A" w:rsidP="0014258A">
            <w:pPr>
              <w:pStyle w:val="ListParagraph"/>
              <w:spacing w:after="0"/>
              <w:ind w:left="0"/>
              <w:jc w:val="center"/>
              <w:rPr>
                <w:rFonts w:cs="Arial"/>
                <w:b/>
                <w:bCs/>
                <w:sz w:val="24"/>
                <w:szCs w:val="24"/>
              </w:rPr>
            </w:pPr>
            <w:r w:rsidRPr="000D762F">
              <w:rPr>
                <w:rFonts w:cs="Arial"/>
                <w:b/>
                <w:bCs/>
                <w:sz w:val="24"/>
                <w:szCs w:val="24"/>
              </w:rPr>
              <w:t>2026 Test Year Capital Additions</w:t>
            </w:r>
          </w:p>
        </w:tc>
        <w:tc>
          <w:tcPr>
            <w:tcW w:w="1980" w:type="dxa"/>
          </w:tcPr>
          <w:p w14:paraId="1F6FB117" w14:textId="77777777" w:rsidR="0014258A" w:rsidRPr="000D762F" w:rsidRDefault="0014258A" w:rsidP="0014258A">
            <w:pPr>
              <w:pStyle w:val="ListParagraph"/>
              <w:spacing w:after="0"/>
              <w:ind w:left="0"/>
              <w:jc w:val="center"/>
              <w:rPr>
                <w:rFonts w:cs="Arial"/>
                <w:b/>
                <w:bCs/>
                <w:sz w:val="24"/>
                <w:szCs w:val="24"/>
              </w:rPr>
            </w:pPr>
            <w:r w:rsidRPr="000D762F">
              <w:rPr>
                <w:rFonts w:cs="Arial"/>
                <w:b/>
                <w:bCs/>
                <w:sz w:val="24"/>
                <w:szCs w:val="24"/>
              </w:rPr>
              <w:t>2026 Test Year Accumulated Depreciation Additions</w:t>
            </w:r>
          </w:p>
        </w:tc>
        <w:tc>
          <w:tcPr>
            <w:tcW w:w="1980" w:type="dxa"/>
          </w:tcPr>
          <w:p w14:paraId="1AE97322" w14:textId="77777777" w:rsidR="0014258A" w:rsidRPr="000D762F" w:rsidRDefault="0014258A" w:rsidP="0014258A">
            <w:pPr>
              <w:pStyle w:val="ListParagraph"/>
              <w:spacing w:after="0"/>
              <w:ind w:left="0"/>
              <w:jc w:val="center"/>
              <w:rPr>
                <w:rFonts w:cs="Arial"/>
                <w:b/>
                <w:bCs/>
                <w:sz w:val="24"/>
                <w:szCs w:val="24"/>
              </w:rPr>
            </w:pPr>
            <w:r w:rsidRPr="000D762F">
              <w:rPr>
                <w:rFonts w:cs="Arial"/>
                <w:b/>
                <w:bCs/>
                <w:sz w:val="24"/>
                <w:szCs w:val="24"/>
              </w:rPr>
              <w:t>Amount included in Revenue requirement 2026 (RRWF)</w:t>
            </w:r>
          </w:p>
        </w:tc>
      </w:tr>
      <w:tr w:rsidR="0014258A" w:rsidRPr="000D762F" w14:paraId="4AEB2F89" w14:textId="77777777">
        <w:trPr>
          <w:trHeight w:val="296"/>
          <w:jc w:val="center"/>
        </w:trPr>
        <w:tc>
          <w:tcPr>
            <w:tcW w:w="1615" w:type="dxa"/>
          </w:tcPr>
          <w:p w14:paraId="5FEB9EAC" w14:textId="77777777" w:rsidR="0014258A" w:rsidRPr="000D762F" w:rsidRDefault="0014258A" w:rsidP="0014258A">
            <w:pPr>
              <w:spacing w:after="0"/>
              <w:rPr>
                <w:rFonts w:cs="Arial"/>
                <w:b/>
                <w:bCs/>
                <w:sz w:val="24"/>
                <w:szCs w:val="24"/>
                <w:lang w:val="en-US"/>
              </w:rPr>
            </w:pPr>
            <w:r w:rsidRPr="000D762F">
              <w:rPr>
                <w:rFonts w:cs="Arial"/>
                <w:b/>
                <w:bCs/>
                <w:sz w:val="24"/>
                <w:szCs w:val="24"/>
                <w:lang w:val="en-US"/>
              </w:rPr>
              <w:t>Ref 1 (a)</w:t>
            </w:r>
          </w:p>
        </w:tc>
        <w:tc>
          <w:tcPr>
            <w:tcW w:w="1800" w:type="dxa"/>
          </w:tcPr>
          <w:p w14:paraId="6D332292"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611,120</w:t>
            </w:r>
          </w:p>
        </w:tc>
        <w:tc>
          <w:tcPr>
            <w:tcW w:w="1980" w:type="dxa"/>
          </w:tcPr>
          <w:p w14:paraId="5DC21F11"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1,019,118</w:t>
            </w:r>
          </w:p>
        </w:tc>
        <w:tc>
          <w:tcPr>
            <w:tcW w:w="1980" w:type="dxa"/>
          </w:tcPr>
          <w:p w14:paraId="7B2EBBE5"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1,154,982</w:t>
            </w:r>
          </w:p>
        </w:tc>
      </w:tr>
      <w:tr w:rsidR="0014258A" w:rsidRPr="000D762F" w14:paraId="517A7F2B" w14:textId="77777777">
        <w:trPr>
          <w:jc w:val="center"/>
        </w:trPr>
        <w:tc>
          <w:tcPr>
            <w:tcW w:w="1615" w:type="dxa"/>
          </w:tcPr>
          <w:p w14:paraId="3B8B719D" w14:textId="77777777" w:rsidR="0014258A" w:rsidRPr="000D762F" w:rsidRDefault="0014258A" w:rsidP="0014258A">
            <w:pPr>
              <w:pStyle w:val="ListParagraph"/>
              <w:spacing w:after="0"/>
              <w:ind w:left="0"/>
              <w:rPr>
                <w:rFonts w:cs="Arial"/>
                <w:b/>
                <w:bCs/>
                <w:sz w:val="24"/>
                <w:szCs w:val="24"/>
              </w:rPr>
            </w:pPr>
            <w:r w:rsidRPr="000D762F">
              <w:rPr>
                <w:rFonts w:cs="Arial"/>
                <w:b/>
                <w:bCs/>
                <w:sz w:val="24"/>
                <w:szCs w:val="24"/>
              </w:rPr>
              <w:t>Ref 2 (b)</w:t>
            </w:r>
          </w:p>
        </w:tc>
        <w:tc>
          <w:tcPr>
            <w:tcW w:w="1800" w:type="dxa"/>
          </w:tcPr>
          <w:p w14:paraId="6F925B84"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5,308,751</w:t>
            </w:r>
          </w:p>
        </w:tc>
        <w:tc>
          <w:tcPr>
            <w:tcW w:w="1980" w:type="dxa"/>
          </w:tcPr>
          <w:p w14:paraId="5CCDBBBB"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3,429,987</w:t>
            </w:r>
          </w:p>
        </w:tc>
        <w:tc>
          <w:tcPr>
            <w:tcW w:w="1980" w:type="dxa"/>
          </w:tcPr>
          <w:p w14:paraId="5BA7DA9C"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594,438</w:t>
            </w:r>
          </w:p>
        </w:tc>
      </w:tr>
      <w:tr w:rsidR="0014258A" w:rsidRPr="000D762F" w14:paraId="22E691DC" w14:textId="77777777">
        <w:trPr>
          <w:jc w:val="center"/>
        </w:trPr>
        <w:tc>
          <w:tcPr>
            <w:tcW w:w="1615" w:type="dxa"/>
          </w:tcPr>
          <w:p w14:paraId="636D6F0F" w14:textId="77777777" w:rsidR="0014258A" w:rsidRPr="000D762F" w:rsidRDefault="0014258A" w:rsidP="0014258A">
            <w:pPr>
              <w:pStyle w:val="ListParagraph"/>
              <w:spacing w:after="0"/>
              <w:ind w:left="0"/>
              <w:rPr>
                <w:rFonts w:cs="Arial"/>
                <w:b/>
                <w:bCs/>
                <w:sz w:val="24"/>
                <w:szCs w:val="24"/>
              </w:rPr>
            </w:pPr>
            <w:r w:rsidRPr="000D762F">
              <w:rPr>
                <w:rFonts w:cs="Arial"/>
                <w:b/>
                <w:bCs/>
                <w:sz w:val="24"/>
                <w:szCs w:val="24"/>
              </w:rPr>
              <w:t>Ref 2 (c)</w:t>
            </w:r>
          </w:p>
        </w:tc>
        <w:tc>
          <w:tcPr>
            <w:tcW w:w="1800" w:type="dxa"/>
          </w:tcPr>
          <w:p w14:paraId="784A7580"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5,308,751</w:t>
            </w:r>
          </w:p>
        </w:tc>
        <w:tc>
          <w:tcPr>
            <w:tcW w:w="1980" w:type="dxa"/>
          </w:tcPr>
          <w:p w14:paraId="5B8AB4A5"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5,211,156</w:t>
            </w:r>
          </w:p>
        </w:tc>
        <w:tc>
          <w:tcPr>
            <w:tcW w:w="1980" w:type="dxa"/>
          </w:tcPr>
          <w:p w14:paraId="73411599" w14:textId="77777777" w:rsidR="0014258A" w:rsidRPr="000D762F" w:rsidRDefault="0014258A" w:rsidP="0014258A">
            <w:pPr>
              <w:pStyle w:val="ListParagraph"/>
              <w:spacing w:after="0"/>
              <w:ind w:left="0"/>
              <w:jc w:val="right"/>
              <w:rPr>
                <w:rFonts w:cs="Arial"/>
                <w:sz w:val="24"/>
                <w:szCs w:val="24"/>
              </w:rPr>
            </w:pPr>
            <w:r w:rsidRPr="000D762F">
              <w:rPr>
                <w:rFonts w:cs="Arial"/>
                <w:sz w:val="24"/>
                <w:szCs w:val="24"/>
              </w:rPr>
              <w:t>247,621</w:t>
            </w:r>
          </w:p>
        </w:tc>
      </w:tr>
      <w:tr w:rsidR="0014258A" w:rsidRPr="000D762F" w14:paraId="2F1AF08D" w14:textId="77777777">
        <w:trPr>
          <w:jc w:val="center"/>
        </w:trPr>
        <w:tc>
          <w:tcPr>
            <w:tcW w:w="1615" w:type="dxa"/>
          </w:tcPr>
          <w:p w14:paraId="02766165" w14:textId="77777777" w:rsidR="0014258A" w:rsidRPr="000D762F" w:rsidRDefault="0014258A" w:rsidP="0014258A">
            <w:pPr>
              <w:pStyle w:val="ListParagraph"/>
              <w:spacing w:after="0"/>
              <w:ind w:left="0"/>
              <w:rPr>
                <w:rFonts w:cs="Arial"/>
                <w:b/>
                <w:bCs/>
                <w:sz w:val="24"/>
                <w:szCs w:val="24"/>
              </w:rPr>
            </w:pPr>
            <w:r w:rsidRPr="000D762F">
              <w:rPr>
                <w:rFonts w:cs="Arial"/>
                <w:b/>
                <w:bCs/>
                <w:sz w:val="24"/>
                <w:szCs w:val="24"/>
              </w:rPr>
              <w:t>Variance (b-a)</w:t>
            </w:r>
          </w:p>
        </w:tc>
        <w:tc>
          <w:tcPr>
            <w:tcW w:w="1800" w:type="dxa"/>
          </w:tcPr>
          <w:p w14:paraId="12830336" w14:textId="77777777" w:rsidR="0014258A" w:rsidRPr="000D762F" w:rsidRDefault="0014258A" w:rsidP="0014258A">
            <w:pPr>
              <w:pStyle w:val="ListParagraph"/>
              <w:spacing w:after="0"/>
              <w:ind w:left="0"/>
              <w:jc w:val="right"/>
              <w:rPr>
                <w:rFonts w:cs="Arial"/>
                <w:b/>
                <w:bCs/>
                <w:sz w:val="24"/>
                <w:szCs w:val="24"/>
              </w:rPr>
            </w:pPr>
            <w:r w:rsidRPr="000D762F">
              <w:rPr>
                <w:rFonts w:cs="Arial"/>
                <w:b/>
                <w:bCs/>
                <w:sz w:val="24"/>
                <w:szCs w:val="24"/>
              </w:rPr>
              <w:t>4,697,631</w:t>
            </w:r>
          </w:p>
        </w:tc>
        <w:tc>
          <w:tcPr>
            <w:tcW w:w="1980" w:type="dxa"/>
          </w:tcPr>
          <w:p w14:paraId="471EE5D7" w14:textId="77777777" w:rsidR="0014258A" w:rsidRPr="000D762F" w:rsidRDefault="0014258A" w:rsidP="0014258A">
            <w:pPr>
              <w:pStyle w:val="ListParagraph"/>
              <w:spacing w:after="0"/>
              <w:ind w:left="0"/>
              <w:jc w:val="right"/>
              <w:rPr>
                <w:rFonts w:cs="Arial"/>
                <w:b/>
                <w:bCs/>
                <w:sz w:val="24"/>
                <w:szCs w:val="24"/>
              </w:rPr>
            </w:pPr>
            <w:r w:rsidRPr="000D762F">
              <w:rPr>
                <w:rFonts w:cs="Arial"/>
                <w:b/>
                <w:bCs/>
                <w:sz w:val="24"/>
                <w:szCs w:val="24"/>
              </w:rPr>
              <w:t>2,410,869</w:t>
            </w:r>
          </w:p>
        </w:tc>
        <w:tc>
          <w:tcPr>
            <w:tcW w:w="1980" w:type="dxa"/>
          </w:tcPr>
          <w:p w14:paraId="076454EE" w14:textId="77777777" w:rsidR="0014258A" w:rsidRPr="000D762F" w:rsidRDefault="0014258A" w:rsidP="0014258A">
            <w:pPr>
              <w:pStyle w:val="ListParagraph"/>
              <w:spacing w:after="0"/>
              <w:ind w:left="0"/>
              <w:jc w:val="right"/>
              <w:rPr>
                <w:rFonts w:cs="Arial"/>
                <w:b/>
                <w:bCs/>
                <w:sz w:val="24"/>
                <w:szCs w:val="24"/>
              </w:rPr>
            </w:pPr>
            <w:r w:rsidRPr="000D762F">
              <w:rPr>
                <w:rFonts w:cs="Arial"/>
                <w:b/>
                <w:bCs/>
                <w:color w:val="EE0000"/>
                <w:sz w:val="24"/>
                <w:szCs w:val="24"/>
              </w:rPr>
              <w:t>(560,544)</w:t>
            </w:r>
          </w:p>
        </w:tc>
      </w:tr>
      <w:tr w:rsidR="0014258A" w:rsidRPr="000D762F" w14:paraId="5E3336D1" w14:textId="77777777">
        <w:trPr>
          <w:jc w:val="center"/>
        </w:trPr>
        <w:tc>
          <w:tcPr>
            <w:tcW w:w="1615" w:type="dxa"/>
          </w:tcPr>
          <w:p w14:paraId="378B0CA4" w14:textId="77777777" w:rsidR="0014258A" w:rsidRPr="000D762F" w:rsidRDefault="0014258A" w:rsidP="0014258A">
            <w:pPr>
              <w:pStyle w:val="ListParagraph"/>
              <w:spacing w:after="0"/>
              <w:ind w:left="0"/>
              <w:rPr>
                <w:rFonts w:cs="Arial"/>
                <w:b/>
                <w:bCs/>
                <w:sz w:val="24"/>
                <w:szCs w:val="24"/>
              </w:rPr>
            </w:pPr>
            <w:r w:rsidRPr="000D762F">
              <w:rPr>
                <w:rFonts w:cs="Arial"/>
                <w:b/>
                <w:bCs/>
                <w:sz w:val="24"/>
                <w:szCs w:val="24"/>
              </w:rPr>
              <w:t>Variance (c-a)</w:t>
            </w:r>
          </w:p>
        </w:tc>
        <w:tc>
          <w:tcPr>
            <w:tcW w:w="1800" w:type="dxa"/>
          </w:tcPr>
          <w:p w14:paraId="6C70CAFD" w14:textId="77777777" w:rsidR="0014258A" w:rsidRPr="000D762F" w:rsidRDefault="0014258A" w:rsidP="0014258A">
            <w:pPr>
              <w:pStyle w:val="ListParagraph"/>
              <w:spacing w:after="0"/>
              <w:ind w:left="0"/>
              <w:jc w:val="right"/>
              <w:rPr>
                <w:rFonts w:cs="Arial"/>
                <w:b/>
                <w:bCs/>
                <w:sz w:val="24"/>
                <w:szCs w:val="24"/>
              </w:rPr>
            </w:pPr>
            <w:r w:rsidRPr="000D762F">
              <w:rPr>
                <w:rFonts w:cs="Arial"/>
                <w:b/>
                <w:bCs/>
                <w:sz w:val="24"/>
                <w:szCs w:val="24"/>
              </w:rPr>
              <w:t>4,697,631</w:t>
            </w:r>
          </w:p>
        </w:tc>
        <w:tc>
          <w:tcPr>
            <w:tcW w:w="1980" w:type="dxa"/>
          </w:tcPr>
          <w:p w14:paraId="3E283CD4" w14:textId="77777777" w:rsidR="0014258A" w:rsidRPr="000D762F" w:rsidRDefault="0014258A" w:rsidP="0014258A">
            <w:pPr>
              <w:pStyle w:val="ListParagraph"/>
              <w:spacing w:after="0"/>
              <w:ind w:left="0"/>
              <w:jc w:val="right"/>
              <w:rPr>
                <w:rFonts w:cs="Arial"/>
                <w:b/>
                <w:bCs/>
                <w:sz w:val="24"/>
                <w:szCs w:val="24"/>
              </w:rPr>
            </w:pPr>
            <w:r w:rsidRPr="000D762F">
              <w:rPr>
                <w:rFonts w:cs="Arial"/>
                <w:b/>
                <w:bCs/>
                <w:sz w:val="24"/>
                <w:szCs w:val="24"/>
              </w:rPr>
              <w:t>4,192,038</w:t>
            </w:r>
          </w:p>
        </w:tc>
        <w:tc>
          <w:tcPr>
            <w:tcW w:w="1980" w:type="dxa"/>
          </w:tcPr>
          <w:p w14:paraId="28B260AB" w14:textId="77777777" w:rsidR="0014258A" w:rsidRPr="000D762F" w:rsidRDefault="0014258A" w:rsidP="0014258A">
            <w:pPr>
              <w:pStyle w:val="ListParagraph"/>
              <w:spacing w:after="0"/>
              <w:ind w:left="0"/>
              <w:jc w:val="right"/>
              <w:rPr>
                <w:rFonts w:cs="Arial"/>
                <w:b/>
                <w:bCs/>
                <w:color w:val="EE0000"/>
                <w:sz w:val="24"/>
                <w:szCs w:val="24"/>
              </w:rPr>
            </w:pPr>
            <w:r w:rsidRPr="000D762F">
              <w:rPr>
                <w:rFonts w:cs="Arial"/>
                <w:b/>
                <w:bCs/>
                <w:color w:val="EE0000"/>
                <w:sz w:val="24"/>
                <w:szCs w:val="24"/>
              </w:rPr>
              <w:t>(907,361)</w:t>
            </w:r>
          </w:p>
        </w:tc>
      </w:tr>
    </w:tbl>
    <w:p w14:paraId="6DCAE0B1" w14:textId="77777777" w:rsidR="0014258A" w:rsidRPr="000D762F" w:rsidRDefault="0014258A" w:rsidP="0014258A">
      <w:pPr>
        <w:spacing w:after="0"/>
        <w:rPr>
          <w:rFonts w:ascii="Arial" w:hAnsi="Arial" w:cs="Arial"/>
          <w:b/>
          <w:bCs/>
          <w:sz w:val="24"/>
          <w:szCs w:val="24"/>
        </w:rPr>
      </w:pPr>
    </w:p>
    <w:p w14:paraId="1B1ACE4E"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6E693E4E" w14:textId="77777777" w:rsidR="0014258A" w:rsidRPr="000D762F" w:rsidRDefault="0014258A" w:rsidP="0014258A">
      <w:pPr>
        <w:pStyle w:val="ListParagraph"/>
        <w:numPr>
          <w:ilvl w:val="0"/>
          <w:numId w:val="3"/>
        </w:numPr>
        <w:spacing w:after="0"/>
        <w:rPr>
          <w:rFonts w:ascii="Arial" w:hAnsi="Arial" w:cs="Arial"/>
          <w:sz w:val="24"/>
          <w:szCs w:val="24"/>
        </w:rPr>
      </w:pPr>
      <w:r w:rsidRPr="000D762F">
        <w:rPr>
          <w:rFonts w:ascii="Arial" w:hAnsi="Arial" w:cs="Arial"/>
          <w:sz w:val="24"/>
          <w:szCs w:val="24"/>
        </w:rPr>
        <w:t>Please explain the variance identified in the Table (A) above</w:t>
      </w:r>
    </w:p>
    <w:p w14:paraId="56882A79" w14:textId="77777777" w:rsidR="0014258A" w:rsidRPr="000D762F" w:rsidRDefault="0014258A" w:rsidP="0014258A">
      <w:pPr>
        <w:pStyle w:val="ListParagraph"/>
        <w:numPr>
          <w:ilvl w:val="0"/>
          <w:numId w:val="3"/>
        </w:numPr>
        <w:spacing w:after="0"/>
        <w:rPr>
          <w:rFonts w:ascii="Arial" w:hAnsi="Arial" w:cs="Arial"/>
          <w:sz w:val="24"/>
          <w:szCs w:val="24"/>
        </w:rPr>
      </w:pPr>
      <w:r w:rsidRPr="000D762F">
        <w:rPr>
          <w:rFonts w:ascii="Arial" w:hAnsi="Arial" w:cs="Arial"/>
          <w:sz w:val="24"/>
          <w:szCs w:val="24"/>
        </w:rPr>
        <w:t>Please show the calculation of the amount in Table 1 of Ref 2.</w:t>
      </w:r>
    </w:p>
    <w:p w14:paraId="40D252C7" w14:textId="77777777" w:rsidR="0014258A" w:rsidRPr="000D762F" w:rsidRDefault="0014258A" w:rsidP="0014258A">
      <w:pPr>
        <w:pStyle w:val="ListParagraph"/>
        <w:numPr>
          <w:ilvl w:val="0"/>
          <w:numId w:val="3"/>
        </w:numPr>
        <w:spacing w:after="0"/>
        <w:rPr>
          <w:rFonts w:ascii="Arial" w:hAnsi="Arial" w:cs="Arial"/>
          <w:sz w:val="24"/>
          <w:szCs w:val="24"/>
        </w:rPr>
      </w:pPr>
      <w:r w:rsidRPr="000D762F">
        <w:rPr>
          <w:rFonts w:ascii="Arial" w:hAnsi="Arial" w:cs="Arial"/>
          <w:sz w:val="24"/>
          <w:szCs w:val="24"/>
        </w:rPr>
        <w:t>Please confirm whether USoA 1611 include both 5Y useful life assets and 10Y useful life assets.</w:t>
      </w:r>
    </w:p>
    <w:p w14:paraId="5FBE6892" w14:textId="77777777" w:rsidR="0014258A" w:rsidRPr="000D762F" w:rsidRDefault="0014258A" w:rsidP="0014258A">
      <w:pPr>
        <w:pStyle w:val="ListParagraph"/>
        <w:numPr>
          <w:ilvl w:val="1"/>
          <w:numId w:val="3"/>
        </w:numPr>
        <w:spacing w:after="0"/>
        <w:rPr>
          <w:rFonts w:ascii="Arial" w:hAnsi="Arial" w:cs="Arial"/>
          <w:sz w:val="24"/>
          <w:szCs w:val="24"/>
        </w:rPr>
      </w:pPr>
      <w:r w:rsidRPr="000D762F">
        <w:rPr>
          <w:rFonts w:ascii="Arial" w:hAnsi="Arial" w:cs="Arial"/>
          <w:sz w:val="24"/>
          <w:szCs w:val="24"/>
        </w:rPr>
        <w:t>If c) is confirmed, please provide worksheet to show the calculation of the depreciation amount based on different useful lives in USoA 1611 and reconcile to Ref 1.</w:t>
      </w:r>
    </w:p>
    <w:p w14:paraId="26BE7F6F" w14:textId="77777777" w:rsidR="0014258A" w:rsidRPr="000D762F" w:rsidRDefault="0014258A" w:rsidP="0014258A">
      <w:pPr>
        <w:spacing w:after="0"/>
        <w:rPr>
          <w:rFonts w:ascii="Arial" w:hAnsi="Arial" w:cs="Arial"/>
          <w:sz w:val="24"/>
          <w:szCs w:val="24"/>
        </w:rPr>
      </w:pPr>
    </w:p>
    <w:p w14:paraId="752B895B" w14:textId="6529FAFE"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101</w:t>
      </w:r>
    </w:p>
    <w:p w14:paraId="22416591" w14:textId="7777777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 xml:space="preserve">ICM </w:t>
      </w:r>
    </w:p>
    <w:p w14:paraId="41E228BE" w14:textId="77777777" w:rsidR="0014258A" w:rsidRPr="000D762F" w:rsidRDefault="0014258A" w:rsidP="0014258A">
      <w:pPr>
        <w:spacing w:after="0"/>
        <w:contextualSpacing/>
        <w:rPr>
          <w:rStyle w:val="normaltextrun"/>
          <w:rFonts w:ascii="Arial" w:hAnsi="Arial" w:cs="Arial"/>
          <w:b/>
          <w:sz w:val="24"/>
          <w:szCs w:val="24"/>
        </w:rPr>
      </w:pPr>
      <w:r w:rsidRPr="000D762F">
        <w:rPr>
          <w:rFonts w:ascii="Arial" w:hAnsi="Arial" w:cs="Arial"/>
          <w:b/>
          <w:sz w:val="24"/>
          <w:szCs w:val="24"/>
        </w:rPr>
        <w:t xml:space="preserve">Ref 1: </w:t>
      </w:r>
      <w:r w:rsidRPr="000D762F">
        <w:rPr>
          <w:rStyle w:val="normaltextrun"/>
          <w:rFonts w:ascii="Arial" w:hAnsi="Arial" w:cs="Arial"/>
          <w:b/>
          <w:sz w:val="24"/>
          <w:szCs w:val="24"/>
        </w:rPr>
        <w:t>Chapter2Appendices_2BB_Service Life_07242025, 2BA</w:t>
      </w:r>
    </w:p>
    <w:p w14:paraId="1C41DC4A" w14:textId="77777777" w:rsidR="0014258A" w:rsidRPr="000D762F" w:rsidRDefault="0014258A" w:rsidP="0014258A">
      <w:pPr>
        <w:spacing w:after="0"/>
        <w:contextualSpacing/>
        <w:rPr>
          <w:rStyle w:val="normaltextrun"/>
          <w:rFonts w:ascii="Arial" w:hAnsi="Arial" w:cs="Arial"/>
          <w:b/>
          <w:sz w:val="24"/>
          <w:szCs w:val="24"/>
        </w:rPr>
      </w:pPr>
      <w:r w:rsidRPr="000D762F">
        <w:rPr>
          <w:rStyle w:val="normaltextrun"/>
          <w:rFonts w:ascii="Arial" w:hAnsi="Arial" w:cs="Arial"/>
          <w:b/>
          <w:sz w:val="24"/>
          <w:szCs w:val="24"/>
        </w:rPr>
        <w:t>Ref 2: Attachment 2_2025 ICM Model_BHI_20250124</w:t>
      </w:r>
    </w:p>
    <w:p w14:paraId="25ACBF80" w14:textId="77777777" w:rsidR="0014258A" w:rsidRPr="000D762F" w:rsidRDefault="0014258A" w:rsidP="0014258A">
      <w:pPr>
        <w:spacing w:after="0"/>
        <w:contextualSpacing/>
        <w:rPr>
          <w:rFonts w:ascii="Arial" w:hAnsi="Arial" w:cs="Arial"/>
          <w:b/>
          <w:sz w:val="24"/>
          <w:szCs w:val="24"/>
        </w:rPr>
      </w:pPr>
    </w:p>
    <w:p w14:paraId="6F3B6950"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Preamble:</w:t>
      </w:r>
    </w:p>
    <w:p w14:paraId="55441DC5"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In Ref 1, OEB staff notes Burlington Hydro moved total ICM assets ($4.7M) from 2025 to 2026 capital base.</w:t>
      </w:r>
    </w:p>
    <w:tbl>
      <w:tblPr>
        <w:tblStyle w:val="TableGrid"/>
        <w:tblW w:w="0" w:type="auto"/>
        <w:tblLook w:val="04A0" w:firstRow="1" w:lastRow="0" w:firstColumn="1" w:lastColumn="0" w:noHBand="0" w:noVBand="1"/>
      </w:tblPr>
      <w:tblGrid>
        <w:gridCol w:w="2734"/>
        <w:gridCol w:w="1443"/>
        <w:gridCol w:w="1724"/>
        <w:gridCol w:w="1676"/>
        <w:gridCol w:w="1773"/>
      </w:tblGrid>
      <w:tr w:rsidR="0014258A" w:rsidRPr="000D762F" w14:paraId="66D77A46" w14:textId="77777777">
        <w:tc>
          <w:tcPr>
            <w:tcW w:w="3235" w:type="dxa"/>
          </w:tcPr>
          <w:p w14:paraId="3136E436" w14:textId="77777777" w:rsidR="0014258A" w:rsidRPr="000D762F" w:rsidRDefault="0014258A" w:rsidP="0014258A">
            <w:pPr>
              <w:spacing w:after="0"/>
              <w:rPr>
                <w:rFonts w:cs="Arial"/>
                <w:sz w:val="24"/>
                <w:szCs w:val="24"/>
              </w:rPr>
            </w:pPr>
          </w:p>
        </w:tc>
        <w:tc>
          <w:tcPr>
            <w:tcW w:w="3060" w:type="dxa"/>
            <w:gridSpan w:val="2"/>
          </w:tcPr>
          <w:p w14:paraId="21DDB6B3" w14:textId="77777777" w:rsidR="0014258A" w:rsidRPr="000D762F" w:rsidRDefault="0014258A" w:rsidP="0014258A">
            <w:pPr>
              <w:spacing w:after="0"/>
              <w:jc w:val="center"/>
              <w:rPr>
                <w:rFonts w:cs="Arial"/>
                <w:b/>
                <w:bCs/>
                <w:sz w:val="24"/>
                <w:szCs w:val="24"/>
              </w:rPr>
            </w:pPr>
            <w:r w:rsidRPr="000D762F">
              <w:rPr>
                <w:rFonts w:cs="Arial"/>
                <w:b/>
                <w:bCs/>
                <w:sz w:val="24"/>
                <w:szCs w:val="24"/>
              </w:rPr>
              <w:t>2025</w:t>
            </w:r>
          </w:p>
        </w:tc>
        <w:tc>
          <w:tcPr>
            <w:tcW w:w="3690" w:type="dxa"/>
            <w:gridSpan w:val="2"/>
          </w:tcPr>
          <w:p w14:paraId="51B6A4A7" w14:textId="77777777" w:rsidR="0014258A" w:rsidRPr="000D762F" w:rsidRDefault="0014258A" w:rsidP="0014258A">
            <w:pPr>
              <w:spacing w:after="0"/>
              <w:jc w:val="center"/>
              <w:rPr>
                <w:rFonts w:cs="Arial"/>
                <w:b/>
                <w:bCs/>
                <w:sz w:val="24"/>
                <w:szCs w:val="24"/>
              </w:rPr>
            </w:pPr>
            <w:r w:rsidRPr="000D762F">
              <w:rPr>
                <w:rFonts w:cs="Arial"/>
                <w:b/>
                <w:bCs/>
                <w:sz w:val="24"/>
                <w:szCs w:val="24"/>
              </w:rPr>
              <w:t>2026</w:t>
            </w:r>
          </w:p>
        </w:tc>
      </w:tr>
      <w:tr w:rsidR="0014258A" w:rsidRPr="000D762F" w14:paraId="70E7753D" w14:textId="77777777">
        <w:tc>
          <w:tcPr>
            <w:tcW w:w="3235" w:type="dxa"/>
          </w:tcPr>
          <w:p w14:paraId="737AC6F0" w14:textId="77777777" w:rsidR="0014258A" w:rsidRPr="000D762F" w:rsidRDefault="0014258A" w:rsidP="0014258A">
            <w:pPr>
              <w:spacing w:after="0"/>
              <w:rPr>
                <w:rFonts w:cs="Arial"/>
                <w:sz w:val="24"/>
                <w:szCs w:val="24"/>
              </w:rPr>
            </w:pPr>
          </w:p>
        </w:tc>
        <w:tc>
          <w:tcPr>
            <w:tcW w:w="1530" w:type="dxa"/>
          </w:tcPr>
          <w:p w14:paraId="482EDA86" w14:textId="77777777" w:rsidR="0014258A" w:rsidRPr="000D762F" w:rsidRDefault="0014258A" w:rsidP="0014258A">
            <w:pPr>
              <w:spacing w:after="0"/>
              <w:jc w:val="center"/>
              <w:rPr>
                <w:rFonts w:cs="Arial"/>
                <w:b/>
                <w:bCs/>
                <w:sz w:val="24"/>
                <w:szCs w:val="24"/>
              </w:rPr>
            </w:pPr>
            <w:r w:rsidRPr="000D762F">
              <w:rPr>
                <w:rFonts w:cs="Arial"/>
                <w:b/>
                <w:bCs/>
                <w:sz w:val="24"/>
                <w:szCs w:val="24"/>
              </w:rPr>
              <w:t>Cost (ICM)</w:t>
            </w:r>
          </w:p>
        </w:tc>
        <w:tc>
          <w:tcPr>
            <w:tcW w:w="1530" w:type="dxa"/>
          </w:tcPr>
          <w:p w14:paraId="488231E7" w14:textId="77777777" w:rsidR="0014258A" w:rsidRPr="000D762F" w:rsidRDefault="0014258A" w:rsidP="0014258A">
            <w:pPr>
              <w:spacing w:after="0"/>
              <w:jc w:val="center"/>
              <w:rPr>
                <w:rFonts w:cs="Arial"/>
                <w:b/>
                <w:bCs/>
                <w:sz w:val="24"/>
                <w:szCs w:val="24"/>
              </w:rPr>
            </w:pPr>
            <w:r w:rsidRPr="000D762F">
              <w:rPr>
                <w:rFonts w:cs="Arial"/>
                <w:b/>
                <w:bCs/>
                <w:sz w:val="24"/>
                <w:szCs w:val="24"/>
              </w:rPr>
              <w:t>Accumulated Depreciation</w:t>
            </w:r>
          </w:p>
        </w:tc>
        <w:tc>
          <w:tcPr>
            <w:tcW w:w="1890" w:type="dxa"/>
          </w:tcPr>
          <w:p w14:paraId="45C141FC" w14:textId="77777777" w:rsidR="0014258A" w:rsidRPr="000D762F" w:rsidRDefault="0014258A" w:rsidP="0014258A">
            <w:pPr>
              <w:spacing w:after="0"/>
              <w:jc w:val="center"/>
              <w:rPr>
                <w:rFonts w:cs="Arial"/>
                <w:b/>
                <w:bCs/>
                <w:sz w:val="24"/>
                <w:szCs w:val="24"/>
              </w:rPr>
            </w:pPr>
            <w:r w:rsidRPr="000D762F">
              <w:rPr>
                <w:rFonts w:cs="Arial"/>
                <w:b/>
                <w:bCs/>
                <w:sz w:val="24"/>
                <w:szCs w:val="24"/>
              </w:rPr>
              <w:t>Cost (ICM)</w:t>
            </w:r>
          </w:p>
        </w:tc>
        <w:tc>
          <w:tcPr>
            <w:tcW w:w="1800" w:type="dxa"/>
          </w:tcPr>
          <w:p w14:paraId="220D3CF0" w14:textId="77777777" w:rsidR="0014258A" w:rsidRPr="000D762F" w:rsidRDefault="0014258A" w:rsidP="0014258A">
            <w:pPr>
              <w:spacing w:after="0"/>
              <w:jc w:val="center"/>
              <w:rPr>
                <w:rFonts w:cs="Arial"/>
                <w:b/>
                <w:bCs/>
                <w:sz w:val="24"/>
                <w:szCs w:val="24"/>
              </w:rPr>
            </w:pPr>
            <w:r w:rsidRPr="000D762F">
              <w:rPr>
                <w:rFonts w:cs="Arial"/>
                <w:b/>
                <w:bCs/>
                <w:sz w:val="24"/>
                <w:szCs w:val="24"/>
              </w:rPr>
              <w:t>Accumulated Depreciation</w:t>
            </w:r>
          </w:p>
        </w:tc>
      </w:tr>
      <w:tr w:rsidR="0014258A" w:rsidRPr="000D762F" w14:paraId="488CA38F" w14:textId="77777777">
        <w:tc>
          <w:tcPr>
            <w:tcW w:w="3235" w:type="dxa"/>
          </w:tcPr>
          <w:p w14:paraId="7A898BE2" w14:textId="77777777" w:rsidR="0014258A" w:rsidRPr="000D762F" w:rsidRDefault="0014258A" w:rsidP="0014258A">
            <w:pPr>
              <w:spacing w:after="0"/>
              <w:rPr>
                <w:rFonts w:cs="Arial"/>
                <w:b/>
                <w:bCs/>
                <w:sz w:val="24"/>
                <w:szCs w:val="24"/>
              </w:rPr>
            </w:pPr>
            <w:r w:rsidRPr="000D762F">
              <w:rPr>
                <w:rFonts w:cs="Arial"/>
                <w:b/>
                <w:bCs/>
                <w:sz w:val="24"/>
                <w:szCs w:val="24"/>
              </w:rPr>
              <w:t>1830 - Poles, Towers &amp; Fixtures</w:t>
            </w:r>
          </w:p>
        </w:tc>
        <w:tc>
          <w:tcPr>
            <w:tcW w:w="1530" w:type="dxa"/>
          </w:tcPr>
          <w:p w14:paraId="09C85E82"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-2,516,898</w:t>
            </w:r>
          </w:p>
        </w:tc>
        <w:tc>
          <w:tcPr>
            <w:tcW w:w="1530" w:type="dxa"/>
          </w:tcPr>
          <w:p w14:paraId="66DE4903" w14:textId="77777777" w:rsidR="0014258A" w:rsidRPr="000D762F" w:rsidRDefault="0014258A" w:rsidP="0014258A">
            <w:pPr>
              <w:spacing w:after="0"/>
              <w:jc w:val="right"/>
              <w:rPr>
                <w:rFonts w:cs="Arial"/>
                <w:sz w:val="24"/>
                <w:szCs w:val="24"/>
              </w:rPr>
            </w:pPr>
            <w:r w:rsidRPr="000D762F">
              <w:rPr>
                <w:rFonts w:cs="Arial"/>
                <w:sz w:val="24"/>
                <w:szCs w:val="24"/>
              </w:rPr>
              <w:t>31,461</w:t>
            </w:r>
          </w:p>
        </w:tc>
        <w:tc>
          <w:tcPr>
            <w:tcW w:w="1890" w:type="dxa"/>
          </w:tcPr>
          <w:p w14:paraId="78A3E33C" w14:textId="77777777" w:rsidR="0014258A" w:rsidRPr="000D762F" w:rsidRDefault="0014258A" w:rsidP="0014258A">
            <w:pPr>
              <w:spacing w:after="0"/>
              <w:jc w:val="right"/>
              <w:rPr>
                <w:rFonts w:cs="Arial"/>
                <w:sz w:val="24"/>
                <w:szCs w:val="24"/>
              </w:rPr>
            </w:pPr>
            <w:r w:rsidRPr="000D762F">
              <w:rPr>
                <w:rFonts w:cs="Arial"/>
                <w:sz w:val="24"/>
                <w:szCs w:val="24"/>
              </w:rPr>
              <w:t>2,516,898</w:t>
            </w:r>
          </w:p>
        </w:tc>
        <w:tc>
          <w:tcPr>
            <w:tcW w:w="1800" w:type="dxa"/>
          </w:tcPr>
          <w:p w14:paraId="42516B42"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-62,922</w:t>
            </w:r>
          </w:p>
        </w:tc>
      </w:tr>
      <w:tr w:rsidR="0014258A" w:rsidRPr="000D762F" w14:paraId="27658A57" w14:textId="77777777">
        <w:tc>
          <w:tcPr>
            <w:tcW w:w="3235" w:type="dxa"/>
          </w:tcPr>
          <w:p w14:paraId="566B83F5" w14:textId="77777777" w:rsidR="0014258A" w:rsidRPr="000D762F" w:rsidRDefault="0014258A" w:rsidP="0014258A">
            <w:pPr>
              <w:spacing w:after="0"/>
              <w:rPr>
                <w:rFonts w:cs="Arial"/>
                <w:b/>
                <w:bCs/>
                <w:sz w:val="24"/>
                <w:szCs w:val="24"/>
              </w:rPr>
            </w:pPr>
            <w:r w:rsidRPr="000D762F">
              <w:rPr>
                <w:rFonts w:cs="Arial"/>
                <w:b/>
                <w:bCs/>
                <w:sz w:val="24"/>
                <w:szCs w:val="24"/>
              </w:rPr>
              <w:t>1835 - Overhead Conductors &amp; Devices</w:t>
            </w:r>
          </w:p>
        </w:tc>
        <w:tc>
          <w:tcPr>
            <w:tcW w:w="1530" w:type="dxa"/>
          </w:tcPr>
          <w:p w14:paraId="75B23421"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-1,370,603</w:t>
            </w:r>
          </w:p>
        </w:tc>
        <w:tc>
          <w:tcPr>
            <w:tcW w:w="1530" w:type="dxa"/>
          </w:tcPr>
          <w:p w14:paraId="5086C5EE" w14:textId="77777777" w:rsidR="0014258A" w:rsidRPr="000D762F" w:rsidRDefault="0014258A" w:rsidP="0014258A">
            <w:pPr>
              <w:spacing w:after="0"/>
              <w:jc w:val="right"/>
              <w:rPr>
                <w:rFonts w:cs="Arial"/>
                <w:sz w:val="24"/>
                <w:szCs w:val="24"/>
              </w:rPr>
            </w:pPr>
            <w:r w:rsidRPr="000D762F">
              <w:rPr>
                <w:rFonts w:cs="Arial"/>
                <w:sz w:val="24"/>
                <w:szCs w:val="24"/>
              </w:rPr>
              <w:t>23,137</w:t>
            </w:r>
          </w:p>
        </w:tc>
        <w:tc>
          <w:tcPr>
            <w:tcW w:w="1890" w:type="dxa"/>
          </w:tcPr>
          <w:p w14:paraId="5D6423AF" w14:textId="77777777" w:rsidR="0014258A" w:rsidRPr="000D762F" w:rsidRDefault="0014258A" w:rsidP="0014258A">
            <w:pPr>
              <w:spacing w:after="0"/>
              <w:jc w:val="right"/>
              <w:rPr>
                <w:rFonts w:cs="Arial"/>
                <w:sz w:val="24"/>
                <w:szCs w:val="24"/>
              </w:rPr>
            </w:pPr>
            <w:r w:rsidRPr="000D762F">
              <w:rPr>
                <w:rFonts w:cs="Arial"/>
                <w:sz w:val="24"/>
                <w:szCs w:val="24"/>
              </w:rPr>
              <w:t>1,370,603</w:t>
            </w:r>
          </w:p>
        </w:tc>
        <w:tc>
          <w:tcPr>
            <w:tcW w:w="1800" w:type="dxa"/>
          </w:tcPr>
          <w:p w14:paraId="65B9E3D0"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-46,274</w:t>
            </w:r>
          </w:p>
        </w:tc>
      </w:tr>
      <w:tr w:rsidR="0014258A" w:rsidRPr="000D762F" w14:paraId="1FB2CB3D" w14:textId="77777777">
        <w:tc>
          <w:tcPr>
            <w:tcW w:w="3235" w:type="dxa"/>
          </w:tcPr>
          <w:p w14:paraId="7D78F508" w14:textId="77777777" w:rsidR="0014258A" w:rsidRPr="000D762F" w:rsidRDefault="0014258A" w:rsidP="0014258A">
            <w:pPr>
              <w:spacing w:after="0"/>
              <w:rPr>
                <w:rFonts w:cs="Arial"/>
                <w:b/>
                <w:bCs/>
                <w:sz w:val="24"/>
                <w:szCs w:val="24"/>
              </w:rPr>
            </w:pPr>
            <w:r w:rsidRPr="000D762F">
              <w:rPr>
                <w:rFonts w:cs="Arial"/>
                <w:b/>
                <w:bCs/>
                <w:sz w:val="24"/>
                <w:szCs w:val="24"/>
              </w:rPr>
              <w:t>1855 - Services (Overhead &amp; Underground)</w:t>
            </w:r>
          </w:p>
        </w:tc>
        <w:tc>
          <w:tcPr>
            <w:tcW w:w="1530" w:type="dxa"/>
          </w:tcPr>
          <w:p w14:paraId="245D3469"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-874,842</w:t>
            </w:r>
          </w:p>
        </w:tc>
        <w:tc>
          <w:tcPr>
            <w:tcW w:w="1530" w:type="dxa"/>
          </w:tcPr>
          <w:p w14:paraId="26B06767" w14:textId="77777777" w:rsidR="0014258A" w:rsidRPr="000D762F" w:rsidRDefault="0014258A" w:rsidP="0014258A">
            <w:pPr>
              <w:spacing w:after="0"/>
              <w:jc w:val="right"/>
              <w:rPr>
                <w:rFonts w:cs="Arial"/>
                <w:sz w:val="24"/>
                <w:szCs w:val="24"/>
              </w:rPr>
            </w:pPr>
            <w:r w:rsidRPr="000D762F">
              <w:rPr>
                <w:rFonts w:cs="Arial"/>
                <w:sz w:val="24"/>
                <w:szCs w:val="24"/>
              </w:rPr>
              <w:t>9,713</w:t>
            </w:r>
          </w:p>
        </w:tc>
        <w:tc>
          <w:tcPr>
            <w:tcW w:w="1890" w:type="dxa"/>
          </w:tcPr>
          <w:p w14:paraId="587BAA4A" w14:textId="77777777" w:rsidR="0014258A" w:rsidRPr="000D762F" w:rsidRDefault="0014258A" w:rsidP="0014258A">
            <w:pPr>
              <w:spacing w:after="0"/>
              <w:jc w:val="right"/>
              <w:rPr>
                <w:rFonts w:cs="Arial"/>
                <w:sz w:val="24"/>
                <w:szCs w:val="24"/>
              </w:rPr>
            </w:pPr>
            <w:r w:rsidRPr="000D762F">
              <w:rPr>
                <w:rFonts w:cs="Arial"/>
                <w:sz w:val="24"/>
                <w:szCs w:val="24"/>
              </w:rPr>
              <w:t>874,842</w:t>
            </w:r>
          </w:p>
        </w:tc>
        <w:tc>
          <w:tcPr>
            <w:tcW w:w="1800" w:type="dxa"/>
          </w:tcPr>
          <w:p w14:paraId="1B40CADA"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-18,347</w:t>
            </w:r>
          </w:p>
        </w:tc>
      </w:tr>
      <w:tr w:rsidR="0014258A" w:rsidRPr="000D762F" w14:paraId="749D6ED1" w14:textId="77777777">
        <w:tc>
          <w:tcPr>
            <w:tcW w:w="3235" w:type="dxa"/>
          </w:tcPr>
          <w:p w14:paraId="292BA5EC" w14:textId="77777777" w:rsidR="0014258A" w:rsidRPr="000D762F" w:rsidRDefault="0014258A" w:rsidP="0014258A">
            <w:pPr>
              <w:spacing w:after="0"/>
              <w:rPr>
                <w:rFonts w:cs="Arial"/>
                <w:b/>
                <w:bCs/>
                <w:sz w:val="24"/>
                <w:szCs w:val="24"/>
              </w:rPr>
            </w:pPr>
            <w:r w:rsidRPr="000D762F">
              <w:rPr>
                <w:rFonts w:cs="Arial"/>
                <w:b/>
                <w:bCs/>
                <w:sz w:val="24"/>
                <w:szCs w:val="24"/>
              </w:rPr>
              <w:t>Total</w:t>
            </w:r>
          </w:p>
        </w:tc>
        <w:tc>
          <w:tcPr>
            <w:tcW w:w="1530" w:type="dxa"/>
          </w:tcPr>
          <w:p w14:paraId="0A892282"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-4,762,343</w:t>
            </w:r>
          </w:p>
        </w:tc>
        <w:tc>
          <w:tcPr>
            <w:tcW w:w="1530" w:type="dxa"/>
          </w:tcPr>
          <w:p w14:paraId="49FD8B8D" w14:textId="77777777" w:rsidR="0014258A" w:rsidRPr="000D762F" w:rsidRDefault="0014258A" w:rsidP="0014258A">
            <w:pPr>
              <w:spacing w:after="0"/>
              <w:jc w:val="right"/>
              <w:rPr>
                <w:rFonts w:cs="Arial"/>
                <w:sz w:val="24"/>
                <w:szCs w:val="24"/>
              </w:rPr>
            </w:pPr>
            <w:r w:rsidRPr="000D762F">
              <w:rPr>
                <w:rFonts w:cs="Arial"/>
                <w:sz w:val="24"/>
                <w:szCs w:val="24"/>
              </w:rPr>
              <w:t>63,772</w:t>
            </w:r>
          </w:p>
        </w:tc>
        <w:tc>
          <w:tcPr>
            <w:tcW w:w="1890" w:type="dxa"/>
          </w:tcPr>
          <w:p w14:paraId="1EDF6E27" w14:textId="77777777" w:rsidR="0014258A" w:rsidRPr="000D762F" w:rsidRDefault="0014258A" w:rsidP="0014258A">
            <w:pPr>
              <w:spacing w:after="0"/>
              <w:jc w:val="right"/>
              <w:rPr>
                <w:rFonts w:cs="Arial"/>
                <w:sz w:val="24"/>
                <w:szCs w:val="24"/>
              </w:rPr>
            </w:pPr>
            <w:r w:rsidRPr="000D762F">
              <w:rPr>
                <w:rFonts w:cs="Arial"/>
                <w:sz w:val="24"/>
                <w:szCs w:val="24"/>
              </w:rPr>
              <w:t>4,762,343</w:t>
            </w:r>
          </w:p>
        </w:tc>
        <w:tc>
          <w:tcPr>
            <w:tcW w:w="1800" w:type="dxa"/>
          </w:tcPr>
          <w:p w14:paraId="7C917E0B" w14:textId="77777777" w:rsidR="0014258A" w:rsidRPr="000D762F" w:rsidRDefault="0014258A" w:rsidP="0014258A">
            <w:pPr>
              <w:spacing w:after="0"/>
              <w:jc w:val="right"/>
              <w:rPr>
                <w:rFonts w:cs="Arial"/>
                <w:color w:val="EE0000"/>
                <w:sz w:val="24"/>
                <w:szCs w:val="24"/>
              </w:rPr>
            </w:pPr>
            <w:r w:rsidRPr="000D762F">
              <w:rPr>
                <w:rFonts w:cs="Arial"/>
                <w:color w:val="EE0000"/>
                <w:sz w:val="24"/>
                <w:szCs w:val="24"/>
              </w:rPr>
              <w:t>-127,544</w:t>
            </w:r>
          </w:p>
        </w:tc>
      </w:tr>
    </w:tbl>
    <w:p w14:paraId="56B14DD2" w14:textId="77777777" w:rsidR="0014258A" w:rsidRPr="000D762F" w:rsidRDefault="0014258A" w:rsidP="0014258A">
      <w:pPr>
        <w:spacing w:after="0"/>
        <w:rPr>
          <w:rFonts w:ascii="Arial" w:hAnsi="Arial" w:cs="Arial"/>
          <w:sz w:val="24"/>
          <w:szCs w:val="24"/>
        </w:rPr>
      </w:pPr>
    </w:p>
    <w:p w14:paraId="6B0361E7"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7BCFDB57" w14:textId="77777777" w:rsidR="0014258A" w:rsidRPr="000D762F" w:rsidRDefault="0014258A" w:rsidP="0014258A">
      <w:pPr>
        <w:pStyle w:val="ListParagraph"/>
        <w:numPr>
          <w:ilvl w:val="0"/>
          <w:numId w:val="5"/>
        </w:numPr>
        <w:spacing w:after="0"/>
        <w:rPr>
          <w:rFonts w:ascii="Arial" w:hAnsi="Arial" w:cs="Arial"/>
          <w:sz w:val="24"/>
          <w:szCs w:val="24"/>
        </w:rPr>
      </w:pPr>
      <w:r w:rsidRPr="000D762F">
        <w:rPr>
          <w:rFonts w:ascii="Arial" w:hAnsi="Arial" w:cs="Arial"/>
          <w:sz w:val="24"/>
          <w:szCs w:val="24"/>
        </w:rPr>
        <w:t>Please explain the rationale of this practice observed by OEB staff.</w:t>
      </w:r>
    </w:p>
    <w:p w14:paraId="701EA5B1" w14:textId="77777777" w:rsidR="0014258A" w:rsidRPr="000D762F" w:rsidRDefault="0014258A" w:rsidP="0014258A">
      <w:pPr>
        <w:pStyle w:val="ListParagraph"/>
        <w:numPr>
          <w:ilvl w:val="0"/>
          <w:numId w:val="5"/>
        </w:numPr>
        <w:spacing w:after="0"/>
        <w:rPr>
          <w:rFonts w:ascii="Arial" w:hAnsi="Arial" w:cs="Arial"/>
          <w:sz w:val="24"/>
          <w:szCs w:val="24"/>
        </w:rPr>
      </w:pPr>
      <w:r w:rsidRPr="000D762F">
        <w:rPr>
          <w:rFonts w:ascii="Arial" w:hAnsi="Arial" w:cs="Arial"/>
          <w:sz w:val="24"/>
          <w:szCs w:val="24"/>
        </w:rPr>
        <w:t>Please confirm whether 2025 capital additions (column E) in Ref 1 includes this $4.7M ICM cost.</w:t>
      </w:r>
    </w:p>
    <w:p w14:paraId="62C778B3" w14:textId="77777777" w:rsidR="0014258A" w:rsidRPr="000D762F" w:rsidRDefault="0014258A" w:rsidP="0014258A">
      <w:pPr>
        <w:pStyle w:val="ListParagraph"/>
        <w:numPr>
          <w:ilvl w:val="0"/>
          <w:numId w:val="5"/>
        </w:numPr>
        <w:spacing w:after="0"/>
        <w:rPr>
          <w:rFonts w:ascii="Arial" w:hAnsi="Arial" w:cs="Arial"/>
          <w:sz w:val="24"/>
          <w:szCs w:val="24"/>
        </w:rPr>
      </w:pPr>
      <w:r w:rsidRPr="000D762F">
        <w:rPr>
          <w:rFonts w:ascii="Arial" w:hAnsi="Arial" w:cs="Arial"/>
          <w:sz w:val="24"/>
          <w:szCs w:val="24"/>
        </w:rPr>
        <w:t>Please confirm whether 2026 capital additions (column E) in Ref 1 includes this $4.7M ICM cost.</w:t>
      </w:r>
    </w:p>
    <w:p w14:paraId="196E5F8B" w14:textId="77777777" w:rsidR="0014258A" w:rsidRPr="000D762F" w:rsidRDefault="0014258A" w:rsidP="0014258A">
      <w:pPr>
        <w:pStyle w:val="ListParagraph"/>
        <w:numPr>
          <w:ilvl w:val="0"/>
          <w:numId w:val="5"/>
        </w:numPr>
        <w:spacing w:after="0"/>
        <w:rPr>
          <w:rFonts w:ascii="Arial" w:hAnsi="Arial" w:cs="Arial"/>
          <w:sz w:val="24"/>
          <w:szCs w:val="24"/>
        </w:rPr>
      </w:pPr>
      <w:r w:rsidRPr="000D762F">
        <w:rPr>
          <w:rFonts w:ascii="Arial" w:hAnsi="Arial" w:cs="Arial"/>
          <w:sz w:val="24"/>
          <w:szCs w:val="24"/>
        </w:rPr>
        <w:t>Please confirm there is no double counting of this $4.7M ICM in both 2025 and 2026.</w:t>
      </w:r>
    </w:p>
    <w:p w14:paraId="3A541C48" w14:textId="77777777" w:rsidR="0014258A" w:rsidRPr="000D762F" w:rsidRDefault="0014258A" w:rsidP="0014258A">
      <w:pPr>
        <w:spacing w:after="0"/>
        <w:ind w:right="-20"/>
        <w:contextualSpacing/>
        <w:rPr>
          <w:rFonts w:ascii="Arial" w:hAnsi="Arial" w:cs="Arial"/>
          <w:b/>
          <w:bCs/>
          <w:sz w:val="24"/>
          <w:szCs w:val="24"/>
        </w:rPr>
      </w:pPr>
    </w:p>
    <w:p w14:paraId="47CDC641" w14:textId="77777777" w:rsidR="0014258A" w:rsidRPr="000D762F" w:rsidRDefault="0014258A" w:rsidP="0014258A">
      <w:pPr>
        <w:spacing w:after="0"/>
        <w:rPr>
          <w:rFonts w:ascii="Arial" w:hAnsi="Arial" w:cs="Arial"/>
          <w:b/>
          <w:sz w:val="24"/>
          <w:szCs w:val="24"/>
        </w:rPr>
      </w:pPr>
    </w:p>
    <w:p w14:paraId="663C5871" w14:textId="77777777" w:rsidR="0014258A" w:rsidRPr="000D762F" w:rsidRDefault="0014258A">
      <w:pPr>
        <w:spacing w:after="160" w:line="278" w:lineRule="auto"/>
        <w:rPr>
          <w:rFonts w:ascii="Arial" w:hAnsi="Arial" w:cs="Arial"/>
          <w:b/>
          <w:sz w:val="24"/>
          <w:szCs w:val="24"/>
        </w:rPr>
      </w:pPr>
      <w:r w:rsidRPr="000D762F">
        <w:rPr>
          <w:rFonts w:ascii="Arial" w:hAnsi="Arial" w:cs="Arial"/>
          <w:b/>
          <w:sz w:val="24"/>
          <w:szCs w:val="24"/>
        </w:rPr>
        <w:br w:type="page"/>
      </w:r>
    </w:p>
    <w:p w14:paraId="3C3B8C1F" w14:textId="168ECE19"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102</w:t>
      </w:r>
    </w:p>
    <w:p w14:paraId="537B594D"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Vehicles</w:t>
      </w:r>
    </w:p>
    <w:p w14:paraId="3E1DC939"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1: Response to 2-Staff-23</w:t>
      </w:r>
    </w:p>
    <w:p w14:paraId="17BD58EA"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2: IR_Attachment_2-Staff-23d_BHI_07242025</w:t>
      </w:r>
    </w:p>
    <w:p w14:paraId="5608CE3E" w14:textId="77777777" w:rsidR="0014258A" w:rsidRPr="000D762F" w:rsidRDefault="0014258A" w:rsidP="0014258A">
      <w:pPr>
        <w:spacing w:after="0"/>
        <w:rPr>
          <w:rFonts w:ascii="Arial" w:hAnsi="Arial" w:cs="Arial"/>
          <w:b/>
          <w:sz w:val="24"/>
          <w:szCs w:val="24"/>
        </w:rPr>
      </w:pPr>
    </w:p>
    <w:p w14:paraId="2ADCF412"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Question(s):</w:t>
      </w:r>
    </w:p>
    <w:p w14:paraId="798C1E51" w14:textId="77777777" w:rsidR="0014258A" w:rsidRPr="000D762F" w:rsidRDefault="0014258A" w:rsidP="0014258A">
      <w:pPr>
        <w:spacing w:after="0"/>
        <w:rPr>
          <w:rFonts w:ascii="Arial" w:hAnsi="Arial" w:cs="Arial"/>
          <w:b/>
          <w:sz w:val="24"/>
          <w:szCs w:val="24"/>
        </w:rPr>
      </w:pPr>
    </w:p>
    <w:p w14:paraId="0F740A15" w14:textId="77777777" w:rsidR="0014258A" w:rsidRPr="000D762F" w:rsidRDefault="0014258A" w:rsidP="0014258A">
      <w:pPr>
        <w:pStyle w:val="ListParagraph"/>
        <w:numPr>
          <w:ilvl w:val="0"/>
          <w:numId w:val="21"/>
        </w:numPr>
        <w:spacing w:after="0"/>
        <w:rPr>
          <w:rFonts w:ascii="Arial" w:hAnsi="Arial" w:cs="Arial"/>
          <w:bCs/>
          <w:sz w:val="24"/>
          <w:szCs w:val="24"/>
        </w:rPr>
      </w:pPr>
      <w:r w:rsidRPr="000D762F">
        <w:rPr>
          <w:rFonts w:ascii="Arial" w:hAnsi="Arial" w:cs="Arial"/>
          <w:bCs/>
          <w:sz w:val="24"/>
          <w:szCs w:val="24"/>
        </w:rPr>
        <w:t>Is Burlington Hydro proposing to repair or replace single bucket truck T22 in the 2026 Test Year? If Burlington Hydro is replacing the vehicle, please state the need for replacement as the Matrix Score value is 16.</w:t>
      </w:r>
    </w:p>
    <w:p w14:paraId="71B37675" w14:textId="77777777" w:rsidR="0014258A" w:rsidRPr="000D762F" w:rsidRDefault="0014258A" w:rsidP="0014258A">
      <w:pPr>
        <w:spacing w:after="0"/>
        <w:rPr>
          <w:rFonts w:ascii="Arial" w:hAnsi="Arial" w:cs="Arial"/>
          <w:bCs/>
          <w:sz w:val="24"/>
          <w:szCs w:val="24"/>
        </w:rPr>
      </w:pPr>
    </w:p>
    <w:p w14:paraId="0CD45481" w14:textId="7F85572A"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103</w:t>
      </w:r>
    </w:p>
    <w:p w14:paraId="48BA7EDA"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Buildings</w:t>
      </w:r>
    </w:p>
    <w:p w14:paraId="35A14E8F"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1: Exhibit 2 – Appendix O</w:t>
      </w:r>
    </w:p>
    <w:p w14:paraId="084F83DE"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2: Response to 2-Staff-24</w:t>
      </w:r>
    </w:p>
    <w:p w14:paraId="6D828CCD" w14:textId="77777777" w:rsidR="0014258A" w:rsidRPr="000D762F" w:rsidRDefault="0014258A" w:rsidP="0014258A">
      <w:pPr>
        <w:spacing w:after="0"/>
        <w:rPr>
          <w:rFonts w:ascii="Arial" w:hAnsi="Arial" w:cs="Arial"/>
          <w:b/>
          <w:sz w:val="24"/>
          <w:szCs w:val="24"/>
        </w:rPr>
      </w:pPr>
    </w:p>
    <w:p w14:paraId="4460744E"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Question(s):</w:t>
      </w:r>
    </w:p>
    <w:p w14:paraId="435ABA77" w14:textId="77777777" w:rsidR="0014258A" w:rsidRPr="000D762F" w:rsidRDefault="0014258A" w:rsidP="0014258A">
      <w:pPr>
        <w:spacing w:after="0"/>
        <w:rPr>
          <w:rFonts w:ascii="Arial" w:hAnsi="Arial" w:cs="Arial"/>
          <w:b/>
          <w:sz w:val="24"/>
          <w:szCs w:val="24"/>
        </w:rPr>
      </w:pPr>
    </w:p>
    <w:p w14:paraId="0AB030D0" w14:textId="77777777" w:rsidR="0014258A" w:rsidRPr="000D762F" w:rsidRDefault="0014258A" w:rsidP="0014258A">
      <w:pPr>
        <w:pStyle w:val="ListParagraph"/>
        <w:numPr>
          <w:ilvl w:val="0"/>
          <w:numId w:val="22"/>
        </w:numPr>
        <w:spacing w:after="0"/>
        <w:rPr>
          <w:rFonts w:ascii="Arial" w:hAnsi="Arial" w:cs="Arial"/>
          <w:bCs/>
          <w:sz w:val="24"/>
          <w:szCs w:val="24"/>
        </w:rPr>
      </w:pPr>
      <w:r w:rsidRPr="000D762F">
        <w:rPr>
          <w:rFonts w:ascii="Arial" w:hAnsi="Arial" w:cs="Arial"/>
          <w:bCs/>
          <w:sz w:val="24"/>
          <w:szCs w:val="24"/>
        </w:rPr>
        <w:t>Please specify what projects from the 2021 Building Condition Assessment will be completed during the forecast period. Please provide the updated costs associated with each project if available to Burlington Hydro.</w:t>
      </w:r>
    </w:p>
    <w:p w14:paraId="47002BBC" w14:textId="77777777" w:rsidR="0014258A" w:rsidRPr="000D762F" w:rsidRDefault="0014258A" w:rsidP="0014258A">
      <w:pPr>
        <w:pStyle w:val="ListParagraph"/>
        <w:numPr>
          <w:ilvl w:val="0"/>
          <w:numId w:val="22"/>
        </w:numPr>
        <w:spacing w:after="0"/>
        <w:rPr>
          <w:rFonts w:ascii="Arial" w:hAnsi="Arial" w:cs="Arial"/>
          <w:bCs/>
          <w:sz w:val="24"/>
          <w:szCs w:val="24"/>
        </w:rPr>
      </w:pPr>
      <w:r w:rsidRPr="000D762F">
        <w:rPr>
          <w:rFonts w:ascii="Arial" w:hAnsi="Arial" w:cs="Arial"/>
          <w:bCs/>
          <w:sz w:val="24"/>
          <w:szCs w:val="24"/>
        </w:rPr>
        <w:t>Please provide the costs of the North and South parking lot projects individually.</w:t>
      </w:r>
    </w:p>
    <w:p w14:paraId="01511D53" w14:textId="77777777" w:rsidR="0014258A" w:rsidRPr="000D762F" w:rsidRDefault="0014258A" w:rsidP="0014258A">
      <w:pPr>
        <w:pStyle w:val="ListParagraph"/>
        <w:numPr>
          <w:ilvl w:val="0"/>
          <w:numId w:val="22"/>
        </w:numPr>
        <w:spacing w:after="0"/>
        <w:rPr>
          <w:rFonts w:ascii="Arial" w:hAnsi="Arial" w:cs="Arial"/>
          <w:bCs/>
          <w:sz w:val="24"/>
          <w:szCs w:val="24"/>
        </w:rPr>
      </w:pPr>
      <w:r w:rsidRPr="000D762F">
        <w:rPr>
          <w:rFonts w:ascii="Arial" w:hAnsi="Arial" w:cs="Arial"/>
          <w:bCs/>
          <w:sz w:val="24"/>
          <w:szCs w:val="24"/>
        </w:rPr>
        <w:t>Please provide the ‘Needs Assessment’ for the projects referenced in 2-Staff-</w:t>
      </w:r>
      <w:proofErr w:type="gramStart"/>
      <w:r w:rsidRPr="000D762F">
        <w:rPr>
          <w:rFonts w:ascii="Arial" w:hAnsi="Arial" w:cs="Arial"/>
          <w:bCs/>
          <w:sz w:val="24"/>
          <w:szCs w:val="24"/>
        </w:rPr>
        <w:t>24 part</w:t>
      </w:r>
      <w:proofErr w:type="gramEnd"/>
      <w:r w:rsidRPr="000D762F">
        <w:rPr>
          <w:rFonts w:ascii="Arial" w:hAnsi="Arial" w:cs="Arial"/>
          <w:bCs/>
          <w:sz w:val="24"/>
          <w:szCs w:val="24"/>
        </w:rPr>
        <w:t xml:space="preserve"> a.</w:t>
      </w:r>
    </w:p>
    <w:p w14:paraId="1FDEB420" w14:textId="77777777" w:rsidR="0014258A" w:rsidRPr="000D762F" w:rsidRDefault="0014258A" w:rsidP="0014258A">
      <w:pPr>
        <w:pStyle w:val="ListParagraph"/>
        <w:rPr>
          <w:rFonts w:ascii="Arial" w:hAnsi="Arial" w:cs="Arial"/>
          <w:bCs/>
          <w:sz w:val="24"/>
          <w:szCs w:val="24"/>
        </w:rPr>
      </w:pPr>
    </w:p>
    <w:p w14:paraId="3DB0E13B" w14:textId="396DEE67"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104</w:t>
      </w:r>
    </w:p>
    <w:p w14:paraId="45BD5CDA"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Subdivisions</w:t>
      </w:r>
    </w:p>
    <w:p w14:paraId="0C9FF336"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1: Response to 2-Staff-22</w:t>
      </w:r>
    </w:p>
    <w:p w14:paraId="6F421430"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br/>
        <w:t>Question(s):</w:t>
      </w:r>
    </w:p>
    <w:p w14:paraId="550D70C5" w14:textId="77777777" w:rsidR="0014258A" w:rsidRPr="000D762F" w:rsidRDefault="0014258A" w:rsidP="0014258A">
      <w:pPr>
        <w:spacing w:after="0"/>
        <w:rPr>
          <w:rFonts w:ascii="Arial" w:hAnsi="Arial" w:cs="Arial"/>
          <w:bCs/>
          <w:sz w:val="24"/>
          <w:szCs w:val="24"/>
        </w:rPr>
      </w:pPr>
    </w:p>
    <w:p w14:paraId="7FAC0ECD" w14:textId="77777777" w:rsidR="0014258A" w:rsidRPr="000D762F" w:rsidRDefault="0014258A" w:rsidP="0014258A">
      <w:pPr>
        <w:pStyle w:val="ListParagraph"/>
        <w:numPr>
          <w:ilvl w:val="0"/>
          <w:numId w:val="23"/>
        </w:numPr>
        <w:spacing w:after="0"/>
        <w:rPr>
          <w:rFonts w:ascii="Arial" w:hAnsi="Arial" w:cs="Arial"/>
          <w:bCs/>
          <w:sz w:val="24"/>
          <w:szCs w:val="24"/>
        </w:rPr>
      </w:pPr>
      <w:r w:rsidRPr="000D762F">
        <w:rPr>
          <w:rFonts w:ascii="Arial" w:hAnsi="Arial" w:cs="Arial"/>
          <w:bCs/>
          <w:sz w:val="24"/>
          <w:szCs w:val="24"/>
        </w:rPr>
        <w:t>Please provide the actual and forecasted number of buybacks Burlington Hydro assumed each year from 2021 to 2025.</w:t>
      </w:r>
    </w:p>
    <w:p w14:paraId="06C0DB7E" w14:textId="77777777" w:rsidR="0014258A" w:rsidRPr="000D762F" w:rsidRDefault="0014258A" w:rsidP="0014258A">
      <w:pPr>
        <w:spacing w:after="0"/>
        <w:rPr>
          <w:rFonts w:ascii="Arial" w:hAnsi="Arial" w:cs="Arial"/>
          <w:b/>
          <w:sz w:val="24"/>
          <w:szCs w:val="24"/>
        </w:rPr>
      </w:pPr>
    </w:p>
    <w:p w14:paraId="477026AC" w14:textId="77777777" w:rsidR="00DB4A41" w:rsidRDefault="00DB4A41" w:rsidP="0014258A">
      <w:pPr>
        <w:spacing w:after="0"/>
        <w:rPr>
          <w:rFonts w:ascii="Arial" w:hAnsi="Arial" w:cs="Arial"/>
          <w:b/>
          <w:sz w:val="24"/>
          <w:szCs w:val="24"/>
        </w:rPr>
      </w:pPr>
    </w:p>
    <w:p w14:paraId="70C69A47" w14:textId="77777777" w:rsidR="00DB4A41" w:rsidRDefault="00DB4A41" w:rsidP="0014258A">
      <w:pPr>
        <w:spacing w:after="0"/>
        <w:rPr>
          <w:rFonts w:ascii="Arial" w:hAnsi="Arial" w:cs="Arial"/>
          <w:b/>
          <w:sz w:val="24"/>
          <w:szCs w:val="24"/>
        </w:rPr>
      </w:pPr>
    </w:p>
    <w:p w14:paraId="06C74786" w14:textId="77777777" w:rsidR="00DB4A41" w:rsidRDefault="00DB4A41" w:rsidP="0014258A">
      <w:pPr>
        <w:spacing w:after="0"/>
        <w:rPr>
          <w:rFonts w:ascii="Arial" w:hAnsi="Arial" w:cs="Arial"/>
          <w:b/>
          <w:sz w:val="24"/>
          <w:szCs w:val="24"/>
        </w:rPr>
      </w:pPr>
    </w:p>
    <w:p w14:paraId="2FB11E8E" w14:textId="495FC0E8"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105</w:t>
      </w:r>
    </w:p>
    <w:p w14:paraId="38EE06C0"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3-Staff-36</w:t>
      </w:r>
    </w:p>
    <w:p w14:paraId="1E85D370" w14:textId="77777777" w:rsidR="0014258A" w:rsidRPr="000D762F" w:rsidRDefault="0014258A" w:rsidP="0014258A">
      <w:pPr>
        <w:spacing w:after="0"/>
        <w:rPr>
          <w:rFonts w:ascii="Arial" w:hAnsi="Arial" w:cs="Arial"/>
          <w:bCs/>
          <w:sz w:val="24"/>
          <w:szCs w:val="24"/>
        </w:rPr>
      </w:pPr>
    </w:p>
    <w:p w14:paraId="0F0D2171" w14:textId="77777777" w:rsidR="0014258A" w:rsidRPr="000D762F" w:rsidRDefault="0014258A" w:rsidP="0014258A">
      <w:pPr>
        <w:pStyle w:val="ListParagraph"/>
        <w:numPr>
          <w:ilvl w:val="0"/>
          <w:numId w:val="8"/>
        </w:numPr>
        <w:spacing w:after="0"/>
        <w:rPr>
          <w:rFonts w:ascii="Arial" w:hAnsi="Arial" w:cs="Arial"/>
          <w:bCs/>
          <w:sz w:val="24"/>
          <w:szCs w:val="24"/>
        </w:rPr>
      </w:pPr>
      <w:r w:rsidRPr="000D762F">
        <w:rPr>
          <w:rFonts w:ascii="Arial" w:hAnsi="Arial" w:cs="Arial"/>
          <w:bCs/>
          <w:sz w:val="24"/>
          <w:szCs w:val="24"/>
        </w:rPr>
        <w:t>Can you explain how you leveraged these sources and demonstrate the workings of how 15% was calculated?</w:t>
      </w:r>
    </w:p>
    <w:p w14:paraId="05C8B6E8" w14:textId="77777777" w:rsidR="0014258A" w:rsidRPr="000D762F" w:rsidRDefault="0014258A" w:rsidP="0014258A">
      <w:pPr>
        <w:spacing w:after="0"/>
        <w:contextualSpacing/>
        <w:rPr>
          <w:rFonts w:ascii="Arial" w:hAnsi="Arial" w:cs="Arial"/>
          <w:b/>
          <w:sz w:val="24"/>
          <w:szCs w:val="24"/>
        </w:rPr>
      </w:pPr>
    </w:p>
    <w:p w14:paraId="001DA75F" w14:textId="797855CD"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106</w:t>
      </w:r>
    </w:p>
    <w:p w14:paraId="0CAA86C3" w14:textId="77777777" w:rsidR="0014258A" w:rsidRPr="000D762F" w:rsidRDefault="0014258A" w:rsidP="0014258A">
      <w:pPr>
        <w:spacing w:after="0"/>
        <w:contextualSpacing/>
        <w:rPr>
          <w:rFonts w:ascii="Arial" w:hAnsi="Arial" w:cs="Arial"/>
          <w:bCs/>
          <w:sz w:val="24"/>
          <w:szCs w:val="24"/>
        </w:rPr>
      </w:pPr>
      <w:r w:rsidRPr="000D762F">
        <w:rPr>
          <w:rFonts w:ascii="Arial" w:hAnsi="Arial" w:cs="Arial"/>
          <w:b/>
          <w:sz w:val="24"/>
          <w:szCs w:val="24"/>
        </w:rPr>
        <w:t>Ref: 4-Staff-40 (</w:t>
      </w:r>
      <w:proofErr w:type="spellStart"/>
      <w:proofErr w:type="gramStart"/>
      <w:r w:rsidRPr="000D762F">
        <w:rPr>
          <w:rFonts w:ascii="Arial" w:hAnsi="Arial" w:cs="Arial"/>
          <w:b/>
          <w:sz w:val="24"/>
          <w:szCs w:val="24"/>
        </w:rPr>
        <w:t>b,c</w:t>
      </w:r>
      <w:proofErr w:type="gramEnd"/>
      <w:r w:rsidRPr="000D762F">
        <w:rPr>
          <w:rFonts w:ascii="Arial" w:hAnsi="Arial" w:cs="Arial"/>
          <w:b/>
          <w:sz w:val="24"/>
          <w:szCs w:val="24"/>
        </w:rPr>
        <w:t>,d</w:t>
      </w:r>
      <w:proofErr w:type="spellEnd"/>
      <w:r w:rsidRPr="000D762F">
        <w:rPr>
          <w:rFonts w:ascii="Arial" w:hAnsi="Arial" w:cs="Arial"/>
          <w:b/>
          <w:sz w:val="24"/>
          <w:szCs w:val="24"/>
        </w:rPr>
        <w:t>)</w:t>
      </w:r>
    </w:p>
    <w:p w14:paraId="05009081" w14:textId="77777777" w:rsidR="0014258A" w:rsidRPr="000D762F" w:rsidRDefault="0014258A" w:rsidP="0014258A">
      <w:pPr>
        <w:spacing w:after="0"/>
        <w:contextualSpacing/>
        <w:rPr>
          <w:rFonts w:ascii="Arial" w:hAnsi="Arial" w:cs="Arial"/>
          <w:bCs/>
          <w:sz w:val="24"/>
          <w:szCs w:val="24"/>
        </w:rPr>
      </w:pPr>
    </w:p>
    <w:p w14:paraId="01B4666C" w14:textId="77777777" w:rsidR="0014258A" w:rsidRPr="000D762F" w:rsidRDefault="0014258A" w:rsidP="0014258A">
      <w:pPr>
        <w:pStyle w:val="ListParagraph"/>
        <w:numPr>
          <w:ilvl w:val="0"/>
          <w:numId w:val="9"/>
        </w:numPr>
        <w:spacing w:after="0"/>
        <w:rPr>
          <w:rFonts w:ascii="Arial" w:hAnsi="Arial" w:cs="Arial"/>
          <w:bCs/>
          <w:sz w:val="24"/>
          <w:szCs w:val="24"/>
        </w:rPr>
      </w:pPr>
      <w:r w:rsidRPr="000D762F">
        <w:rPr>
          <w:rFonts w:ascii="Arial" w:hAnsi="Arial" w:cs="Arial"/>
          <w:bCs/>
          <w:sz w:val="24"/>
          <w:szCs w:val="24"/>
        </w:rPr>
        <w:t>Please explain how 261 service connection requests in 2025 to date are forecasted to increase from 261 to 1,091.</w:t>
      </w:r>
    </w:p>
    <w:p w14:paraId="5B7C1A64" w14:textId="77777777" w:rsidR="0014258A" w:rsidRPr="000D762F" w:rsidRDefault="0014258A" w:rsidP="0014258A">
      <w:pPr>
        <w:pStyle w:val="ListParagraph"/>
        <w:numPr>
          <w:ilvl w:val="0"/>
          <w:numId w:val="9"/>
        </w:numPr>
        <w:spacing w:after="0"/>
        <w:rPr>
          <w:rFonts w:ascii="Arial" w:hAnsi="Arial" w:cs="Arial"/>
          <w:bCs/>
          <w:sz w:val="24"/>
          <w:szCs w:val="24"/>
        </w:rPr>
      </w:pPr>
      <w:r w:rsidRPr="000D762F">
        <w:rPr>
          <w:rFonts w:ascii="Arial" w:hAnsi="Arial" w:cs="Arial"/>
          <w:bCs/>
          <w:sz w:val="24"/>
          <w:szCs w:val="24"/>
        </w:rPr>
        <w:t>Please confirm if there has been a trend in historical actuals for the number of service connection requests to increase disproportionately in the latter half of previous years.</w:t>
      </w:r>
    </w:p>
    <w:p w14:paraId="7337BC02" w14:textId="77777777" w:rsidR="0014258A" w:rsidRPr="000D762F" w:rsidRDefault="0014258A" w:rsidP="0014258A">
      <w:pPr>
        <w:pStyle w:val="ListParagraph"/>
        <w:numPr>
          <w:ilvl w:val="0"/>
          <w:numId w:val="9"/>
        </w:numPr>
        <w:spacing w:after="0"/>
        <w:rPr>
          <w:rFonts w:ascii="Arial" w:hAnsi="Arial" w:cs="Arial"/>
          <w:bCs/>
          <w:sz w:val="24"/>
          <w:szCs w:val="24"/>
        </w:rPr>
      </w:pPr>
      <w:r w:rsidRPr="000D762F">
        <w:rPr>
          <w:rFonts w:ascii="Arial" w:hAnsi="Arial" w:cs="Arial"/>
          <w:bCs/>
          <w:sz w:val="24"/>
          <w:szCs w:val="24"/>
        </w:rPr>
        <w:t>In response d(iii), Table 4, Burlington Hydro provides the number of OT hours from 2024 to 2025 actuals. Please explain why there is an inverse relationship between OT hours for the Engineering Technician role and the rise in customer service requests.</w:t>
      </w:r>
    </w:p>
    <w:p w14:paraId="3C349735" w14:textId="77777777" w:rsidR="0014258A" w:rsidRPr="000D762F" w:rsidRDefault="0014258A" w:rsidP="0014258A">
      <w:pPr>
        <w:pStyle w:val="ListParagraph"/>
        <w:rPr>
          <w:rFonts w:ascii="Arial" w:hAnsi="Arial" w:cs="Arial"/>
          <w:bCs/>
          <w:sz w:val="24"/>
          <w:szCs w:val="24"/>
        </w:rPr>
      </w:pPr>
    </w:p>
    <w:p w14:paraId="4899971B" w14:textId="18808B4B"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107</w:t>
      </w:r>
    </w:p>
    <w:p w14:paraId="4746D241" w14:textId="77777777" w:rsidR="0014258A" w:rsidRPr="000D762F" w:rsidRDefault="0014258A" w:rsidP="0014258A">
      <w:pPr>
        <w:spacing w:after="0"/>
        <w:contextualSpacing/>
        <w:rPr>
          <w:rFonts w:ascii="Arial" w:hAnsi="Arial" w:cs="Arial"/>
          <w:bCs/>
          <w:sz w:val="24"/>
          <w:szCs w:val="24"/>
        </w:rPr>
      </w:pPr>
      <w:r w:rsidRPr="000D762F">
        <w:rPr>
          <w:rFonts w:ascii="Arial" w:hAnsi="Arial" w:cs="Arial"/>
          <w:b/>
          <w:sz w:val="24"/>
          <w:szCs w:val="24"/>
        </w:rPr>
        <w:t>Ref: 4-Staff-42</w:t>
      </w:r>
    </w:p>
    <w:p w14:paraId="02FCF397" w14:textId="77777777" w:rsidR="0014258A" w:rsidRPr="000D762F" w:rsidRDefault="0014258A" w:rsidP="0014258A">
      <w:pPr>
        <w:spacing w:after="0"/>
        <w:rPr>
          <w:rFonts w:ascii="Arial" w:hAnsi="Arial" w:cs="Arial"/>
          <w:bCs/>
          <w:sz w:val="24"/>
          <w:szCs w:val="24"/>
        </w:rPr>
      </w:pPr>
    </w:p>
    <w:p w14:paraId="3D199184" w14:textId="77777777" w:rsidR="0014258A" w:rsidRPr="000D762F" w:rsidRDefault="0014258A" w:rsidP="0014258A">
      <w:pPr>
        <w:pStyle w:val="ListParagraph"/>
        <w:numPr>
          <w:ilvl w:val="0"/>
          <w:numId w:val="10"/>
        </w:numPr>
        <w:spacing w:after="0"/>
        <w:rPr>
          <w:rFonts w:ascii="Arial" w:hAnsi="Arial" w:cs="Arial"/>
          <w:bCs/>
          <w:sz w:val="24"/>
          <w:szCs w:val="24"/>
        </w:rPr>
      </w:pPr>
      <w:r w:rsidRPr="000D762F">
        <w:rPr>
          <w:rFonts w:ascii="Arial" w:hAnsi="Arial" w:cs="Arial"/>
          <w:bCs/>
          <w:sz w:val="24"/>
          <w:szCs w:val="24"/>
        </w:rPr>
        <w:t>Please provide an explanation for why the Engineering Clerk and Locate Clerk have not logged any OT hours, despite the increase in actual and forecasted locate requests indicated in Table 2.</w:t>
      </w:r>
    </w:p>
    <w:p w14:paraId="18F04E7F" w14:textId="77777777" w:rsidR="0014258A" w:rsidRPr="000D762F" w:rsidRDefault="0014258A" w:rsidP="0014258A">
      <w:pPr>
        <w:spacing w:after="0"/>
        <w:rPr>
          <w:rFonts w:ascii="Arial" w:hAnsi="Arial" w:cs="Arial"/>
          <w:bCs/>
          <w:sz w:val="24"/>
          <w:szCs w:val="24"/>
        </w:rPr>
      </w:pPr>
    </w:p>
    <w:p w14:paraId="56002AF0" w14:textId="166C6C6E"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108</w:t>
      </w:r>
    </w:p>
    <w:p w14:paraId="5F7C19FE"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4-Staff-44(c)</w:t>
      </w:r>
    </w:p>
    <w:p w14:paraId="36FE1930" w14:textId="77777777" w:rsidR="0014258A" w:rsidRPr="000D762F" w:rsidRDefault="0014258A" w:rsidP="0014258A">
      <w:pPr>
        <w:spacing w:after="0"/>
        <w:rPr>
          <w:rFonts w:ascii="Arial" w:hAnsi="Arial" w:cs="Arial"/>
          <w:bCs/>
          <w:sz w:val="24"/>
          <w:szCs w:val="24"/>
        </w:rPr>
      </w:pPr>
    </w:p>
    <w:p w14:paraId="4D192033" w14:textId="77777777" w:rsidR="0014258A" w:rsidRPr="000D762F" w:rsidRDefault="0014258A" w:rsidP="0014258A">
      <w:pPr>
        <w:pStyle w:val="ListParagraph"/>
        <w:numPr>
          <w:ilvl w:val="0"/>
          <w:numId w:val="11"/>
        </w:numPr>
        <w:spacing w:after="0"/>
        <w:rPr>
          <w:rFonts w:ascii="Arial" w:hAnsi="Arial" w:cs="Arial"/>
          <w:bCs/>
          <w:sz w:val="24"/>
          <w:szCs w:val="24"/>
        </w:rPr>
      </w:pPr>
      <w:r w:rsidRPr="000D762F">
        <w:rPr>
          <w:rFonts w:ascii="Arial" w:hAnsi="Arial" w:cs="Arial"/>
          <w:bCs/>
          <w:sz w:val="24"/>
          <w:szCs w:val="24"/>
        </w:rPr>
        <w:t xml:space="preserve">In response c to the above staff interrogatory, Burlington Hydro outlined the reasoning for the increased workload for the Communications Advisor role. Please provide figures for the growth in Burlington Hydro’s social media </w:t>
      </w:r>
      <w:proofErr w:type="gramStart"/>
      <w:r w:rsidRPr="000D762F">
        <w:rPr>
          <w:rFonts w:ascii="Arial" w:hAnsi="Arial" w:cs="Arial"/>
          <w:bCs/>
          <w:sz w:val="24"/>
          <w:szCs w:val="24"/>
        </w:rPr>
        <w:t>following, and</w:t>
      </w:r>
      <w:proofErr w:type="gramEnd"/>
      <w:r w:rsidRPr="000D762F">
        <w:rPr>
          <w:rFonts w:ascii="Arial" w:hAnsi="Arial" w:cs="Arial"/>
          <w:bCs/>
          <w:sz w:val="24"/>
          <w:szCs w:val="24"/>
        </w:rPr>
        <w:t xml:space="preserve"> clarify how a rise in social media following results in the need for a higher volume of content to be created.</w:t>
      </w:r>
    </w:p>
    <w:p w14:paraId="57F53598" w14:textId="77777777" w:rsidR="0014258A" w:rsidRPr="000D762F" w:rsidRDefault="0014258A" w:rsidP="0014258A">
      <w:pPr>
        <w:spacing w:after="0"/>
        <w:ind w:left="360"/>
        <w:rPr>
          <w:rFonts w:ascii="Arial" w:hAnsi="Arial" w:cs="Arial"/>
          <w:bCs/>
          <w:sz w:val="24"/>
          <w:szCs w:val="24"/>
        </w:rPr>
      </w:pPr>
    </w:p>
    <w:p w14:paraId="3D0EE867" w14:textId="77777777" w:rsidR="00DB4A41" w:rsidRDefault="00DB4A41" w:rsidP="0014258A">
      <w:pPr>
        <w:spacing w:after="0"/>
        <w:rPr>
          <w:rFonts w:ascii="Arial" w:hAnsi="Arial" w:cs="Arial"/>
          <w:b/>
          <w:sz w:val="24"/>
          <w:szCs w:val="24"/>
        </w:rPr>
      </w:pPr>
    </w:p>
    <w:p w14:paraId="32C4B06A" w14:textId="77777777" w:rsidR="00DB4A41" w:rsidRDefault="00DB4A41" w:rsidP="0014258A">
      <w:pPr>
        <w:spacing w:after="0"/>
        <w:rPr>
          <w:rFonts w:ascii="Arial" w:hAnsi="Arial" w:cs="Arial"/>
          <w:b/>
          <w:sz w:val="24"/>
          <w:szCs w:val="24"/>
        </w:rPr>
      </w:pPr>
    </w:p>
    <w:p w14:paraId="7515E5BA" w14:textId="58886391"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109</w:t>
      </w:r>
    </w:p>
    <w:p w14:paraId="641B04C8"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4-Staff-45(a)</w:t>
      </w:r>
    </w:p>
    <w:p w14:paraId="7B93625E" w14:textId="77777777" w:rsidR="0014258A" w:rsidRPr="000D762F" w:rsidRDefault="0014258A" w:rsidP="0014258A">
      <w:pPr>
        <w:spacing w:after="0"/>
        <w:rPr>
          <w:rFonts w:ascii="Arial" w:hAnsi="Arial" w:cs="Arial"/>
          <w:bCs/>
          <w:sz w:val="24"/>
          <w:szCs w:val="24"/>
        </w:rPr>
      </w:pPr>
    </w:p>
    <w:p w14:paraId="603197B3" w14:textId="77777777" w:rsidR="0014258A" w:rsidRPr="000D762F" w:rsidRDefault="0014258A" w:rsidP="0014258A">
      <w:pPr>
        <w:pStyle w:val="ListParagraph"/>
        <w:numPr>
          <w:ilvl w:val="0"/>
          <w:numId w:val="12"/>
        </w:numPr>
        <w:spacing w:after="0"/>
        <w:rPr>
          <w:rFonts w:ascii="Arial" w:hAnsi="Arial" w:cs="Arial"/>
          <w:b/>
          <w:sz w:val="24"/>
          <w:szCs w:val="24"/>
        </w:rPr>
      </w:pPr>
      <w:r w:rsidRPr="000D762F">
        <w:rPr>
          <w:rFonts w:ascii="Arial" w:hAnsi="Arial" w:cs="Arial"/>
          <w:bCs/>
          <w:sz w:val="24"/>
          <w:szCs w:val="24"/>
        </w:rPr>
        <w:t>Burlington Hydro states that financial planning, regulatory compliance and capital tracking related responsibilities are currently dispersed among various roles in the Finance department, and that the utility does not track OT hours for these positions:</w:t>
      </w:r>
    </w:p>
    <w:p w14:paraId="69958910" w14:textId="77777777" w:rsidR="0014258A" w:rsidRPr="000D762F" w:rsidRDefault="0014258A" w:rsidP="0014258A">
      <w:pPr>
        <w:pStyle w:val="ListParagraph"/>
        <w:spacing w:after="0"/>
        <w:rPr>
          <w:rFonts w:ascii="Arial" w:hAnsi="Arial" w:cs="Arial"/>
          <w:bCs/>
          <w:sz w:val="24"/>
          <w:szCs w:val="24"/>
        </w:rPr>
      </w:pPr>
    </w:p>
    <w:p w14:paraId="28B81F41" w14:textId="77777777" w:rsidR="0014258A" w:rsidRPr="000D762F" w:rsidRDefault="0014258A" w:rsidP="0014258A">
      <w:pPr>
        <w:pStyle w:val="ListParagraph"/>
        <w:numPr>
          <w:ilvl w:val="0"/>
          <w:numId w:val="13"/>
        </w:numPr>
        <w:spacing w:after="0"/>
        <w:rPr>
          <w:rFonts w:ascii="Arial" w:hAnsi="Arial" w:cs="Arial"/>
          <w:b/>
          <w:sz w:val="24"/>
          <w:szCs w:val="24"/>
        </w:rPr>
      </w:pPr>
      <w:r w:rsidRPr="000D762F">
        <w:rPr>
          <w:rFonts w:ascii="Arial" w:hAnsi="Arial" w:cs="Arial"/>
          <w:bCs/>
          <w:sz w:val="24"/>
          <w:szCs w:val="24"/>
        </w:rPr>
        <w:t>Controller</w:t>
      </w:r>
    </w:p>
    <w:p w14:paraId="3A93BE6E" w14:textId="77777777" w:rsidR="0014258A" w:rsidRPr="000D762F" w:rsidRDefault="0014258A" w:rsidP="0014258A">
      <w:pPr>
        <w:pStyle w:val="ListParagraph"/>
        <w:numPr>
          <w:ilvl w:val="0"/>
          <w:numId w:val="13"/>
        </w:numPr>
        <w:spacing w:after="0"/>
        <w:rPr>
          <w:rFonts w:ascii="Arial" w:hAnsi="Arial" w:cs="Arial"/>
          <w:b/>
          <w:sz w:val="24"/>
          <w:szCs w:val="24"/>
        </w:rPr>
      </w:pPr>
      <w:r w:rsidRPr="000D762F">
        <w:rPr>
          <w:rFonts w:ascii="Arial" w:hAnsi="Arial" w:cs="Arial"/>
          <w:bCs/>
          <w:sz w:val="24"/>
          <w:szCs w:val="24"/>
        </w:rPr>
        <w:t xml:space="preserve">Financial Accountant, </w:t>
      </w:r>
    </w:p>
    <w:p w14:paraId="50FD562E" w14:textId="77777777" w:rsidR="0014258A" w:rsidRPr="000D762F" w:rsidRDefault="0014258A" w:rsidP="0014258A">
      <w:pPr>
        <w:pStyle w:val="ListParagraph"/>
        <w:numPr>
          <w:ilvl w:val="0"/>
          <w:numId w:val="13"/>
        </w:numPr>
        <w:spacing w:after="0"/>
        <w:rPr>
          <w:rFonts w:ascii="Arial" w:hAnsi="Arial" w:cs="Arial"/>
          <w:b/>
          <w:sz w:val="24"/>
          <w:szCs w:val="24"/>
        </w:rPr>
      </w:pPr>
      <w:r w:rsidRPr="000D762F">
        <w:rPr>
          <w:rFonts w:ascii="Arial" w:hAnsi="Arial" w:cs="Arial"/>
          <w:bCs/>
          <w:sz w:val="24"/>
          <w:szCs w:val="24"/>
        </w:rPr>
        <w:t>Financial Analyst</w:t>
      </w:r>
    </w:p>
    <w:p w14:paraId="21E002D9" w14:textId="77777777" w:rsidR="0014258A" w:rsidRPr="000D762F" w:rsidRDefault="0014258A" w:rsidP="0014258A">
      <w:pPr>
        <w:pStyle w:val="ListParagraph"/>
        <w:numPr>
          <w:ilvl w:val="0"/>
          <w:numId w:val="13"/>
        </w:numPr>
        <w:spacing w:after="0"/>
        <w:rPr>
          <w:rFonts w:ascii="Arial" w:hAnsi="Arial" w:cs="Arial"/>
          <w:b/>
          <w:sz w:val="24"/>
          <w:szCs w:val="24"/>
        </w:rPr>
      </w:pPr>
      <w:r w:rsidRPr="000D762F">
        <w:rPr>
          <w:rFonts w:ascii="Arial" w:hAnsi="Arial" w:cs="Arial"/>
          <w:bCs/>
          <w:sz w:val="24"/>
          <w:szCs w:val="24"/>
        </w:rPr>
        <w:t>Accountant, Financial and Regulatory</w:t>
      </w:r>
    </w:p>
    <w:p w14:paraId="29D9F408" w14:textId="77777777" w:rsidR="0014258A" w:rsidRPr="000D762F" w:rsidRDefault="0014258A" w:rsidP="0014258A">
      <w:pPr>
        <w:pStyle w:val="ListParagraph"/>
        <w:numPr>
          <w:ilvl w:val="0"/>
          <w:numId w:val="13"/>
        </w:numPr>
        <w:spacing w:after="0"/>
        <w:rPr>
          <w:rFonts w:ascii="Arial" w:hAnsi="Arial" w:cs="Arial"/>
          <w:b/>
          <w:sz w:val="24"/>
          <w:szCs w:val="24"/>
        </w:rPr>
      </w:pPr>
      <w:r w:rsidRPr="000D762F">
        <w:rPr>
          <w:rFonts w:ascii="Arial" w:hAnsi="Arial" w:cs="Arial"/>
          <w:bCs/>
          <w:sz w:val="24"/>
          <w:szCs w:val="24"/>
        </w:rPr>
        <w:t>a temporary Co-Op student</w:t>
      </w:r>
    </w:p>
    <w:p w14:paraId="2973AF66" w14:textId="77777777" w:rsidR="0014258A" w:rsidRPr="000D762F" w:rsidRDefault="0014258A" w:rsidP="0014258A">
      <w:pPr>
        <w:spacing w:after="0"/>
        <w:ind w:left="720"/>
        <w:rPr>
          <w:rFonts w:ascii="Arial" w:hAnsi="Arial" w:cs="Arial"/>
          <w:bCs/>
          <w:sz w:val="24"/>
          <w:szCs w:val="24"/>
        </w:rPr>
      </w:pPr>
    </w:p>
    <w:p w14:paraId="561CA363" w14:textId="77777777" w:rsidR="0014258A" w:rsidRPr="000D762F" w:rsidRDefault="0014258A" w:rsidP="0014258A">
      <w:pPr>
        <w:spacing w:after="0"/>
        <w:ind w:left="720"/>
        <w:rPr>
          <w:rFonts w:ascii="Arial" w:hAnsi="Arial" w:cs="Arial"/>
          <w:bCs/>
          <w:sz w:val="24"/>
          <w:szCs w:val="24"/>
        </w:rPr>
      </w:pPr>
      <w:r w:rsidRPr="000D762F">
        <w:rPr>
          <w:rFonts w:ascii="Arial" w:hAnsi="Arial" w:cs="Arial"/>
          <w:bCs/>
          <w:sz w:val="24"/>
          <w:szCs w:val="24"/>
        </w:rPr>
        <w:t xml:space="preserve">Please confirm whether any OT hours have been assigned to the above roles (aside from the 65-1,300 hours logged by the co-op student) </w:t>
      </w:r>
      <w:proofErr w:type="gramStart"/>
      <w:r w:rsidRPr="000D762F">
        <w:rPr>
          <w:rFonts w:ascii="Arial" w:hAnsi="Arial" w:cs="Arial"/>
          <w:bCs/>
          <w:sz w:val="24"/>
          <w:szCs w:val="24"/>
        </w:rPr>
        <w:t>in regard to</w:t>
      </w:r>
      <w:proofErr w:type="gramEnd"/>
      <w:r w:rsidRPr="000D762F">
        <w:rPr>
          <w:rFonts w:ascii="Arial" w:hAnsi="Arial" w:cs="Arial"/>
          <w:bCs/>
          <w:sz w:val="24"/>
          <w:szCs w:val="24"/>
        </w:rPr>
        <w:t xml:space="preserve"> the financial planning, regulatory compliance, and capital tracking functions that the proposed Financial Analyst would assume.</w:t>
      </w:r>
    </w:p>
    <w:p w14:paraId="23B4E3CF" w14:textId="77777777" w:rsidR="0014258A" w:rsidRPr="000D762F" w:rsidRDefault="0014258A" w:rsidP="0014258A">
      <w:pPr>
        <w:spacing w:after="0"/>
        <w:rPr>
          <w:rFonts w:ascii="Arial" w:hAnsi="Arial" w:cs="Arial"/>
          <w:bCs/>
          <w:sz w:val="24"/>
          <w:szCs w:val="24"/>
        </w:rPr>
      </w:pPr>
    </w:p>
    <w:p w14:paraId="6D9443AE" w14:textId="0360A6F1"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BA1713" w:rsidRPr="000D762F">
        <w:rPr>
          <w:rFonts w:ascii="Arial" w:hAnsi="Arial" w:cs="Arial"/>
          <w:b/>
          <w:sz w:val="24"/>
          <w:szCs w:val="24"/>
        </w:rPr>
        <w:t>110</w:t>
      </w:r>
    </w:p>
    <w:p w14:paraId="6BF54EFD" w14:textId="77777777" w:rsidR="0014258A" w:rsidRPr="000D762F" w:rsidRDefault="0014258A" w:rsidP="0014258A">
      <w:pPr>
        <w:spacing w:after="0"/>
        <w:rPr>
          <w:rFonts w:ascii="Arial" w:hAnsi="Arial" w:cs="Arial"/>
          <w:b/>
          <w:sz w:val="24"/>
          <w:szCs w:val="24"/>
        </w:rPr>
      </w:pPr>
      <w:r w:rsidRPr="000D762F">
        <w:rPr>
          <w:rFonts w:ascii="Arial" w:hAnsi="Arial" w:cs="Arial"/>
          <w:b/>
          <w:sz w:val="24"/>
          <w:szCs w:val="24"/>
        </w:rPr>
        <w:t>Ref: 4-Staff-50 (b)</w:t>
      </w:r>
    </w:p>
    <w:p w14:paraId="3CE42597" w14:textId="77777777" w:rsidR="0014258A" w:rsidRPr="000D762F" w:rsidRDefault="0014258A" w:rsidP="0014258A">
      <w:pPr>
        <w:pStyle w:val="ListParagraph"/>
        <w:numPr>
          <w:ilvl w:val="0"/>
          <w:numId w:val="14"/>
        </w:numPr>
        <w:spacing w:after="0"/>
        <w:rPr>
          <w:rFonts w:ascii="Arial" w:hAnsi="Arial" w:cs="Arial"/>
          <w:bCs/>
          <w:sz w:val="24"/>
          <w:szCs w:val="24"/>
        </w:rPr>
      </w:pPr>
      <w:r w:rsidRPr="000D762F">
        <w:rPr>
          <w:rFonts w:ascii="Arial" w:hAnsi="Arial" w:cs="Arial"/>
          <w:bCs/>
          <w:sz w:val="24"/>
          <w:szCs w:val="24"/>
        </w:rPr>
        <w:t>In its response, Burlington Hydro indicated it had redistributed key responsibilities among the current team (three manager-level Distribution Engineers and the Vice-President, Engineering Services &amp; Network Operations) and listed the specific responsibilities taken on by the other staff during the vacancy. Where possible, please provide OT hours for each role indicated above associated with the specific responsibilities outlined in the response.</w:t>
      </w:r>
    </w:p>
    <w:p w14:paraId="1782D811" w14:textId="77777777" w:rsidR="0014258A" w:rsidRPr="000D762F" w:rsidRDefault="0014258A" w:rsidP="0014258A">
      <w:pPr>
        <w:spacing w:after="0"/>
        <w:rPr>
          <w:rFonts w:ascii="Arial" w:hAnsi="Arial" w:cs="Arial"/>
          <w:bCs/>
          <w:sz w:val="24"/>
          <w:szCs w:val="24"/>
        </w:rPr>
      </w:pPr>
    </w:p>
    <w:p w14:paraId="11A7BF39" w14:textId="2DF1294B"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CF33BA" w:rsidRPr="000D762F">
        <w:rPr>
          <w:rFonts w:ascii="Arial" w:hAnsi="Arial" w:cs="Arial"/>
          <w:b/>
          <w:sz w:val="24"/>
          <w:szCs w:val="24"/>
        </w:rPr>
        <w:t>111</w:t>
      </w:r>
    </w:p>
    <w:p w14:paraId="6B5FA647" w14:textId="77777777" w:rsidR="0014258A" w:rsidRPr="000D762F" w:rsidRDefault="0014258A" w:rsidP="0014258A">
      <w:pPr>
        <w:spacing w:after="0"/>
        <w:rPr>
          <w:rFonts w:ascii="Arial" w:hAnsi="Arial" w:cs="Arial"/>
          <w:bCs/>
          <w:sz w:val="24"/>
          <w:szCs w:val="24"/>
        </w:rPr>
      </w:pPr>
      <w:r w:rsidRPr="000D762F">
        <w:rPr>
          <w:rFonts w:ascii="Arial" w:hAnsi="Arial" w:cs="Arial"/>
          <w:b/>
          <w:sz w:val="24"/>
          <w:szCs w:val="24"/>
        </w:rPr>
        <w:t>Ref: 4-Staff-57</w:t>
      </w:r>
    </w:p>
    <w:p w14:paraId="4F7AD0F4" w14:textId="77777777" w:rsidR="0014258A" w:rsidRPr="000D762F" w:rsidRDefault="0014258A" w:rsidP="0014258A">
      <w:pPr>
        <w:spacing w:after="0"/>
        <w:rPr>
          <w:rFonts w:ascii="Arial" w:hAnsi="Arial" w:cs="Arial"/>
          <w:bCs/>
          <w:sz w:val="24"/>
          <w:szCs w:val="24"/>
        </w:rPr>
      </w:pPr>
    </w:p>
    <w:p w14:paraId="571CD7F9" w14:textId="17C9EF80" w:rsidR="0014258A" w:rsidRPr="000D762F" w:rsidRDefault="0014258A" w:rsidP="0014258A">
      <w:pPr>
        <w:pStyle w:val="ListParagraph"/>
        <w:numPr>
          <w:ilvl w:val="0"/>
          <w:numId w:val="15"/>
        </w:numPr>
        <w:spacing w:after="0"/>
        <w:rPr>
          <w:rFonts w:ascii="Arial" w:hAnsi="Arial" w:cs="Arial"/>
          <w:bCs/>
          <w:sz w:val="24"/>
          <w:szCs w:val="24"/>
        </w:rPr>
      </w:pPr>
      <w:r w:rsidRPr="000D762F">
        <w:rPr>
          <w:rFonts w:ascii="Arial" w:hAnsi="Arial" w:cs="Arial"/>
          <w:bCs/>
          <w:sz w:val="24"/>
          <w:szCs w:val="24"/>
        </w:rPr>
        <w:t xml:space="preserve">In its response to the above interrogatory, Burlington Hydro estimated that 15 FTEs have had work assigned which is associated with OEB policy consultations and </w:t>
      </w:r>
      <w:proofErr w:type="gramStart"/>
      <w:r w:rsidRPr="000D762F">
        <w:rPr>
          <w:rFonts w:ascii="Arial" w:hAnsi="Arial" w:cs="Arial"/>
          <w:bCs/>
          <w:sz w:val="24"/>
          <w:szCs w:val="24"/>
        </w:rPr>
        <w:t>initiatives, but</w:t>
      </w:r>
      <w:proofErr w:type="gramEnd"/>
      <w:r w:rsidRPr="000D762F">
        <w:rPr>
          <w:rFonts w:ascii="Arial" w:hAnsi="Arial" w:cs="Arial"/>
          <w:bCs/>
          <w:sz w:val="24"/>
          <w:szCs w:val="24"/>
        </w:rPr>
        <w:t xml:space="preserve"> indicated that the requested information is too granular to provide an accurate response.  Please provide the number of OT hours for these 15 FTEs have logged each year from 2021 to 2024 and YTD 2025.</w:t>
      </w:r>
    </w:p>
    <w:p w14:paraId="1300270D" w14:textId="77777777" w:rsidR="0014258A" w:rsidRPr="000D762F" w:rsidRDefault="0014258A" w:rsidP="0014258A">
      <w:pPr>
        <w:spacing w:after="0"/>
        <w:rPr>
          <w:rFonts w:ascii="Arial" w:hAnsi="Arial" w:cs="Arial"/>
          <w:bCs/>
          <w:sz w:val="24"/>
          <w:szCs w:val="24"/>
        </w:rPr>
      </w:pPr>
    </w:p>
    <w:p w14:paraId="07E6D7F2" w14:textId="38F5BF64"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CF33BA" w:rsidRPr="000D762F">
        <w:rPr>
          <w:rFonts w:ascii="Arial" w:hAnsi="Arial" w:cs="Arial"/>
          <w:b/>
          <w:sz w:val="24"/>
          <w:szCs w:val="24"/>
        </w:rPr>
        <w:t>112</w:t>
      </w:r>
    </w:p>
    <w:p w14:paraId="3DF7178F" w14:textId="77777777" w:rsidR="0014258A" w:rsidRPr="000D762F" w:rsidRDefault="0014258A" w:rsidP="0014258A">
      <w:pPr>
        <w:spacing w:after="0"/>
        <w:rPr>
          <w:rFonts w:ascii="Arial" w:hAnsi="Arial" w:cs="Arial"/>
          <w:bCs/>
          <w:sz w:val="24"/>
          <w:szCs w:val="24"/>
        </w:rPr>
      </w:pPr>
      <w:r w:rsidRPr="000D762F">
        <w:rPr>
          <w:rFonts w:ascii="Arial" w:hAnsi="Arial" w:cs="Arial"/>
          <w:b/>
          <w:sz w:val="24"/>
          <w:szCs w:val="24"/>
        </w:rPr>
        <w:t>Ref: 4-Staff-63(d)</w:t>
      </w:r>
    </w:p>
    <w:p w14:paraId="4B4FAF13" w14:textId="77777777" w:rsidR="0014258A" w:rsidRPr="000D762F" w:rsidRDefault="0014258A" w:rsidP="0014258A">
      <w:pPr>
        <w:spacing w:after="0"/>
        <w:rPr>
          <w:rFonts w:ascii="Arial" w:hAnsi="Arial" w:cs="Arial"/>
          <w:bCs/>
          <w:sz w:val="24"/>
          <w:szCs w:val="24"/>
        </w:rPr>
      </w:pPr>
    </w:p>
    <w:p w14:paraId="4AFC5BD8" w14:textId="77777777" w:rsidR="0014258A" w:rsidRPr="000D762F" w:rsidRDefault="0014258A" w:rsidP="0014258A">
      <w:pPr>
        <w:pStyle w:val="ListParagraph"/>
        <w:numPr>
          <w:ilvl w:val="0"/>
          <w:numId w:val="16"/>
        </w:numPr>
        <w:spacing w:after="0"/>
        <w:rPr>
          <w:rFonts w:ascii="Arial" w:hAnsi="Arial" w:cs="Arial"/>
          <w:bCs/>
          <w:sz w:val="24"/>
          <w:szCs w:val="24"/>
        </w:rPr>
      </w:pPr>
      <w:r w:rsidRPr="000D762F">
        <w:rPr>
          <w:rFonts w:ascii="Arial" w:hAnsi="Arial" w:cs="Arial"/>
          <w:bCs/>
          <w:sz w:val="24"/>
          <w:szCs w:val="24"/>
        </w:rPr>
        <w:t>Burlington Hydro indicted that the absence of a dedicated Engineering Supervisor, Energy Transition, some of the tasks identified in part (a) of its response are distributed across existing portfolios within the engineering department. Please provide an overview of which tasks were assigned to which department or role.</w:t>
      </w:r>
    </w:p>
    <w:p w14:paraId="4E5C558B" w14:textId="77777777" w:rsidR="0014258A" w:rsidRPr="000D762F" w:rsidRDefault="0014258A" w:rsidP="0014258A">
      <w:pPr>
        <w:spacing w:after="0"/>
        <w:rPr>
          <w:rFonts w:ascii="Arial" w:hAnsi="Arial" w:cs="Arial"/>
          <w:b/>
          <w:sz w:val="24"/>
          <w:szCs w:val="24"/>
        </w:rPr>
      </w:pPr>
    </w:p>
    <w:p w14:paraId="2BD16BD2" w14:textId="77777777" w:rsidR="00724AE4" w:rsidRDefault="00724AE4" w:rsidP="0014258A">
      <w:pPr>
        <w:spacing w:after="0"/>
        <w:rPr>
          <w:rFonts w:ascii="Arial" w:hAnsi="Arial" w:cs="Arial"/>
          <w:b/>
          <w:sz w:val="24"/>
          <w:szCs w:val="24"/>
        </w:rPr>
      </w:pPr>
    </w:p>
    <w:p w14:paraId="61D2C990" w14:textId="77777777" w:rsidR="00724AE4" w:rsidRDefault="00724AE4" w:rsidP="0014258A">
      <w:pPr>
        <w:spacing w:after="0"/>
        <w:rPr>
          <w:rFonts w:ascii="Arial" w:hAnsi="Arial" w:cs="Arial"/>
          <w:b/>
          <w:sz w:val="24"/>
          <w:szCs w:val="24"/>
        </w:rPr>
      </w:pPr>
    </w:p>
    <w:p w14:paraId="474A9ACD" w14:textId="46BC3A84" w:rsidR="0014258A" w:rsidRPr="000D762F" w:rsidRDefault="0014258A" w:rsidP="0014258A">
      <w:pPr>
        <w:spacing w:after="0"/>
        <w:rPr>
          <w:rFonts w:ascii="Arial" w:hAnsi="Arial" w:cs="Arial"/>
          <w:b/>
          <w:sz w:val="24"/>
          <w:szCs w:val="24"/>
        </w:rPr>
      </w:pPr>
      <w:r w:rsidRPr="000D762F">
        <w:rPr>
          <w:rFonts w:ascii="Arial" w:hAnsi="Arial" w:cs="Arial"/>
          <w:b/>
          <w:sz w:val="24"/>
          <w:szCs w:val="24"/>
        </w:rPr>
        <w:t>Staff-</w:t>
      </w:r>
      <w:r w:rsidR="00CF33BA" w:rsidRPr="000D762F">
        <w:rPr>
          <w:rFonts w:ascii="Arial" w:hAnsi="Arial" w:cs="Arial"/>
          <w:b/>
          <w:sz w:val="24"/>
          <w:szCs w:val="24"/>
        </w:rPr>
        <w:t>113</w:t>
      </w:r>
    </w:p>
    <w:p w14:paraId="14217421" w14:textId="77777777" w:rsidR="0014258A" w:rsidRPr="000D762F" w:rsidRDefault="0014258A" w:rsidP="0014258A">
      <w:pPr>
        <w:spacing w:after="0"/>
        <w:rPr>
          <w:rFonts w:ascii="Arial" w:hAnsi="Arial" w:cs="Arial"/>
          <w:bCs/>
          <w:sz w:val="24"/>
          <w:szCs w:val="24"/>
        </w:rPr>
      </w:pPr>
      <w:r w:rsidRPr="000D762F">
        <w:rPr>
          <w:rFonts w:ascii="Arial" w:hAnsi="Arial" w:cs="Arial"/>
          <w:b/>
          <w:sz w:val="24"/>
          <w:szCs w:val="24"/>
        </w:rPr>
        <w:t>Ref: 4-Staff-66</w:t>
      </w:r>
    </w:p>
    <w:p w14:paraId="6270DEAB" w14:textId="77777777" w:rsidR="0014258A" w:rsidRPr="000D762F" w:rsidRDefault="0014258A" w:rsidP="0014258A">
      <w:pPr>
        <w:spacing w:after="0"/>
        <w:rPr>
          <w:rFonts w:ascii="Arial" w:hAnsi="Arial" w:cs="Arial"/>
          <w:bCs/>
          <w:sz w:val="24"/>
          <w:szCs w:val="24"/>
        </w:rPr>
      </w:pPr>
    </w:p>
    <w:p w14:paraId="1F1B274E" w14:textId="77777777" w:rsidR="0014258A" w:rsidRPr="000D762F" w:rsidRDefault="0014258A" w:rsidP="0014258A">
      <w:pPr>
        <w:pStyle w:val="ListParagraph"/>
        <w:numPr>
          <w:ilvl w:val="0"/>
          <w:numId w:val="17"/>
        </w:numPr>
        <w:spacing w:after="0"/>
        <w:rPr>
          <w:rFonts w:ascii="Arial" w:hAnsi="Arial" w:cs="Arial"/>
          <w:bCs/>
          <w:sz w:val="24"/>
          <w:szCs w:val="24"/>
        </w:rPr>
      </w:pPr>
      <w:r w:rsidRPr="000D762F">
        <w:rPr>
          <w:rFonts w:ascii="Arial" w:hAnsi="Arial" w:cs="Arial"/>
          <w:bCs/>
          <w:sz w:val="24"/>
          <w:szCs w:val="24"/>
        </w:rPr>
        <w:t>In response b, Burlington hydro indicates that effectively addressing employee turnover is a critical component of this role, citing a high average turnover rate. However, in its response to 4-Staff-39 (responses to b-c-d, Table 1), Burlington Hydro provides updated turnover figures for 2025, indicating that employee turnover continues to trend downward. Please reconcile the stated need for the HR role in the context of declining turnover.</w:t>
      </w:r>
    </w:p>
    <w:p w14:paraId="6FBFA55D" w14:textId="77777777" w:rsidR="0014258A" w:rsidRPr="000D762F" w:rsidRDefault="0014258A" w:rsidP="0014258A">
      <w:pPr>
        <w:spacing w:after="0"/>
        <w:rPr>
          <w:rFonts w:ascii="Arial" w:hAnsi="Arial" w:cs="Arial"/>
          <w:bCs/>
          <w:sz w:val="24"/>
          <w:szCs w:val="24"/>
        </w:rPr>
      </w:pPr>
    </w:p>
    <w:p w14:paraId="2637CC4F" w14:textId="77777777" w:rsidR="0014258A" w:rsidRPr="000D762F" w:rsidRDefault="0014258A" w:rsidP="0014258A">
      <w:pPr>
        <w:spacing w:after="0"/>
        <w:contextualSpacing/>
        <w:rPr>
          <w:rFonts w:ascii="Arial" w:hAnsi="Arial" w:cs="Arial"/>
          <w:b/>
          <w:sz w:val="24"/>
          <w:szCs w:val="24"/>
        </w:rPr>
      </w:pPr>
    </w:p>
    <w:p w14:paraId="45A5BF5A" w14:textId="3E1DB5F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Staff-</w:t>
      </w:r>
      <w:r w:rsidR="00CF33BA" w:rsidRPr="000D762F">
        <w:rPr>
          <w:rFonts w:ascii="Arial" w:hAnsi="Arial" w:cs="Arial"/>
          <w:b/>
          <w:sz w:val="24"/>
          <w:szCs w:val="24"/>
        </w:rPr>
        <w:t>114</w:t>
      </w:r>
    </w:p>
    <w:p w14:paraId="02AAB292"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PILs Model</w:t>
      </w:r>
    </w:p>
    <w:p w14:paraId="69913A77"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 xml:space="preserve">Ref 1: </w:t>
      </w:r>
      <w:r w:rsidRPr="000D762F">
        <w:rPr>
          <w:rStyle w:val="normaltextrun"/>
          <w:rFonts w:ascii="Arial" w:hAnsi="Arial" w:cs="Arial"/>
          <w:b/>
          <w:bCs/>
          <w:sz w:val="24"/>
          <w:szCs w:val="24"/>
        </w:rPr>
        <w:t>BHI_IRR_Staff_07242025, 6-Staff-76, Table 2</w:t>
      </w:r>
    </w:p>
    <w:p w14:paraId="037CE69D"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Ref 2: Attachment_2026 PILs Workform_BHI_07242025, B8_Sch8_CCA Bridge</w:t>
      </w:r>
    </w:p>
    <w:p w14:paraId="69A7D76B"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Ref 3: Attachment_OEB_</w:t>
      </w:r>
      <w:r w:rsidRPr="000D762F">
        <w:rPr>
          <w:rStyle w:val="normaltextrun"/>
          <w:rFonts w:ascii="Arial" w:hAnsi="Arial" w:cs="Arial"/>
          <w:b/>
          <w:sz w:val="24"/>
          <w:szCs w:val="24"/>
        </w:rPr>
        <w:t>Chapter2Appendices_BHI_07242025, 2BA, Y2025</w:t>
      </w:r>
    </w:p>
    <w:p w14:paraId="67002186" w14:textId="77777777" w:rsidR="0014258A" w:rsidRPr="000D762F" w:rsidRDefault="0014258A" w:rsidP="0014258A">
      <w:pPr>
        <w:spacing w:after="0"/>
        <w:rPr>
          <w:rFonts w:ascii="Arial" w:hAnsi="Arial" w:cs="Arial"/>
          <w:b/>
          <w:bCs/>
          <w:sz w:val="24"/>
          <w:szCs w:val="24"/>
        </w:rPr>
      </w:pPr>
    </w:p>
    <w:p w14:paraId="0B1302FA"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 xml:space="preserve">Preamble: </w:t>
      </w:r>
    </w:p>
    <w:p w14:paraId="7365D682"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Per Ref 1, 2 &amp; 3, OEB staff has reconciled 2025 capital additions between PILs model (Schedule 8) and Appendix 2BA (before CWIP addition and excluding land), which shows the variance from Ref 1.</w:t>
      </w:r>
    </w:p>
    <w:p w14:paraId="19EC7917" w14:textId="77777777" w:rsidR="0014258A" w:rsidRPr="000D762F" w:rsidRDefault="0014258A" w:rsidP="0014258A">
      <w:pPr>
        <w:spacing w:after="0"/>
        <w:rPr>
          <w:rFonts w:ascii="Arial" w:hAnsi="Arial" w:cs="Arial"/>
          <w:sz w:val="24"/>
          <w:szCs w:val="24"/>
        </w:rPr>
      </w:pPr>
    </w:p>
    <w:p w14:paraId="19EAAE5A" w14:textId="77777777" w:rsidR="00DB4A41" w:rsidRDefault="00DB4A41" w:rsidP="0014258A">
      <w:pPr>
        <w:spacing w:after="0"/>
        <w:jc w:val="center"/>
        <w:rPr>
          <w:rFonts w:ascii="Arial" w:hAnsi="Arial" w:cs="Arial"/>
          <w:sz w:val="24"/>
          <w:szCs w:val="24"/>
        </w:rPr>
      </w:pPr>
    </w:p>
    <w:p w14:paraId="47C8111E" w14:textId="77777777" w:rsidR="00DB4A41" w:rsidRDefault="00DB4A41" w:rsidP="0014258A">
      <w:pPr>
        <w:spacing w:after="0"/>
        <w:jc w:val="center"/>
        <w:rPr>
          <w:rFonts w:ascii="Arial" w:hAnsi="Arial" w:cs="Arial"/>
          <w:sz w:val="24"/>
          <w:szCs w:val="24"/>
        </w:rPr>
      </w:pPr>
    </w:p>
    <w:p w14:paraId="4305F6E2" w14:textId="77777777" w:rsidR="00DB4A41" w:rsidRDefault="00DB4A41" w:rsidP="0014258A">
      <w:pPr>
        <w:spacing w:after="0"/>
        <w:jc w:val="center"/>
        <w:rPr>
          <w:rFonts w:ascii="Arial" w:hAnsi="Arial" w:cs="Arial"/>
          <w:sz w:val="24"/>
          <w:szCs w:val="24"/>
        </w:rPr>
      </w:pPr>
    </w:p>
    <w:p w14:paraId="7C37BDDB" w14:textId="77777777" w:rsidR="00DB4A41" w:rsidRDefault="00DB4A41" w:rsidP="0014258A">
      <w:pPr>
        <w:spacing w:after="0"/>
        <w:jc w:val="center"/>
        <w:rPr>
          <w:rFonts w:ascii="Arial" w:hAnsi="Arial" w:cs="Arial"/>
          <w:sz w:val="24"/>
          <w:szCs w:val="24"/>
        </w:rPr>
      </w:pPr>
    </w:p>
    <w:p w14:paraId="779A6E2C" w14:textId="77777777" w:rsidR="00DB4A41" w:rsidRDefault="00DB4A41" w:rsidP="0014258A">
      <w:pPr>
        <w:spacing w:after="0"/>
        <w:jc w:val="center"/>
        <w:rPr>
          <w:rFonts w:ascii="Arial" w:hAnsi="Arial" w:cs="Arial"/>
          <w:sz w:val="24"/>
          <w:szCs w:val="24"/>
        </w:rPr>
      </w:pPr>
    </w:p>
    <w:p w14:paraId="24E32114" w14:textId="77777777" w:rsidR="0014258A" w:rsidRPr="000D762F" w:rsidRDefault="0014258A" w:rsidP="0014258A">
      <w:pPr>
        <w:spacing w:after="0"/>
        <w:jc w:val="center"/>
        <w:rPr>
          <w:rFonts w:ascii="Arial" w:hAnsi="Arial" w:cs="Arial"/>
          <w:sz w:val="24"/>
          <w:szCs w:val="24"/>
        </w:rPr>
      </w:pPr>
      <w:r w:rsidRPr="000D762F">
        <w:rPr>
          <w:rFonts w:ascii="Arial" w:hAnsi="Arial" w:cs="Arial"/>
          <w:sz w:val="24"/>
          <w:szCs w:val="24"/>
        </w:rPr>
        <w:t>Table (1): Reconciliation of Capital Additions between PILs (Sch8) &amp; 2BA</w:t>
      </w:r>
    </w:p>
    <w:tbl>
      <w:tblPr>
        <w:tblStyle w:val="TableGrid"/>
        <w:tblW w:w="0" w:type="auto"/>
        <w:jc w:val="center"/>
        <w:tblLook w:val="04A0" w:firstRow="1" w:lastRow="0" w:firstColumn="1" w:lastColumn="0" w:noHBand="0" w:noVBand="1"/>
      </w:tblPr>
      <w:tblGrid>
        <w:gridCol w:w="2245"/>
        <w:gridCol w:w="1418"/>
        <w:gridCol w:w="5310"/>
      </w:tblGrid>
      <w:tr w:rsidR="0014258A" w:rsidRPr="000D762F" w14:paraId="7B18A8FB" w14:textId="77777777">
        <w:trPr>
          <w:jc w:val="center"/>
        </w:trPr>
        <w:tc>
          <w:tcPr>
            <w:tcW w:w="2245" w:type="dxa"/>
          </w:tcPr>
          <w:p w14:paraId="3878CCD0" w14:textId="77777777" w:rsidR="0014258A" w:rsidRPr="000D762F" w:rsidRDefault="0014258A" w:rsidP="0014258A">
            <w:pPr>
              <w:spacing w:after="0"/>
              <w:rPr>
                <w:rFonts w:cs="Arial"/>
                <w:sz w:val="24"/>
                <w:szCs w:val="24"/>
              </w:rPr>
            </w:pPr>
          </w:p>
        </w:tc>
        <w:tc>
          <w:tcPr>
            <w:tcW w:w="1170" w:type="dxa"/>
          </w:tcPr>
          <w:p w14:paraId="0D562B85" w14:textId="77777777" w:rsidR="0014258A" w:rsidRPr="000D762F" w:rsidRDefault="0014258A" w:rsidP="0014258A">
            <w:pPr>
              <w:spacing w:after="0"/>
              <w:jc w:val="center"/>
              <w:rPr>
                <w:rFonts w:cs="Arial"/>
                <w:b/>
                <w:bCs/>
                <w:sz w:val="24"/>
                <w:szCs w:val="24"/>
              </w:rPr>
            </w:pPr>
            <w:r w:rsidRPr="000D762F">
              <w:rPr>
                <w:rFonts w:cs="Arial"/>
                <w:b/>
                <w:bCs/>
                <w:sz w:val="24"/>
                <w:szCs w:val="24"/>
              </w:rPr>
              <w:t>Ref 1 (a)</w:t>
            </w:r>
          </w:p>
        </w:tc>
        <w:tc>
          <w:tcPr>
            <w:tcW w:w="5310" w:type="dxa"/>
          </w:tcPr>
          <w:p w14:paraId="3DD04CA2" w14:textId="77777777" w:rsidR="0014258A" w:rsidRPr="000D762F" w:rsidRDefault="0014258A" w:rsidP="0014258A">
            <w:pPr>
              <w:spacing w:after="0"/>
              <w:jc w:val="center"/>
              <w:rPr>
                <w:rFonts w:cs="Arial"/>
                <w:b/>
                <w:bCs/>
                <w:sz w:val="24"/>
                <w:szCs w:val="24"/>
              </w:rPr>
            </w:pPr>
            <w:r w:rsidRPr="000D762F">
              <w:rPr>
                <w:rFonts w:cs="Arial"/>
                <w:b/>
                <w:bCs/>
                <w:sz w:val="24"/>
                <w:szCs w:val="24"/>
              </w:rPr>
              <w:t>OEB Staff Notes</w:t>
            </w:r>
          </w:p>
        </w:tc>
      </w:tr>
      <w:tr w:rsidR="0014258A" w:rsidRPr="000D762F" w14:paraId="391D99EB" w14:textId="77777777">
        <w:trPr>
          <w:jc w:val="center"/>
        </w:trPr>
        <w:tc>
          <w:tcPr>
            <w:tcW w:w="2245" w:type="dxa"/>
          </w:tcPr>
          <w:p w14:paraId="7C17A5FB" w14:textId="77777777" w:rsidR="0014258A" w:rsidRPr="000D762F" w:rsidRDefault="0014258A" w:rsidP="0014258A">
            <w:pPr>
              <w:spacing w:after="0"/>
              <w:rPr>
                <w:rFonts w:cs="Arial"/>
                <w:sz w:val="24"/>
                <w:szCs w:val="24"/>
              </w:rPr>
            </w:pPr>
            <w:r w:rsidRPr="000D762F">
              <w:rPr>
                <w:rFonts w:cs="Arial"/>
                <w:b/>
                <w:bCs/>
                <w:sz w:val="24"/>
                <w:szCs w:val="24"/>
                <w:lang w:val="en-US"/>
              </w:rPr>
              <w:t>Capital Additions per Appendix 2-BA</w:t>
            </w:r>
          </w:p>
        </w:tc>
        <w:tc>
          <w:tcPr>
            <w:tcW w:w="1170" w:type="dxa"/>
          </w:tcPr>
          <w:p w14:paraId="324797AE" w14:textId="77777777" w:rsidR="0014258A" w:rsidRPr="000D762F" w:rsidRDefault="0014258A" w:rsidP="0014258A">
            <w:pPr>
              <w:spacing w:after="0"/>
              <w:jc w:val="right"/>
              <w:rPr>
                <w:rFonts w:cs="Arial"/>
                <w:b/>
                <w:bCs/>
                <w:sz w:val="24"/>
                <w:szCs w:val="24"/>
              </w:rPr>
            </w:pPr>
            <w:r w:rsidRPr="000D762F">
              <w:rPr>
                <w:rFonts w:cs="Arial"/>
                <w:sz w:val="24"/>
                <w:szCs w:val="24"/>
              </w:rPr>
              <w:t>17,903,861</w:t>
            </w:r>
          </w:p>
        </w:tc>
        <w:tc>
          <w:tcPr>
            <w:tcW w:w="5310" w:type="dxa"/>
          </w:tcPr>
          <w:p w14:paraId="7F92ADAC" w14:textId="77777777" w:rsidR="0014258A" w:rsidRPr="000D762F" w:rsidRDefault="0014258A" w:rsidP="0014258A">
            <w:pPr>
              <w:spacing w:after="0"/>
              <w:rPr>
                <w:rFonts w:cs="Arial"/>
                <w:sz w:val="24"/>
                <w:szCs w:val="24"/>
              </w:rPr>
            </w:pPr>
            <w:r w:rsidRPr="000D762F">
              <w:rPr>
                <w:rFonts w:cs="Arial"/>
                <w:sz w:val="24"/>
                <w:szCs w:val="24"/>
              </w:rPr>
              <w:t>There is variance of $203,215 from Ref 3 since Burlington Hydro included CWIP amount.</w:t>
            </w:r>
          </w:p>
        </w:tc>
      </w:tr>
      <w:tr w:rsidR="0014258A" w:rsidRPr="000D762F" w14:paraId="02FB5675" w14:textId="77777777">
        <w:trPr>
          <w:jc w:val="center"/>
        </w:trPr>
        <w:tc>
          <w:tcPr>
            <w:tcW w:w="2245" w:type="dxa"/>
          </w:tcPr>
          <w:p w14:paraId="3FA69EB8" w14:textId="77777777" w:rsidR="0014258A" w:rsidRPr="000D762F" w:rsidRDefault="0014258A" w:rsidP="0014258A">
            <w:pPr>
              <w:spacing w:after="0"/>
              <w:rPr>
                <w:rFonts w:cs="Arial"/>
                <w:sz w:val="24"/>
                <w:szCs w:val="24"/>
              </w:rPr>
            </w:pPr>
            <w:r w:rsidRPr="000D762F">
              <w:rPr>
                <w:rFonts w:cs="Arial"/>
                <w:b/>
                <w:bCs/>
                <w:sz w:val="24"/>
                <w:szCs w:val="24"/>
                <w:lang w:val="en-US"/>
              </w:rPr>
              <w:t>Capital Additions per the PILs Model</w:t>
            </w:r>
          </w:p>
        </w:tc>
        <w:tc>
          <w:tcPr>
            <w:tcW w:w="1170" w:type="dxa"/>
          </w:tcPr>
          <w:p w14:paraId="7623C438" w14:textId="77777777" w:rsidR="0014258A" w:rsidRPr="000D762F" w:rsidRDefault="0014258A" w:rsidP="0014258A">
            <w:pPr>
              <w:spacing w:after="0"/>
              <w:jc w:val="right"/>
              <w:rPr>
                <w:rFonts w:cs="Arial"/>
                <w:sz w:val="24"/>
                <w:szCs w:val="24"/>
              </w:rPr>
            </w:pPr>
            <w:r w:rsidRPr="000D762F">
              <w:rPr>
                <w:rFonts w:cs="Arial"/>
                <w:sz w:val="24"/>
                <w:szCs w:val="24"/>
              </w:rPr>
              <w:t>12,715,489</w:t>
            </w:r>
          </w:p>
        </w:tc>
        <w:tc>
          <w:tcPr>
            <w:tcW w:w="5310" w:type="dxa"/>
          </w:tcPr>
          <w:p w14:paraId="552B8E34" w14:textId="77777777" w:rsidR="0014258A" w:rsidRPr="000D762F" w:rsidRDefault="0014258A" w:rsidP="0014258A">
            <w:pPr>
              <w:spacing w:after="0"/>
              <w:rPr>
                <w:rFonts w:cs="Arial"/>
                <w:color w:val="FF0000"/>
                <w:sz w:val="24"/>
                <w:szCs w:val="24"/>
              </w:rPr>
            </w:pPr>
            <w:r w:rsidRPr="000D762F">
              <w:rPr>
                <w:rFonts w:cs="Arial"/>
                <w:sz w:val="24"/>
                <w:szCs w:val="24"/>
              </w:rPr>
              <w:t>There is variance of ($140,700) from Ref 2 since Burlington Hydro included column H adjustment</w:t>
            </w:r>
          </w:p>
        </w:tc>
      </w:tr>
    </w:tbl>
    <w:p w14:paraId="7F3079C0" w14:textId="77777777" w:rsidR="0014258A" w:rsidRPr="000D762F" w:rsidRDefault="0014258A" w:rsidP="0014258A">
      <w:pPr>
        <w:spacing w:after="0"/>
        <w:rPr>
          <w:rFonts w:ascii="Arial" w:hAnsi="Arial" w:cs="Arial"/>
          <w:b/>
          <w:bCs/>
          <w:sz w:val="24"/>
          <w:szCs w:val="24"/>
        </w:rPr>
      </w:pPr>
    </w:p>
    <w:p w14:paraId="01BBC440"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1B647B48" w14:textId="77777777" w:rsidR="0014258A" w:rsidRPr="000D762F" w:rsidRDefault="0014258A" w:rsidP="0014258A">
      <w:pPr>
        <w:pStyle w:val="ListParagraph"/>
        <w:numPr>
          <w:ilvl w:val="0"/>
          <w:numId w:val="4"/>
        </w:numPr>
        <w:spacing w:after="0"/>
        <w:rPr>
          <w:rFonts w:ascii="Arial" w:hAnsi="Arial" w:cs="Arial"/>
          <w:sz w:val="24"/>
          <w:szCs w:val="24"/>
        </w:rPr>
      </w:pPr>
      <w:r w:rsidRPr="000D762F">
        <w:rPr>
          <w:rFonts w:ascii="Arial" w:hAnsi="Arial" w:cs="Arial"/>
          <w:sz w:val="24"/>
          <w:szCs w:val="24"/>
        </w:rPr>
        <w:t>Please confirm OEB staff’s observation.</w:t>
      </w:r>
    </w:p>
    <w:p w14:paraId="78DA3D31" w14:textId="77777777" w:rsidR="0014258A" w:rsidRPr="000D762F" w:rsidRDefault="0014258A" w:rsidP="0014258A">
      <w:pPr>
        <w:pStyle w:val="ListParagraph"/>
        <w:numPr>
          <w:ilvl w:val="0"/>
          <w:numId w:val="4"/>
        </w:numPr>
        <w:spacing w:after="0"/>
        <w:rPr>
          <w:rFonts w:ascii="Arial" w:hAnsi="Arial" w:cs="Arial"/>
          <w:sz w:val="24"/>
          <w:szCs w:val="24"/>
        </w:rPr>
      </w:pPr>
      <w:r w:rsidRPr="000D762F">
        <w:rPr>
          <w:rFonts w:ascii="Arial" w:hAnsi="Arial" w:cs="Arial"/>
          <w:sz w:val="24"/>
          <w:szCs w:val="24"/>
        </w:rPr>
        <w:t>Please explain, reconcile and update the 2025 capital addition amount between Ref 2 and Ref 3</w:t>
      </w:r>
    </w:p>
    <w:p w14:paraId="676A6EF1" w14:textId="77777777" w:rsidR="0014258A" w:rsidRPr="000D762F" w:rsidRDefault="0014258A" w:rsidP="0014258A">
      <w:pPr>
        <w:spacing w:after="0"/>
        <w:rPr>
          <w:rFonts w:ascii="Arial" w:hAnsi="Arial" w:cs="Arial"/>
          <w:sz w:val="24"/>
          <w:szCs w:val="24"/>
        </w:rPr>
      </w:pPr>
    </w:p>
    <w:p w14:paraId="792F1459" w14:textId="14DAA0AC"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Staff-</w:t>
      </w:r>
      <w:r w:rsidR="00CF33BA" w:rsidRPr="000D762F">
        <w:rPr>
          <w:rFonts w:ascii="Arial" w:hAnsi="Arial" w:cs="Arial"/>
          <w:b/>
          <w:sz w:val="24"/>
          <w:szCs w:val="24"/>
        </w:rPr>
        <w:t>115</w:t>
      </w:r>
    </w:p>
    <w:p w14:paraId="1E2CA3C1" w14:textId="77777777" w:rsidR="0014258A" w:rsidRPr="000D762F" w:rsidRDefault="0014258A" w:rsidP="0014258A">
      <w:pPr>
        <w:spacing w:after="0"/>
        <w:contextualSpacing/>
        <w:rPr>
          <w:rFonts w:ascii="Arial" w:hAnsi="Arial" w:cs="Arial"/>
          <w:b/>
          <w:sz w:val="24"/>
          <w:szCs w:val="24"/>
        </w:rPr>
      </w:pPr>
      <w:r w:rsidRPr="000D762F">
        <w:rPr>
          <w:rFonts w:ascii="Arial" w:hAnsi="Arial" w:cs="Arial"/>
          <w:b/>
          <w:sz w:val="24"/>
          <w:szCs w:val="24"/>
        </w:rPr>
        <w:t>Accelerated CCA &amp; Smoothing Mechanism</w:t>
      </w:r>
    </w:p>
    <w:p w14:paraId="3192DBAF"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 xml:space="preserve">Ref 1: </w:t>
      </w:r>
      <w:r w:rsidRPr="000D762F">
        <w:rPr>
          <w:rStyle w:val="normaltextrun"/>
          <w:rFonts w:ascii="Arial" w:hAnsi="Arial" w:cs="Arial"/>
          <w:b/>
          <w:bCs/>
          <w:sz w:val="24"/>
          <w:szCs w:val="24"/>
        </w:rPr>
        <w:t>BHI_IRR_Staff_07242025, 6-Staff-78, Table 2</w:t>
      </w:r>
    </w:p>
    <w:p w14:paraId="6A02A7BB" w14:textId="77777777" w:rsidR="0014258A" w:rsidRPr="000D762F" w:rsidRDefault="0014258A" w:rsidP="0014258A">
      <w:pPr>
        <w:spacing w:after="0"/>
        <w:rPr>
          <w:rFonts w:ascii="Arial" w:hAnsi="Arial" w:cs="Arial"/>
          <w:b/>
          <w:bCs/>
          <w:sz w:val="24"/>
          <w:szCs w:val="24"/>
        </w:rPr>
      </w:pPr>
    </w:p>
    <w:p w14:paraId="02E9A500"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586BB256" w14:textId="77777777" w:rsidR="0014258A" w:rsidRPr="000D762F" w:rsidRDefault="0014258A" w:rsidP="0014258A">
      <w:pPr>
        <w:pStyle w:val="ListParagraph"/>
        <w:numPr>
          <w:ilvl w:val="0"/>
          <w:numId w:val="1"/>
        </w:numPr>
        <w:spacing w:after="0"/>
        <w:rPr>
          <w:rFonts w:ascii="Arial" w:hAnsi="Arial" w:cs="Arial"/>
          <w:sz w:val="24"/>
          <w:szCs w:val="24"/>
        </w:rPr>
      </w:pPr>
      <w:r w:rsidRPr="000D762F">
        <w:rPr>
          <w:rFonts w:ascii="Arial" w:hAnsi="Arial" w:cs="Arial"/>
          <w:sz w:val="24"/>
          <w:szCs w:val="24"/>
        </w:rPr>
        <w:t>Please complete the Table below (compiled by OEB staff) based on forecast CCA amount from 2028 to 2030.</w:t>
      </w:r>
    </w:p>
    <w:tbl>
      <w:tblPr>
        <w:tblStyle w:val="TableGrid"/>
        <w:tblW w:w="0" w:type="auto"/>
        <w:jc w:val="center"/>
        <w:tblLook w:val="04A0" w:firstRow="1" w:lastRow="0" w:firstColumn="1" w:lastColumn="0" w:noHBand="0" w:noVBand="1"/>
      </w:tblPr>
      <w:tblGrid>
        <w:gridCol w:w="4135"/>
        <w:gridCol w:w="1260"/>
        <w:gridCol w:w="1260"/>
        <w:gridCol w:w="1150"/>
        <w:gridCol w:w="1510"/>
      </w:tblGrid>
      <w:tr w:rsidR="0014258A" w:rsidRPr="000D762F" w14:paraId="543C5B04" w14:textId="77777777">
        <w:trPr>
          <w:jc w:val="center"/>
        </w:trPr>
        <w:tc>
          <w:tcPr>
            <w:tcW w:w="4135" w:type="dxa"/>
          </w:tcPr>
          <w:p w14:paraId="36A57612" w14:textId="77777777" w:rsidR="0014258A" w:rsidRPr="000D762F" w:rsidRDefault="0014258A" w:rsidP="0014258A">
            <w:pPr>
              <w:spacing w:after="0"/>
              <w:rPr>
                <w:rFonts w:cs="Arial"/>
                <w:sz w:val="24"/>
                <w:szCs w:val="24"/>
              </w:rPr>
            </w:pPr>
          </w:p>
        </w:tc>
        <w:tc>
          <w:tcPr>
            <w:tcW w:w="1260" w:type="dxa"/>
          </w:tcPr>
          <w:p w14:paraId="04AF5F71" w14:textId="77777777" w:rsidR="0014258A" w:rsidRPr="000D762F" w:rsidRDefault="0014258A" w:rsidP="0014258A">
            <w:pPr>
              <w:spacing w:after="0"/>
              <w:jc w:val="center"/>
              <w:rPr>
                <w:rFonts w:cs="Arial"/>
                <w:sz w:val="24"/>
                <w:szCs w:val="24"/>
              </w:rPr>
            </w:pPr>
            <w:r w:rsidRPr="000D762F">
              <w:rPr>
                <w:rFonts w:cs="Arial"/>
                <w:sz w:val="24"/>
                <w:szCs w:val="24"/>
              </w:rPr>
              <w:t>2028 Forecast</w:t>
            </w:r>
          </w:p>
        </w:tc>
        <w:tc>
          <w:tcPr>
            <w:tcW w:w="1260" w:type="dxa"/>
          </w:tcPr>
          <w:p w14:paraId="56ED2FCA" w14:textId="77777777" w:rsidR="0014258A" w:rsidRPr="000D762F" w:rsidRDefault="0014258A" w:rsidP="0014258A">
            <w:pPr>
              <w:spacing w:after="0"/>
              <w:jc w:val="center"/>
              <w:rPr>
                <w:rFonts w:cs="Arial"/>
                <w:sz w:val="24"/>
                <w:szCs w:val="24"/>
              </w:rPr>
            </w:pPr>
            <w:r w:rsidRPr="000D762F">
              <w:rPr>
                <w:rFonts w:cs="Arial"/>
                <w:sz w:val="24"/>
                <w:szCs w:val="24"/>
              </w:rPr>
              <w:t>2029 Forecast</w:t>
            </w:r>
          </w:p>
        </w:tc>
        <w:tc>
          <w:tcPr>
            <w:tcW w:w="1150" w:type="dxa"/>
          </w:tcPr>
          <w:p w14:paraId="644F4BFF" w14:textId="77777777" w:rsidR="0014258A" w:rsidRPr="000D762F" w:rsidRDefault="0014258A" w:rsidP="0014258A">
            <w:pPr>
              <w:spacing w:after="0"/>
              <w:jc w:val="center"/>
              <w:rPr>
                <w:rFonts w:cs="Arial"/>
                <w:sz w:val="24"/>
                <w:szCs w:val="24"/>
              </w:rPr>
            </w:pPr>
            <w:r w:rsidRPr="000D762F">
              <w:rPr>
                <w:rFonts w:cs="Arial"/>
                <w:sz w:val="24"/>
                <w:szCs w:val="24"/>
              </w:rPr>
              <w:t>2030 Forecast</w:t>
            </w:r>
          </w:p>
        </w:tc>
        <w:tc>
          <w:tcPr>
            <w:tcW w:w="1440" w:type="dxa"/>
          </w:tcPr>
          <w:p w14:paraId="512359E4" w14:textId="77777777" w:rsidR="0014258A" w:rsidRPr="000D762F" w:rsidRDefault="0014258A" w:rsidP="0014258A">
            <w:pPr>
              <w:spacing w:after="0"/>
              <w:jc w:val="center"/>
              <w:rPr>
                <w:rFonts w:cs="Arial"/>
                <w:b/>
                <w:bCs/>
                <w:sz w:val="24"/>
                <w:szCs w:val="24"/>
              </w:rPr>
            </w:pPr>
            <w:r w:rsidRPr="000D762F">
              <w:rPr>
                <w:rFonts w:cs="Arial"/>
                <w:b/>
                <w:bCs/>
                <w:sz w:val="24"/>
                <w:szCs w:val="24"/>
              </w:rPr>
              <w:t>Cumulative Total</w:t>
            </w:r>
          </w:p>
        </w:tc>
      </w:tr>
      <w:tr w:rsidR="0014258A" w:rsidRPr="000D762F" w14:paraId="6FDF3CB9" w14:textId="77777777">
        <w:trPr>
          <w:jc w:val="center"/>
        </w:trPr>
        <w:tc>
          <w:tcPr>
            <w:tcW w:w="4135" w:type="dxa"/>
          </w:tcPr>
          <w:p w14:paraId="2A7C8477" w14:textId="77777777" w:rsidR="0014258A" w:rsidRPr="000D762F" w:rsidRDefault="0014258A" w:rsidP="0014258A">
            <w:pPr>
              <w:spacing w:after="0"/>
              <w:rPr>
                <w:rFonts w:cs="Arial"/>
                <w:sz w:val="24"/>
                <w:szCs w:val="24"/>
              </w:rPr>
            </w:pPr>
            <w:r w:rsidRPr="000D762F">
              <w:rPr>
                <w:rFonts w:cs="Arial"/>
                <w:sz w:val="24"/>
                <w:szCs w:val="24"/>
              </w:rPr>
              <w:t>CCA Legacy (no AIIP) (a)</w:t>
            </w:r>
          </w:p>
        </w:tc>
        <w:tc>
          <w:tcPr>
            <w:tcW w:w="1260" w:type="dxa"/>
          </w:tcPr>
          <w:p w14:paraId="05F2A52C" w14:textId="77777777" w:rsidR="0014258A" w:rsidRPr="000D762F" w:rsidRDefault="0014258A" w:rsidP="0014258A">
            <w:pPr>
              <w:spacing w:after="0"/>
              <w:rPr>
                <w:rFonts w:cs="Arial"/>
                <w:sz w:val="24"/>
                <w:szCs w:val="24"/>
              </w:rPr>
            </w:pPr>
          </w:p>
        </w:tc>
        <w:tc>
          <w:tcPr>
            <w:tcW w:w="1260" w:type="dxa"/>
          </w:tcPr>
          <w:p w14:paraId="48B73797" w14:textId="77777777" w:rsidR="0014258A" w:rsidRPr="000D762F" w:rsidRDefault="0014258A" w:rsidP="0014258A">
            <w:pPr>
              <w:spacing w:after="0"/>
              <w:rPr>
                <w:rFonts w:cs="Arial"/>
                <w:sz w:val="24"/>
                <w:szCs w:val="24"/>
              </w:rPr>
            </w:pPr>
          </w:p>
        </w:tc>
        <w:tc>
          <w:tcPr>
            <w:tcW w:w="1150" w:type="dxa"/>
          </w:tcPr>
          <w:p w14:paraId="37DC74F2" w14:textId="77777777" w:rsidR="0014258A" w:rsidRPr="000D762F" w:rsidRDefault="0014258A" w:rsidP="0014258A">
            <w:pPr>
              <w:spacing w:after="0"/>
              <w:rPr>
                <w:rFonts w:cs="Arial"/>
                <w:sz w:val="24"/>
                <w:szCs w:val="24"/>
              </w:rPr>
            </w:pPr>
          </w:p>
        </w:tc>
        <w:tc>
          <w:tcPr>
            <w:tcW w:w="1440" w:type="dxa"/>
          </w:tcPr>
          <w:p w14:paraId="1F7F40A2" w14:textId="77777777" w:rsidR="0014258A" w:rsidRPr="000D762F" w:rsidRDefault="0014258A" w:rsidP="0014258A">
            <w:pPr>
              <w:spacing w:after="0"/>
              <w:rPr>
                <w:rFonts w:cs="Arial"/>
                <w:sz w:val="24"/>
                <w:szCs w:val="24"/>
              </w:rPr>
            </w:pPr>
          </w:p>
        </w:tc>
      </w:tr>
      <w:tr w:rsidR="0014258A" w:rsidRPr="000D762F" w14:paraId="020E81EA" w14:textId="77777777">
        <w:trPr>
          <w:jc w:val="center"/>
        </w:trPr>
        <w:tc>
          <w:tcPr>
            <w:tcW w:w="4135" w:type="dxa"/>
          </w:tcPr>
          <w:p w14:paraId="6229760C" w14:textId="77777777" w:rsidR="0014258A" w:rsidRPr="000D762F" w:rsidRDefault="0014258A" w:rsidP="0014258A">
            <w:pPr>
              <w:spacing w:after="0"/>
              <w:rPr>
                <w:rFonts w:cs="Arial"/>
                <w:sz w:val="24"/>
                <w:szCs w:val="24"/>
              </w:rPr>
            </w:pPr>
            <w:r w:rsidRPr="000D762F">
              <w:rPr>
                <w:rFonts w:cs="Arial"/>
                <w:sz w:val="24"/>
                <w:szCs w:val="24"/>
              </w:rPr>
              <w:t>CCA Bill C-97 (with AIIP) (b)</w:t>
            </w:r>
          </w:p>
        </w:tc>
        <w:tc>
          <w:tcPr>
            <w:tcW w:w="1260" w:type="dxa"/>
          </w:tcPr>
          <w:p w14:paraId="6BA2997A" w14:textId="77777777" w:rsidR="0014258A" w:rsidRPr="000D762F" w:rsidRDefault="0014258A" w:rsidP="0014258A">
            <w:pPr>
              <w:spacing w:after="0"/>
              <w:rPr>
                <w:rFonts w:cs="Arial"/>
                <w:sz w:val="24"/>
                <w:szCs w:val="24"/>
              </w:rPr>
            </w:pPr>
          </w:p>
        </w:tc>
        <w:tc>
          <w:tcPr>
            <w:tcW w:w="1260" w:type="dxa"/>
          </w:tcPr>
          <w:p w14:paraId="57E6C578" w14:textId="77777777" w:rsidR="0014258A" w:rsidRPr="000D762F" w:rsidRDefault="0014258A" w:rsidP="0014258A">
            <w:pPr>
              <w:spacing w:after="0"/>
              <w:rPr>
                <w:rFonts w:cs="Arial"/>
                <w:sz w:val="24"/>
                <w:szCs w:val="24"/>
              </w:rPr>
            </w:pPr>
          </w:p>
        </w:tc>
        <w:tc>
          <w:tcPr>
            <w:tcW w:w="1150" w:type="dxa"/>
          </w:tcPr>
          <w:p w14:paraId="4B327904" w14:textId="77777777" w:rsidR="0014258A" w:rsidRPr="000D762F" w:rsidRDefault="0014258A" w:rsidP="0014258A">
            <w:pPr>
              <w:spacing w:after="0"/>
              <w:rPr>
                <w:rFonts w:cs="Arial"/>
                <w:sz w:val="24"/>
                <w:szCs w:val="24"/>
              </w:rPr>
            </w:pPr>
          </w:p>
        </w:tc>
        <w:tc>
          <w:tcPr>
            <w:tcW w:w="1440" w:type="dxa"/>
          </w:tcPr>
          <w:p w14:paraId="6A5961EC" w14:textId="77777777" w:rsidR="0014258A" w:rsidRPr="000D762F" w:rsidRDefault="0014258A" w:rsidP="0014258A">
            <w:pPr>
              <w:spacing w:after="0"/>
              <w:rPr>
                <w:rFonts w:cs="Arial"/>
                <w:sz w:val="24"/>
                <w:szCs w:val="24"/>
              </w:rPr>
            </w:pPr>
          </w:p>
        </w:tc>
      </w:tr>
      <w:tr w:rsidR="0014258A" w:rsidRPr="000D762F" w14:paraId="3F2E7D11" w14:textId="77777777">
        <w:trPr>
          <w:jc w:val="center"/>
        </w:trPr>
        <w:tc>
          <w:tcPr>
            <w:tcW w:w="4135" w:type="dxa"/>
          </w:tcPr>
          <w:p w14:paraId="019AA60F" w14:textId="77777777" w:rsidR="0014258A" w:rsidRPr="000D762F" w:rsidRDefault="0014258A" w:rsidP="0014258A">
            <w:pPr>
              <w:spacing w:after="0"/>
              <w:rPr>
                <w:rFonts w:cs="Arial"/>
                <w:sz w:val="24"/>
                <w:szCs w:val="24"/>
              </w:rPr>
            </w:pPr>
            <w:r w:rsidRPr="000D762F">
              <w:rPr>
                <w:rFonts w:cs="Arial"/>
                <w:sz w:val="24"/>
                <w:szCs w:val="24"/>
              </w:rPr>
              <w:t>CCA Difference (c=b-a)</w:t>
            </w:r>
          </w:p>
        </w:tc>
        <w:tc>
          <w:tcPr>
            <w:tcW w:w="1260" w:type="dxa"/>
          </w:tcPr>
          <w:p w14:paraId="24E13BD6" w14:textId="27BED656" w:rsidR="0014258A" w:rsidRPr="000D762F" w:rsidRDefault="0014258A" w:rsidP="0014258A">
            <w:pPr>
              <w:spacing w:after="0"/>
              <w:rPr>
                <w:rFonts w:cs="Arial"/>
                <w:sz w:val="24"/>
                <w:szCs w:val="24"/>
              </w:rPr>
            </w:pPr>
            <w:r w:rsidRPr="000D762F">
              <w:rPr>
                <w:noProof/>
                <w:sz w:val="24"/>
                <w:szCs w:val="24"/>
              </w:rPr>
              <mc:AlternateContent>
                <mc:Choice Requires="wps">
                  <w:drawing>
                    <wp:anchor distT="0" distB="0" distL="114300" distR="114300" simplePos="0" relativeHeight="251658240" behindDoc="0" locked="0" layoutInCell="1" allowOverlap="1" wp14:anchorId="7BE91DCE" wp14:editId="227C35BC">
                      <wp:simplePos x="0" y="0"/>
                      <wp:positionH relativeFrom="column">
                        <wp:posOffset>502285</wp:posOffset>
                      </wp:positionH>
                      <wp:positionV relativeFrom="paragraph">
                        <wp:posOffset>113665</wp:posOffset>
                      </wp:positionV>
                      <wp:extent cx="2169160" cy="148590"/>
                      <wp:effectExtent l="38100" t="19050" r="21590" b="80010"/>
                      <wp:wrapNone/>
                      <wp:docPr id="125645672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9160" cy="148590"/>
                              </a:xfrm>
                              <a:prstGeom prst="straightConnector1">
                                <a:avLst/>
                              </a:prstGeom>
                              <a:ln w="28575">
                                <a:solidFill>
                                  <a:srgbClr val="1507CB"/>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5B11383" id="_x0000_t32" coordsize="21600,21600" o:spt="32" o:oned="t" path="m,l21600,21600e" filled="f">
                      <v:path arrowok="t" fillok="f" o:connecttype="none"/>
                      <o:lock v:ext="edit" shapetype="t"/>
                    </v:shapetype>
                    <v:shape id="Straight Arrow Connector 1" o:spid="_x0000_s1026" type="#_x0000_t32" style="position:absolute;margin-left:39.55pt;margin-top:8.95pt;width:170.8pt;height:11.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" strokecolor="#1507cb" strokeweight="2.25pt">
                      <v:stroke startarrow="block" joinstyle="miter"/>
                      <o:lock v:ext="edit" shapetype="f"/>
                    </v:shape>
                  </w:pict>
                </mc:Fallback>
              </mc:AlternateContent>
            </w:r>
          </w:p>
        </w:tc>
        <w:tc>
          <w:tcPr>
            <w:tcW w:w="1260" w:type="dxa"/>
          </w:tcPr>
          <w:p w14:paraId="6FC1358F" w14:textId="77777777" w:rsidR="0014258A" w:rsidRPr="000D762F" w:rsidRDefault="0014258A" w:rsidP="0014258A">
            <w:pPr>
              <w:spacing w:after="0"/>
              <w:rPr>
                <w:rFonts w:cs="Arial"/>
                <w:sz w:val="24"/>
                <w:szCs w:val="24"/>
              </w:rPr>
            </w:pPr>
          </w:p>
        </w:tc>
        <w:tc>
          <w:tcPr>
            <w:tcW w:w="1150" w:type="dxa"/>
          </w:tcPr>
          <w:p w14:paraId="62309E2E" w14:textId="77777777" w:rsidR="0014258A" w:rsidRPr="000D762F" w:rsidRDefault="0014258A" w:rsidP="0014258A">
            <w:pPr>
              <w:spacing w:after="0"/>
              <w:rPr>
                <w:rFonts w:cs="Arial"/>
                <w:sz w:val="24"/>
                <w:szCs w:val="24"/>
              </w:rPr>
            </w:pPr>
          </w:p>
        </w:tc>
        <w:tc>
          <w:tcPr>
            <w:tcW w:w="1440" w:type="dxa"/>
          </w:tcPr>
          <w:p w14:paraId="7E312A3E" w14:textId="77777777" w:rsidR="0014258A" w:rsidRPr="000D762F" w:rsidRDefault="0014258A" w:rsidP="0014258A">
            <w:pPr>
              <w:spacing w:after="0"/>
              <w:jc w:val="center"/>
              <w:rPr>
                <w:rFonts w:cs="Arial"/>
                <w:b/>
                <w:bCs/>
                <w:sz w:val="24"/>
                <w:szCs w:val="24"/>
              </w:rPr>
            </w:pPr>
            <w:r w:rsidRPr="000D762F">
              <w:rPr>
                <w:rFonts w:cs="Arial"/>
                <w:b/>
                <w:bCs/>
                <w:sz w:val="24"/>
                <w:szCs w:val="24"/>
              </w:rPr>
              <w:t>d</w:t>
            </w:r>
          </w:p>
        </w:tc>
      </w:tr>
      <w:tr w:rsidR="0014258A" w:rsidRPr="000D762F" w14:paraId="5094A4C9" w14:textId="77777777">
        <w:trPr>
          <w:gridAfter w:val="3"/>
          <w:wAfter w:w="3850" w:type="dxa"/>
          <w:jc w:val="center"/>
        </w:trPr>
        <w:tc>
          <w:tcPr>
            <w:tcW w:w="4135" w:type="dxa"/>
          </w:tcPr>
          <w:p w14:paraId="7580C86B" w14:textId="77777777" w:rsidR="0014258A" w:rsidRPr="000D762F" w:rsidRDefault="0014258A" w:rsidP="0014258A">
            <w:pPr>
              <w:spacing w:after="0"/>
              <w:rPr>
                <w:rFonts w:cs="Arial"/>
                <w:b/>
                <w:bCs/>
                <w:sz w:val="24"/>
                <w:szCs w:val="24"/>
              </w:rPr>
            </w:pPr>
            <w:r w:rsidRPr="000D762F">
              <w:rPr>
                <w:rFonts w:cs="Arial"/>
                <w:b/>
                <w:bCs/>
                <w:sz w:val="24"/>
                <w:szCs w:val="24"/>
              </w:rPr>
              <w:t xml:space="preserve">Take 1/5 of Difference </w:t>
            </w:r>
            <w:r w:rsidRPr="000D762F">
              <w:rPr>
                <w:rFonts w:cs="Arial"/>
                <w:sz w:val="24"/>
                <w:szCs w:val="24"/>
              </w:rPr>
              <w:t>(e=d/5)</w:t>
            </w:r>
          </w:p>
        </w:tc>
        <w:tc>
          <w:tcPr>
            <w:tcW w:w="1260" w:type="dxa"/>
          </w:tcPr>
          <w:p w14:paraId="6895A981" w14:textId="77777777" w:rsidR="0014258A" w:rsidRPr="000D762F" w:rsidRDefault="0014258A" w:rsidP="0014258A">
            <w:pPr>
              <w:spacing w:after="0"/>
              <w:rPr>
                <w:rFonts w:cs="Arial"/>
                <w:sz w:val="24"/>
                <w:szCs w:val="24"/>
              </w:rPr>
            </w:pPr>
          </w:p>
        </w:tc>
      </w:tr>
      <w:tr w:rsidR="0014258A" w:rsidRPr="000D762F" w14:paraId="19CC2C6D" w14:textId="77777777">
        <w:trPr>
          <w:gridAfter w:val="3"/>
          <w:wAfter w:w="3850" w:type="dxa"/>
          <w:jc w:val="center"/>
        </w:trPr>
        <w:tc>
          <w:tcPr>
            <w:tcW w:w="4135" w:type="dxa"/>
          </w:tcPr>
          <w:p w14:paraId="71829493" w14:textId="77777777" w:rsidR="0014258A" w:rsidRPr="000D762F" w:rsidRDefault="0014258A" w:rsidP="0014258A">
            <w:pPr>
              <w:spacing w:after="0"/>
              <w:rPr>
                <w:rFonts w:cs="Arial"/>
                <w:b/>
                <w:bCs/>
                <w:sz w:val="24"/>
                <w:szCs w:val="24"/>
              </w:rPr>
            </w:pPr>
            <w:r w:rsidRPr="000D762F">
              <w:rPr>
                <w:rFonts w:cs="Arial"/>
                <w:b/>
                <w:bCs/>
                <w:sz w:val="24"/>
                <w:szCs w:val="24"/>
              </w:rPr>
              <w:t xml:space="preserve">Income tax </w:t>
            </w:r>
            <w:r w:rsidRPr="000D762F">
              <w:rPr>
                <w:rFonts w:cs="Arial"/>
                <w:sz w:val="24"/>
                <w:szCs w:val="24"/>
              </w:rPr>
              <w:t>(f=e*26.5%)</w:t>
            </w:r>
          </w:p>
        </w:tc>
        <w:tc>
          <w:tcPr>
            <w:tcW w:w="1260" w:type="dxa"/>
          </w:tcPr>
          <w:p w14:paraId="398AB846" w14:textId="77777777" w:rsidR="0014258A" w:rsidRPr="000D762F" w:rsidRDefault="0014258A" w:rsidP="0014258A">
            <w:pPr>
              <w:spacing w:after="0"/>
              <w:rPr>
                <w:rFonts w:cs="Arial"/>
                <w:sz w:val="24"/>
                <w:szCs w:val="24"/>
              </w:rPr>
            </w:pPr>
          </w:p>
        </w:tc>
      </w:tr>
      <w:tr w:rsidR="0014258A" w:rsidRPr="000D762F" w14:paraId="10A3283F" w14:textId="77777777">
        <w:trPr>
          <w:gridAfter w:val="3"/>
          <w:wAfter w:w="3850" w:type="dxa"/>
          <w:jc w:val="center"/>
        </w:trPr>
        <w:tc>
          <w:tcPr>
            <w:tcW w:w="4135" w:type="dxa"/>
          </w:tcPr>
          <w:p w14:paraId="48D100A7" w14:textId="77777777" w:rsidR="0014258A" w:rsidRPr="000D762F" w:rsidRDefault="0014258A" w:rsidP="0014258A">
            <w:pPr>
              <w:spacing w:after="0"/>
              <w:rPr>
                <w:rFonts w:cs="Arial"/>
                <w:b/>
                <w:bCs/>
                <w:sz w:val="24"/>
                <w:szCs w:val="24"/>
              </w:rPr>
            </w:pPr>
            <w:r w:rsidRPr="000D762F">
              <w:rPr>
                <w:rFonts w:cs="Arial"/>
                <w:b/>
                <w:bCs/>
                <w:sz w:val="24"/>
                <w:szCs w:val="24"/>
              </w:rPr>
              <w:t xml:space="preserve">Gross up </w:t>
            </w:r>
            <w:r w:rsidRPr="000D762F">
              <w:rPr>
                <w:rFonts w:cs="Arial"/>
                <w:sz w:val="24"/>
                <w:szCs w:val="24"/>
              </w:rPr>
              <w:t>(g=f/73.5%)</w:t>
            </w:r>
          </w:p>
        </w:tc>
        <w:tc>
          <w:tcPr>
            <w:tcW w:w="1260" w:type="dxa"/>
          </w:tcPr>
          <w:p w14:paraId="1512E335" w14:textId="77777777" w:rsidR="0014258A" w:rsidRPr="000D762F" w:rsidRDefault="0014258A" w:rsidP="0014258A">
            <w:pPr>
              <w:spacing w:after="0"/>
              <w:rPr>
                <w:rFonts w:cs="Arial"/>
                <w:sz w:val="24"/>
                <w:szCs w:val="24"/>
              </w:rPr>
            </w:pPr>
          </w:p>
        </w:tc>
      </w:tr>
      <w:tr w:rsidR="0014258A" w:rsidRPr="000D762F" w14:paraId="5CF0301D" w14:textId="77777777">
        <w:trPr>
          <w:gridAfter w:val="3"/>
          <w:wAfter w:w="3850" w:type="dxa"/>
          <w:jc w:val="center"/>
        </w:trPr>
        <w:tc>
          <w:tcPr>
            <w:tcW w:w="4135" w:type="dxa"/>
          </w:tcPr>
          <w:p w14:paraId="5E4BB102" w14:textId="77777777" w:rsidR="0014258A" w:rsidRPr="000D762F" w:rsidRDefault="0014258A" w:rsidP="0014258A">
            <w:pPr>
              <w:spacing w:after="0"/>
              <w:rPr>
                <w:rFonts w:cs="Arial"/>
                <w:b/>
                <w:bCs/>
                <w:sz w:val="24"/>
                <w:szCs w:val="24"/>
              </w:rPr>
            </w:pPr>
            <w:r w:rsidRPr="000D762F">
              <w:rPr>
                <w:rFonts w:cs="Arial"/>
                <w:b/>
                <w:bCs/>
                <w:sz w:val="24"/>
                <w:szCs w:val="24"/>
              </w:rPr>
              <w:t xml:space="preserve">2026 PILs expense </w:t>
            </w:r>
            <w:r w:rsidRPr="000D762F">
              <w:rPr>
                <w:rFonts w:cs="Arial"/>
                <w:sz w:val="24"/>
                <w:szCs w:val="24"/>
              </w:rPr>
              <w:t>(h) – Ref 1</w:t>
            </w:r>
          </w:p>
        </w:tc>
        <w:tc>
          <w:tcPr>
            <w:tcW w:w="1260" w:type="dxa"/>
          </w:tcPr>
          <w:p w14:paraId="18D27571" w14:textId="77777777" w:rsidR="0014258A" w:rsidRPr="000D762F" w:rsidRDefault="0014258A" w:rsidP="0014258A">
            <w:pPr>
              <w:spacing w:after="0"/>
              <w:jc w:val="right"/>
              <w:rPr>
                <w:rFonts w:cs="Arial"/>
                <w:sz w:val="24"/>
                <w:szCs w:val="24"/>
              </w:rPr>
            </w:pPr>
            <w:r w:rsidRPr="000D762F">
              <w:rPr>
                <w:rFonts w:cs="Arial"/>
                <w:sz w:val="24"/>
                <w:szCs w:val="24"/>
              </w:rPr>
              <w:t>925,602</w:t>
            </w:r>
          </w:p>
        </w:tc>
      </w:tr>
      <w:tr w:rsidR="0014258A" w:rsidRPr="000D762F" w14:paraId="08F9074E" w14:textId="77777777">
        <w:trPr>
          <w:gridAfter w:val="3"/>
          <w:wAfter w:w="3850" w:type="dxa"/>
          <w:jc w:val="center"/>
        </w:trPr>
        <w:tc>
          <w:tcPr>
            <w:tcW w:w="4135" w:type="dxa"/>
          </w:tcPr>
          <w:p w14:paraId="0572ADFE" w14:textId="77777777" w:rsidR="0014258A" w:rsidRPr="000D762F" w:rsidRDefault="0014258A" w:rsidP="0014258A">
            <w:pPr>
              <w:spacing w:after="0"/>
              <w:rPr>
                <w:rFonts w:cs="Arial"/>
                <w:b/>
                <w:bCs/>
                <w:sz w:val="24"/>
                <w:szCs w:val="24"/>
              </w:rPr>
            </w:pPr>
            <w:r w:rsidRPr="000D762F">
              <w:rPr>
                <w:rFonts w:cs="Arial"/>
                <w:b/>
                <w:bCs/>
                <w:sz w:val="24"/>
                <w:szCs w:val="24"/>
              </w:rPr>
              <w:t xml:space="preserve">Total Revenue Requirement </w:t>
            </w:r>
            <w:r w:rsidRPr="000D762F">
              <w:rPr>
                <w:rFonts w:cs="Arial"/>
                <w:sz w:val="24"/>
                <w:szCs w:val="24"/>
              </w:rPr>
              <w:t>(</w:t>
            </w:r>
            <w:proofErr w:type="spellStart"/>
            <w:r w:rsidRPr="000D762F">
              <w:rPr>
                <w:rFonts w:cs="Arial"/>
                <w:sz w:val="24"/>
                <w:szCs w:val="24"/>
              </w:rPr>
              <w:t>g+h</w:t>
            </w:r>
            <w:proofErr w:type="spellEnd"/>
            <w:r w:rsidRPr="000D762F">
              <w:rPr>
                <w:rFonts w:cs="Arial"/>
                <w:sz w:val="24"/>
                <w:szCs w:val="24"/>
              </w:rPr>
              <w:t>)</w:t>
            </w:r>
          </w:p>
        </w:tc>
        <w:tc>
          <w:tcPr>
            <w:tcW w:w="1260" w:type="dxa"/>
          </w:tcPr>
          <w:p w14:paraId="1B899A81" w14:textId="77777777" w:rsidR="0014258A" w:rsidRPr="000D762F" w:rsidRDefault="0014258A" w:rsidP="0014258A">
            <w:pPr>
              <w:spacing w:after="0"/>
              <w:rPr>
                <w:rFonts w:cs="Arial"/>
                <w:sz w:val="24"/>
                <w:szCs w:val="24"/>
              </w:rPr>
            </w:pPr>
          </w:p>
        </w:tc>
      </w:tr>
    </w:tbl>
    <w:p w14:paraId="5499F6E7" w14:textId="77777777" w:rsidR="0014258A" w:rsidRPr="000D762F" w:rsidRDefault="0014258A" w:rsidP="0014258A">
      <w:pPr>
        <w:pStyle w:val="ListParagraph"/>
        <w:spacing w:after="0"/>
        <w:rPr>
          <w:rFonts w:ascii="Arial" w:hAnsi="Arial" w:cs="Arial"/>
          <w:sz w:val="24"/>
          <w:szCs w:val="24"/>
        </w:rPr>
      </w:pPr>
    </w:p>
    <w:bookmarkEnd w:id="0"/>
    <w:p w14:paraId="31A1E545" w14:textId="77777777" w:rsidR="0014258A" w:rsidRDefault="0014258A" w:rsidP="0014258A">
      <w:pPr>
        <w:spacing w:after="0"/>
        <w:contextualSpacing/>
        <w:rPr>
          <w:rFonts w:ascii="Arial" w:eastAsia="Arial" w:hAnsi="Arial" w:cs="Arial"/>
          <w:b/>
          <w:bCs/>
          <w:sz w:val="24"/>
          <w:szCs w:val="24"/>
        </w:rPr>
      </w:pPr>
    </w:p>
    <w:p w14:paraId="1F7E4C4F" w14:textId="77777777" w:rsidR="00DB4A41" w:rsidRDefault="00DB4A41" w:rsidP="0014258A">
      <w:pPr>
        <w:spacing w:after="0"/>
        <w:contextualSpacing/>
        <w:rPr>
          <w:rFonts w:ascii="Arial" w:eastAsia="Arial" w:hAnsi="Arial" w:cs="Arial"/>
          <w:b/>
          <w:bCs/>
          <w:sz w:val="24"/>
          <w:szCs w:val="24"/>
        </w:rPr>
      </w:pPr>
    </w:p>
    <w:p w14:paraId="44ED3071" w14:textId="77777777" w:rsidR="00DB4A41" w:rsidRDefault="00DB4A41" w:rsidP="0014258A">
      <w:pPr>
        <w:spacing w:after="0"/>
        <w:contextualSpacing/>
        <w:rPr>
          <w:rFonts w:ascii="Arial" w:eastAsia="Arial" w:hAnsi="Arial" w:cs="Arial"/>
          <w:b/>
          <w:bCs/>
          <w:sz w:val="24"/>
          <w:szCs w:val="24"/>
        </w:rPr>
      </w:pPr>
    </w:p>
    <w:p w14:paraId="69AF07C4" w14:textId="77777777" w:rsidR="00DB4A41" w:rsidRDefault="00DB4A41" w:rsidP="0014258A">
      <w:pPr>
        <w:spacing w:after="0"/>
        <w:contextualSpacing/>
        <w:rPr>
          <w:rFonts w:ascii="Arial" w:eastAsia="Arial" w:hAnsi="Arial" w:cs="Arial"/>
          <w:b/>
          <w:bCs/>
          <w:sz w:val="24"/>
          <w:szCs w:val="24"/>
        </w:rPr>
      </w:pPr>
    </w:p>
    <w:p w14:paraId="2F29C9D8" w14:textId="77777777" w:rsidR="00DB4A41" w:rsidRPr="000D762F" w:rsidRDefault="00DB4A41" w:rsidP="0014258A">
      <w:pPr>
        <w:spacing w:after="0"/>
        <w:contextualSpacing/>
        <w:rPr>
          <w:rFonts w:ascii="Arial" w:eastAsia="Arial" w:hAnsi="Arial" w:cs="Arial"/>
          <w:b/>
          <w:bCs/>
          <w:sz w:val="24"/>
          <w:szCs w:val="24"/>
        </w:rPr>
      </w:pPr>
    </w:p>
    <w:p w14:paraId="2AE54A61" w14:textId="55CB9145" w:rsidR="0014258A" w:rsidRPr="000D762F" w:rsidRDefault="0014258A" w:rsidP="0014258A">
      <w:pPr>
        <w:spacing w:after="0"/>
        <w:contextualSpacing/>
        <w:rPr>
          <w:rFonts w:ascii="Arial" w:hAnsi="Arial" w:cs="Arial"/>
          <w:b/>
          <w:bCs/>
          <w:sz w:val="24"/>
          <w:szCs w:val="24"/>
        </w:rPr>
      </w:pPr>
      <w:r w:rsidRPr="000D762F">
        <w:rPr>
          <w:rFonts w:ascii="Arial" w:eastAsia="Arial" w:hAnsi="Arial" w:cs="Arial"/>
          <w:b/>
          <w:bCs/>
          <w:sz w:val="24"/>
          <w:szCs w:val="24"/>
        </w:rPr>
        <w:t>Staff-</w:t>
      </w:r>
      <w:r w:rsidR="00CF33BA" w:rsidRPr="000D762F">
        <w:rPr>
          <w:rFonts w:ascii="Arial" w:eastAsia="Arial" w:hAnsi="Arial" w:cs="Arial"/>
          <w:b/>
          <w:bCs/>
          <w:sz w:val="24"/>
          <w:szCs w:val="24"/>
        </w:rPr>
        <w:t>116</w:t>
      </w:r>
    </w:p>
    <w:p w14:paraId="39633B90" w14:textId="77777777" w:rsidR="0014258A" w:rsidRPr="000D762F" w:rsidRDefault="0014258A" w:rsidP="0014258A">
      <w:pPr>
        <w:spacing w:after="0"/>
        <w:ind w:left="720" w:hanging="720"/>
        <w:rPr>
          <w:rFonts w:ascii="Arial" w:eastAsia="Arial" w:hAnsi="Arial" w:cs="Arial"/>
          <w:b/>
          <w:bCs/>
          <w:sz w:val="24"/>
          <w:szCs w:val="24"/>
        </w:rPr>
      </w:pPr>
      <w:r w:rsidRPr="000D762F">
        <w:rPr>
          <w:rFonts w:ascii="Arial" w:eastAsia="Arial" w:hAnsi="Arial" w:cs="Arial"/>
          <w:b/>
          <w:bCs/>
          <w:sz w:val="24"/>
          <w:szCs w:val="24"/>
        </w:rPr>
        <w:t>DVA Continuity</w:t>
      </w:r>
    </w:p>
    <w:p w14:paraId="2EF0D25D" w14:textId="77777777" w:rsidR="0014258A" w:rsidRPr="000D762F" w:rsidRDefault="0014258A" w:rsidP="0014258A">
      <w:pPr>
        <w:autoSpaceDE w:val="0"/>
        <w:autoSpaceDN w:val="0"/>
        <w:adjustRightInd w:val="0"/>
        <w:spacing w:after="0"/>
        <w:rPr>
          <w:rFonts w:ascii="Arial" w:eastAsia="Arial" w:hAnsi="Arial" w:cs="Arial"/>
          <w:b/>
          <w:bCs/>
          <w:sz w:val="24"/>
          <w:szCs w:val="24"/>
        </w:rPr>
      </w:pPr>
      <w:r w:rsidRPr="000D762F">
        <w:rPr>
          <w:rFonts w:ascii="Arial" w:eastAsia="Arial" w:hAnsi="Arial" w:cs="Arial"/>
          <w:b/>
          <w:bCs/>
          <w:sz w:val="24"/>
          <w:szCs w:val="24"/>
        </w:rPr>
        <w:t>Ref 1: Attachment_DVA_Continuity_Schedule_BHI_07242025</w:t>
      </w:r>
    </w:p>
    <w:p w14:paraId="67C30576" w14:textId="77777777" w:rsidR="0014258A" w:rsidRPr="000D762F" w:rsidRDefault="0014258A" w:rsidP="0014258A">
      <w:pPr>
        <w:autoSpaceDE w:val="0"/>
        <w:autoSpaceDN w:val="0"/>
        <w:adjustRightInd w:val="0"/>
        <w:spacing w:after="0"/>
        <w:rPr>
          <w:rFonts w:ascii="Arial" w:eastAsia="Arial" w:hAnsi="Arial" w:cs="Arial"/>
          <w:sz w:val="24"/>
          <w:szCs w:val="24"/>
        </w:rPr>
      </w:pPr>
    </w:p>
    <w:p w14:paraId="2B76B063" w14:textId="36FD052D" w:rsidR="00D848FC" w:rsidRPr="000D762F" w:rsidRDefault="00D848FC" w:rsidP="0014258A">
      <w:pPr>
        <w:autoSpaceDE w:val="0"/>
        <w:autoSpaceDN w:val="0"/>
        <w:adjustRightInd w:val="0"/>
        <w:spacing w:after="0"/>
        <w:rPr>
          <w:rFonts w:ascii="Arial" w:eastAsia="Arial" w:hAnsi="Arial" w:cs="Arial"/>
          <w:b/>
          <w:bCs/>
          <w:sz w:val="24"/>
          <w:szCs w:val="24"/>
        </w:rPr>
      </w:pPr>
      <w:r w:rsidRPr="000D762F">
        <w:rPr>
          <w:rFonts w:ascii="Arial" w:eastAsia="Arial" w:hAnsi="Arial" w:cs="Arial"/>
          <w:b/>
          <w:bCs/>
          <w:sz w:val="24"/>
          <w:szCs w:val="24"/>
        </w:rPr>
        <w:t>Question(s):</w:t>
      </w:r>
    </w:p>
    <w:p w14:paraId="4CC7BCAE" w14:textId="77777777" w:rsidR="00D848FC" w:rsidRPr="000D762F" w:rsidRDefault="00D848FC" w:rsidP="0014258A">
      <w:pPr>
        <w:autoSpaceDE w:val="0"/>
        <w:autoSpaceDN w:val="0"/>
        <w:adjustRightInd w:val="0"/>
        <w:spacing w:after="0"/>
        <w:rPr>
          <w:rFonts w:ascii="Arial" w:eastAsia="Arial" w:hAnsi="Arial" w:cs="Arial"/>
          <w:sz w:val="24"/>
          <w:szCs w:val="24"/>
        </w:rPr>
      </w:pPr>
    </w:p>
    <w:p w14:paraId="3FB56B3D" w14:textId="4EDFD97D" w:rsidR="0014258A" w:rsidRPr="000D762F" w:rsidRDefault="0014258A" w:rsidP="00784A6A">
      <w:pPr>
        <w:pStyle w:val="ListParagraph"/>
        <w:numPr>
          <w:ilvl w:val="0"/>
          <w:numId w:val="28"/>
        </w:numPr>
        <w:autoSpaceDE w:val="0"/>
        <w:autoSpaceDN w:val="0"/>
        <w:adjustRightInd w:val="0"/>
        <w:spacing w:after="0"/>
        <w:rPr>
          <w:rFonts w:ascii="Arial" w:eastAsia="Arial" w:hAnsi="Arial" w:cs="Arial"/>
          <w:sz w:val="24"/>
          <w:szCs w:val="24"/>
        </w:rPr>
      </w:pPr>
      <w:r w:rsidRPr="000D762F">
        <w:rPr>
          <w:rFonts w:ascii="Arial" w:eastAsia="Arial" w:hAnsi="Arial" w:cs="Arial"/>
          <w:sz w:val="24"/>
          <w:szCs w:val="24"/>
        </w:rPr>
        <w:t>Please confirm the most recent OEB prescribed interest rate has been used in calculating the carrying charges in Ref 1.</w:t>
      </w:r>
    </w:p>
    <w:p w14:paraId="2DDFE82A" w14:textId="77777777" w:rsidR="0014258A" w:rsidRPr="000D762F" w:rsidRDefault="0014258A" w:rsidP="0014258A">
      <w:pPr>
        <w:autoSpaceDE w:val="0"/>
        <w:autoSpaceDN w:val="0"/>
        <w:adjustRightInd w:val="0"/>
        <w:spacing w:after="0"/>
        <w:rPr>
          <w:rFonts w:ascii="Arial" w:eastAsia="Arial" w:hAnsi="Arial" w:cs="Arial"/>
          <w:sz w:val="24"/>
          <w:szCs w:val="24"/>
        </w:rPr>
      </w:pPr>
    </w:p>
    <w:p w14:paraId="2B3BDEC7" w14:textId="77777777" w:rsidR="00724AE4" w:rsidRDefault="00724AE4" w:rsidP="0014258A">
      <w:pPr>
        <w:spacing w:after="0"/>
        <w:contextualSpacing/>
        <w:rPr>
          <w:rFonts w:ascii="Arial" w:eastAsia="Arial" w:hAnsi="Arial" w:cs="Arial"/>
          <w:b/>
          <w:bCs/>
          <w:sz w:val="24"/>
          <w:szCs w:val="24"/>
        </w:rPr>
      </w:pPr>
    </w:p>
    <w:p w14:paraId="01DA6768" w14:textId="49B09A1C" w:rsidR="0014258A" w:rsidRPr="000D762F" w:rsidRDefault="0014258A" w:rsidP="0014258A">
      <w:pPr>
        <w:spacing w:after="0"/>
        <w:contextualSpacing/>
        <w:rPr>
          <w:rFonts w:ascii="Arial" w:hAnsi="Arial" w:cs="Arial"/>
          <w:b/>
          <w:bCs/>
          <w:sz w:val="24"/>
          <w:szCs w:val="24"/>
        </w:rPr>
      </w:pPr>
      <w:r w:rsidRPr="000D762F">
        <w:rPr>
          <w:rFonts w:ascii="Arial" w:eastAsia="Arial" w:hAnsi="Arial" w:cs="Arial"/>
          <w:b/>
          <w:bCs/>
          <w:sz w:val="24"/>
          <w:szCs w:val="24"/>
        </w:rPr>
        <w:t>Staff-</w:t>
      </w:r>
      <w:r w:rsidR="00CF33BA" w:rsidRPr="000D762F">
        <w:rPr>
          <w:rFonts w:ascii="Arial" w:eastAsia="Arial" w:hAnsi="Arial" w:cs="Arial"/>
          <w:b/>
          <w:bCs/>
          <w:sz w:val="24"/>
          <w:szCs w:val="24"/>
        </w:rPr>
        <w:t>117</w:t>
      </w:r>
    </w:p>
    <w:p w14:paraId="32BDB395" w14:textId="77777777" w:rsidR="0014258A" w:rsidRPr="000D762F" w:rsidRDefault="0014258A" w:rsidP="0014258A">
      <w:pPr>
        <w:spacing w:after="0"/>
        <w:ind w:left="720" w:hanging="720"/>
        <w:rPr>
          <w:rFonts w:ascii="Arial" w:hAnsi="Arial" w:cs="Arial"/>
          <w:sz w:val="24"/>
          <w:szCs w:val="24"/>
        </w:rPr>
      </w:pPr>
      <w:r w:rsidRPr="000D762F">
        <w:rPr>
          <w:rFonts w:ascii="Arial" w:eastAsia="Arial" w:hAnsi="Arial" w:cs="Arial"/>
          <w:b/>
          <w:bCs/>
          <w:sz w:val="24"/>
          <w:szCs w:val="24"/>
        </w:rPr>
        <w:t xml:space="preserve">Group 1 </w:t>
      </w:r>
    </w:p>
    <w:p w14:paraId="329F3AD1" w14:textId="77777777" w:rsidR="0014258A" w:rsidRPr="000D762F" w:rsidRDefault="0014258A" w:rsidP="0014258A">
      <w:pPr>
        <w:spacing w:after="0"/>
        <w:rPr>
          <w:rFonts w:ascii="Arial" w:hAnsi="Arial" w:cs="Arial"/>
          <w:b/>
          <w:bCs/>
          <w:sz w:val="24"/>
          <w:szCs w:val="24"/>
        </w:rPr>
      </w:pPr>
      <w:r w:rsidRPr="000D762F">
        <w:rPr>
          <w:rFonts w:ascii="Arial" w:eastAsia="Arial" w:hAnsi="Arial" w:cs="Arial"/>
          <w:b/>
          <w:bCs/>
          <w:sz w:val="24"/>
          <w:szCs w:val="24"/>
        </w:rPr>
        <w:t xml:space="preserve">Ref 1: </w:t>
      </w:r>
      <w:r w:rsidRPr="000D762F">
        <w:rPr>
          <w:rStyle w:val="normaltextrun"/>
          <w:rFonts w:ascii="Arial" w:hAnsi="Arial" w:cs="Arial"/>
          <w:b/>
          <w:bCs/>
          <w:sz w:val="24"/>
          <w:szCs w:val="24"/>
        </w:rPr>
        <w:t>BHI_IRR_Staff_07242025, 9-Staff-82</w:t>
      </w:r>
    </w:p>
    <w:p w14:paraId="21A02CAF" w14:textId="77777777" w:rsidR="0014258A" w:rsidRPr="000D762F" w:rsidRDefault="0014258A" w:rsidP="0014258A">
      <w:pPr>
        <w:spacing w:after="0"/>
        <w:rPr>
          <w:rFonts w:ascii="Arial" w:eastAsia="Arial" w:hAnsi="Arial" w:cs="Arial"/>
          <w:sz w:val="24"/>
          <w:szCs w:val="24"/>
        </w:rPr>
      </w:pPr>
    </w:p>
    <w:p w14:paraId="18DEF75D"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 xml:space="preserve">Preamble: </w:t>
      </w:r>
    </w:p>
    <w:p w14:paraId="3CC470B2"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Per Ref 1, Burlington Hydro states that it is currently still in the process of verifying the accuracy of the automated settlement calculations of which the targeting completion is by the end of 2025 and hasn’t identified any material adjustments to Group 1 accounts due to the new process up to this point.</w:t>
      </w:r>
    </w:p>
    <w:p w14:paraId="57242232" w14:textId="77777777" w:rsidR="0014258A" w:rsidRPr="000D762F" w:rsidRDefault="0014258A" w:rsidP="0014258A">
      <w:pPr>
        <w:spacing w:after="0"/>
        <w:rPr>
          <w:rFonts w:ascii="Arial" w:eastAsia="Arial" w:hAnsi="Arial" w:cs="Arial"/>
          <w:sz w:val="24"/>
          <w:szCs w:val="24"/>
        </w:rPr>
      </w:pPr>
    </w:p>
    <w:p w14:paraId="2040C796"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70357CC9" w14:textId="4278E0CE" w:rsidR="0014258A" w:rsidRPr="000D762F" w:rsidRDefault="0014258A" w:rsidP="0014258A">
      <w:pPr>
        <w:pStyle w:val="ListParagraph"/>
        <w:numPr>
          <w:ilvl w:val="0"/>
          <w:numId w:val="24"/>
        </w:numPr>
        <w:spacing w:after="0"/>
        <w:rPr>
          <w:rFonts w:ascii="Arial" w:eastAsia="Arial" w:hAnsi="Arial" w:cs="Arial"/>
          <w:sz w:val="24"/>
          <w:szCs w:val="24"/>
          <w:lang w:val="en-US"/>
        </w:rPr>
      </w:pPr>
      <w:r w:rsidRPr="000D762F">
        <w:rPr>
          <w:rFonts w:ascii="Arial" w:eastAsia="Arial" w:hAnsi="Arial" w:cs="Arial"/>
          <w:sz w:val="24"/>
          <w:szCs w:val="24"/>
          <w:lang w:val="en-US"/>
        </w:rPr>
        <w:t xml:space="preserve">Please confirm </w:t>
      </w:r>
      <w:r w:rsidRPr="000D762F">
        <w:rPr>
          <w:rFonts w:ascii="Arial" w:eastAsia="Arial" w:hAnsi="Arial" w:cs="Arial"/>
          <w:sz w:val="24"/>
          <w:szCs w:val="24"/>
        </w:rPr>
        <w:t xml:space="preserve">whether Burlington Hydro has identified any material adjustment in the IESO settlements and Group 1 DVAs.  </w:t>
      </w:r>
    </w:p>
    <w:p w14:paraId="4F012D2B" w14:textId="77777777" w:rsidR="0014258A" w:rsidRPr="000D762F" w:rsidRDefault="0014258A" w:rsidP="0014258A">
      <w:pPr>
        <w:spacing w:after="0"/>
        <w:rPr>
          <w:rFonts w:ascii="Arial" w:eastAsia="Arial" w:hAnsi="Arial" w:cs="Arial"/>
          <w:sz w:val="24"/>
          <w:szCs w:val="24"/>
        </w:rPr>
      </w:pPr>
    </w:p>
    <w:p w14:paraId="7B2EB817" w14:textId="3A027A6D" w:rsidR="0014258A" w:rsidRPr="000D762F" w:rsidRDefault="0014258A" w:rsidP="0014258A">
      <w:pPr>
        <w:spacing w:after="0"/>
        <w:contextualSpacing/>
        <w:rPr>
          <w:rFonts w:ascii="Arial" w:eastAsia="Arial" w:hAnsi="Arial" w:cs="Arial"/>
          <w:b/>
          <w:bCs/>
          <w:sz w:val="24"/>
          <w:szCs w:val="24"/>
        </w:rPr>
      </w:pPr>
      <w:r w:rsidRPr="000D762F">
        <w:rPr>
          <w:rFonts w:ascii="Arial" w:eastAsia="Arial" w:hAnsi="Arial" w:cs="Arial"/>
          <w:b/>
          <w:bCs/>
          <w:sz w:val="24"/>
          <w:szCs w:val="24"/>
        </w:rPr>
        <w:t>Staff-</w:t>
      </w:r>
      <w:r w:rsidR="00CF33BA" w:rsidRPr="000D762F">
        <w:rPr>
          <w:rFonts w:ascii="Arial" w:eastAsia="Arial" w:hAnsi="Arial" w:cs="Arial"/>
          <w:b/>
          <w:bCs/>
          <w:sz w:val="24"/>
          <w:szCs w:val="24"/>
        </w:rPr>
        <w:t>118</w:t>
      </w:r>
    </w:p>
    <w:p w14:paraId="4A5932A8" w14:textId="77777777" w:rsidR="0014258A" w:rsidRPr="000D762F" w:rsidRDefault="0014258A" w:rsidP="0014258A">
      <w:pPr>
        <w:autoSpaceDE w:val="0"/>
        <w:autoSpaceDN w:val="0"/>
        <w:adjustRightInd w:val="0"/>
        <w:spacing w:after="0"/>
        <w:rPr>
          <w:rFonts w:ascii="Arial" w:eastAsia="Arial" w:hAnsi="Arial" w:cs="Arial"/>
          <w:b/>
          <w:bCs/>
          <w:sz w:val="24"/>
          <w:szCs w:val="24"/>
        </w:rPr>
      </w:pPr>
      <w:r w:rsidRPr="000D762F">
        <w:rPr>
          <w:rFonts w:ascii="Arial" w:eastAsia="Arial" w:hAnsi="Arial" w:cs="Arial"/>
          <w:b/>
          <w:bCs/>
          <w:sz w:val="24"/>
          <w:szCs w:val="24"/>
        </w:rPr>
        <w:t>Customer choice</w:t>
      </w:r>
    </w:p>
    <w:p w14:paraId="5AF92AE0"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 xml:space="preserve">Ref 1: </w:t>
      </w:r>
      <w:r w:rsidRPr="000D762F">
        <w:rPr>
          <w:rStyle w:val="normaltextrun"/>
          <w:rFonts w:ascii="Arial" w:hAnsi="Arial" w:cs="Arial"/>
          <w:b/>
          <w:bCs/>
          <w:sz w:val="24"/>
          <w:szCs w:val="24"/>
        </w:rPr>
        <w:t>BHI_IRR_Staff_07242025, 9-Staff-90</w:t>
      </w:r>
    </w:p>
    <w:p w14:paraId="23EEB708" w14:textId="77777777" w:rsidR="0014258A" w:rsidRPr="000D762F" w:rsidRDefault="0014258A" w:rsidP="0014258A">
      <w:pPr>
        <w:autoSpaceDE w:val="0"/>
        <w:autoSpaceDN w:val="0"/>
        <w:adjustRightInd w:val="0"/>
        <w:spacing w:after="0"/>
        <w:rPr>
          <w:rFonts w:ascii="Arial" w:eastAsia="Arial" w:hAnsi="Arial" w:cs="Arial"/>
          <w:b/>
          <w:bCs/>
          <w:sz w:val="24"/>
          <w:szCs w:val="24"/>
        </w:rPr>
      </w:pPr>
    </w:p>
    <w:p w14:paraId="17F077B7"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 xml:space="preserve">Preamble: </w:t>
      </w:r>
    </w:p>
    <w:p w14:paraId="7F2D57BB" w14:textId="77777777" w:rsidR="0014258A" w:rsidRPr="000D762F" w:rsidRDefault="0014258A" w:rsidP="0014258A">
      <w:pPr>
        <w:autoSpaceDE w:val="0"/>
        <w:autoSpaceDN w:val="0"/>
        <w:adjustRightInd w:val="0"/>
        <w:spacing w:after="0"/>
        <w:rPr>
          <w:rFonts w:ascii="Arial" w:hAnsi="Arial" w:cs="Arial"/>
          <w:sz w:val="24"/>
          <w:szCs w:val="24"/>
          <w:lang w:val="en-US"/>
        </w:rPr>
      </w:pPr>
      <w:r w:rsidRPr="000D762F">
        <w:rPr>
          <w:rFonts w:ascii="Arial" w:hAnsi="Arial" w:cs="Arial"/>
          <w:sz w:val="24"/>
          <w:szCs w:val="24"/>
        </w:rPr>
        <w:t xml:space="preserve">Per Ref 1, Burlington Hydro </w:t>
      </w:r>
      <w:r w:rsidRPr="000D762F">
        <w:rPr>
          <w:rFonts w:ascii="Arial" w:hAnsi="Arial" w:cs="Arial"/>
          <w:sz w:val="24"/>
          <w:szCs w:val="24"/>
          <w:lang w:val="en-US"/>
        </w:rPr>
        <w:t>proposes to keep the Customer Choice Account open in case it incurs any incremental costs directly attributable to future code amendments made in response to</w:t>
      </w:r>
    </w:p>
    <w:p w14:paraId="098BA03E" w14:textId="77777777" w:rsidR="0014258A" w:rsidRPr="000D762F" w:rsidRDefault="0014258A" w:rsidP="0014258A">
      <w:pPr>
        <w:autoSpaceDE w:val="0"/>
        <w:autoSpaceDN w:val="0"/>
        <w:adjustRightInd w:val="0"/>
        <w:spacing w:after="0"/>
        <w:rPr>
          <w:rFonts w:ascii="Arial" w:hAnsi="Arial" w:cs="Arial"/>
          <w:sz w:val="24"/>
          <w:szCs w:val="24"/>
        </w:rPr>
      </w:pPr>
      <w:r w:rsidRPr="000D762F">
        <w:rPr>
          <w:rFonts w:ascii="Arial" w:hAnsi="Arial" w:cs="Arial"/>
          <w:sz w:val="24"/>
          <w:szCs w:val="24"/>
          <w:lang w:val="en-US"/>
        </w:rPr>
        <w:t>Customer Choice initiatives.</w:t>
      </w:r>
    </w:p>
    <w:p w14:paraId="4C8F0F03" w14:textId="77777777" w:rsidR="0014258A" w:rsidRPr="000D762F" w:rsidRDefault="0014258A" w:rsidP="0014258A">
      <w:pPr>
        <w:autoSpaceDE w:val="0"/>
        <w:autoSpaceDN w:val="0"/>
        <w:adjustRightInd w:val="0"/>
        <w:spacing w:after="0"/>
        <w:rPr>
          <w:rFonts w:ascii="Arial" w:hAnsi="Arial" w:cs="Arial"/>
          <w:sz w:val="24"/>
          <w:szCs w:val="24"/>
        </w:rPr>
      </w:pPr>
    </w:p>
    <w:p w14:paraId="273FD18A"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rPr>
        <w:t xml:space="preserve">OEB staff notes Burlington Hydro </w:t>
      </w:r>
      <w:r w:rsidRPr="000D762F">
        <w:rPr>
          <w:rFonts w:ascii="Arial" w:eastAsia="Arial" w:hAnsi="Arial" w:cs="Arial"/>
          <w:sz w:val="24"/>
          <w:szCs w:val="24"/>
          <w:lang w:val="en-US"/>
        </w:rPr>
        <w:t>has already included the forecast amount up to December 2025 and the implementation starts from 2020 which has been 5 years.</w:t>
      </w:r>
    </w:p>
    <w:p w14:paraId="565660BD"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p>
    <w:p w14:paraId="0515FEE6" w14:textId="77777777" w:rsidR="00DB4A41" w:rsidRDefault="00DB4A41" w:rsidP="0014258A">
      <w:pPr>
        <w:spacing w:after="0"/>
        <w:rPr>
          <w:rFonts w:ascii="Arial" w:hAnsi="Arial" w:cs="Arial"/>
          <w:b/>
          <w:bCs/>
          <w:sz w:val="24"/>
          <w:szCs w:val="24"/>
        </w:rPr>
      </w:pPr>
    </w:p>
    <w:p w14:paraId="4ACA290C"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48958AE6" w14:textId="64021E71" w:rsidR="0014258A" w:rsidRPr="000D762F" w:rsidRDefault="0014258A" w:rsidP="0014258A">
      <w:pPr>
        <w:pStyle w:val="ListParagraph"/>
        <w:numPr>
          <w:ilvl w:val="0"/>
          <w:numId w:val="25"/>
        </w:num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 xml:space="preserve">Please provide the thought on discontinuing the account, given that the account was established to record the incremental costs associated with the customer billing choice initiative in 2020. </w:t>
      </w:r>
    </w:p>
    <w:p w14:paraId="2BFE75B8"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p>
    <w:p w14:paraId="5BF6D75A" w14:textId="689C3227" w:rsidR="0014258A" w:rsidRPr="000D762F" w:rsidRDefault="0014258A" w:rsidP="0014258A">
      <w:pPr>
        <w:autoSpaceDE w:val="0"/>
        <w:autoSpaceDN w:val="0"/>
        <w:adjustRightInd w:val="0"/>
        <w:spacing w:after="0"/>
        <w:rPr>
          <w:rFonts w:ascii="Arial" w:eastAsia="Arial" w:hAnsi="Arial" w:cs="Arial"/>
          <w:b/>
          <w:bCs/>
          <w:sz w:val="24"/>
          <w:szCs w:val="24"/>
          <w:lang w:val="en-US"/>
        </w:rPr>
      </w:pPr>
      <w:r w:rsidRPr="000D762F">
        <w:rPr>
          <w:rFonts w:ascii="Arial" w:eastAsia="Arial" w:hAnsi="Arial" w:cs="Arial"/>
          <w:b/>
          <w:bCs/>
          <w:sz w:val="24"/>
          <w:szCs w:val="24"/>
          <w:lang w:val="en-US"/>
        </w:rPr>
        <w:t>Staff-</w:t>
      </w:r>
      <w:r w:rsidR="00CF33BA" w:rsidRPr="000D762F">
        <w:rPr>
          <w:rFonts w:ascii="Arial" w:eastAsia="Arial" w:hAnsi="Arial" w:cs="Arial"/>
          <w:b/>
          <w:bCs/>
          <w:sz w:val="24"/>
          <w:szCs w:val="24"/>
          <w:lang w:val="en-US"/>
        </w:rPr>
        <w:t>119</w:t>
      </w:r>
    </w:p>
    <w:p w14:paraId="27B08AC9"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r w:rsidRPr="000D762F">
        <w:rPr>
          <w:rFonts w:ascii="Arial" w:eastAsia="Arial" w:hAnsi="Arial" w:cs="Arial"/>
          <w:b/>
          <w:bCs/>
          <w:sz w:val="24"/>
          <w:szCs w:val="24"/>
          <w:lang w:val="en-US"/>
        </w:rPr>
        <w:t>Impacts Arising from the COVID-19 Emergency</w:t>
      </w:r>
    </w:p>
    <w:p w14:paraId="3AC91ADC"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r w:rsidRPr="000D762F">
        <w:rPr>
          <w:rFonts w:ascii="Arial" w:eastAsia="Arial" w:hAnsi="Arial" w:cs="Arial"/>
          <w:b/>
          <w:bCs/>
          <w:sz w:val="24"/>
          <w:szCs w:val="24"/>
          <w:lang w:val="en-US"/>
        </w:rPr>
        <w:t xml:space="preserve">Ref 1: </w:t>
      </w:r>
      <w:r w:rsidRPr="000D762F">
        <w:rPr>
          <w:rStyle w:val="normaltextrun"/>
          <w:rFonts w:ascii="Arial" w:hAnsi="Arial" w:cs="Arial"/>
          <w:b/>
          <w:bCs/>
          <w:sz w:val="24"/>
          <w:szCs w:val="24"/>
        </w:rPr>
        <w:t>BHI_IRR_Staff_07242025, 9-Staff-93, Table 1</w:t>
      </w:r>
    </w:p>
    <w:p w14:paraId="50183B98"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p>
    <w:p w14:paraId="4CB30F9C"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 xml:space="preserve">OEB staff has </w:t>
      </w:r>
      <w:proofErr w:type="gramStart"/>
      <w:r w:rsidRPr="000D762F">
        <w:rPr>
          <w:rFonts w:ascii="Arial" w:eastAsia="Arial" w:hAnsi="Arial" w:cs="Arial"/>
          <w:sz w:val="24"/>
          <w:szCs w:val="24"/>
          <w:lang w:val="en-US"/>
        </w:rPr>
        <w:t>complied</w:t>
      </w:r>
      <w:proofErr w:type="gramEnd"/>
      <w:r w:rsidRPr="000D762F">
        <w:rPr>
          <w:rFonts w:ascii="Arial" w:eastAsia="Arial" w:hAnsi="Arial" w:cs="Arial"/>
          <w:sz w:val="24"/>
          <w:szCs w:val="24"/>
          <w:lang w:val="en-US"/>
        </w:rPr>
        <w:t xml:space="preserve"> the following Table (B) showing the Means Test calculation:</w:t>
      </w:r>
    </w:p>
    <w:tbl>
      <w:tblPr>
        <w:tblStyle w:val="TableGrid"/>
        <w:tblW w:w="0" w:type="auto"/>
        <w:tblLayout w:type="fixed"/>
        <w:tblLook w:val="04A0" w:firstRow="1" w:lastRow="0" w:firstColumn="1" w:lastColumn="0" w:noHBand="0" w:noVBand="1"/>
      </w:tblPr>
      <w:tblGrid>
        <w:gridCol w:w="2245"/>
        <w:gridCol w:w="990"/>
        <w:gridCol w:w="1440"/>
        <w:gridCol w:w="5400"/>
      </w:tblGrid>
      <w:tr w:rsidR="0014258A" w:rsidRPr="000D762F" w14:paraId="65BF0531" w14:textId="77777777">
        <w:tc>
          <w:tcPr>
            <w:tcW w:w="2245" w:type="dxa"/>
          </w:tcPr>
          <w:p w14:paraId="0C6AA1E7" w14:textId="77777777" w:rsidR="0014258A" w:rsidRPr="000D762F" w:rsidRDefault="0014258A" w:rsidP="0014258A">
            <w:pPr>
              <w:autoSpaceDE w:val="0"/>
              <w:autoSpaceDN w:val="0"/>
              <w:adjustRightInd w:val="0"/>
              <w:spacing w:after="0"/>
              <w:jc w:val="center"/>
              <w:rPr>
                <w:rFonts w:eastAsia="Arial" w:cs="Arial"/>
                <w:b/>
                <w:bCs/>
                <w:sz w:val="24"/>
                <w:szCs w:val="24"/>
                <w:lang w:val="en-US"/>
              </w:rPr>
            </w:pPr>
            <w:r w:rsidRPr="000D762F">
              <w:rPr>
                <w:rFonts w:eastAsia="Arial" w:cs="Arial"/>
                <w:b/>
                <w:bCs/>
                <w:sz w:val="24"/>
                <w:szCs w:val="24"/>
                <w:lang w:val="en-US"/>
              </w:rPr>
              <w:t>Item</w:t>
            </w:r>
          </w:p>
        </w:tc>
        <w:tc>
          <w:tcPr>
            <w:tcW w:w="990" w:type="dxa"/>
          </w:tcPr>
          <w:p w14:paraId="71D1C04E" w14:textId="77777777" w:rsidR="0014258A" w:rsidRPr="000D762F" w:rsidRDefault="0014258A" w:rsidP="0014258A">
            <w:pPr>
              <w:autoSpaceDE w:val="0"/>
              <w:autoSpaceDN w:val="0"/>
              <w:adjustRightInd w:val="0"/>
              <w:spacing w:after="0"/>
              <w:jc w:val="center"/>
              <w:rPr>
                <w:rFonts w:eastAsia="Arial" w:cs="Arial"/>
                <w:b/>
                <w:bCs/>
                <w:sz w:val="24"/>
                <w:szCs w:val="24"/>
                <w:lang w:val="en-US"/>
              </w:rPr>
            </w:pPr>
            <w:r w:rsidRPr="000D762F">
              <w:rPr>
                <w:rFonts w:eastAsia="Arial" w:cs="Arial"/>
                <w:b/>
                <w:bCs/>
                <w:sz w:val="24"/>
                <w:szCs w:val="24"/>
                <w:lang w:val="en-US"/>
              </w:rPr>
              <w:t>2020</w:t>
            </w:r>
          </w:p>
        </w:tc>
        <w:tc>
          <w:tcPr>
            <w:tcW w:w="1440" w:type="dxa"/>
          </w:tcPr>
          <w:p w14:paraId="16CB62AE" w14:textId="77777777" w:rsidR="0014258A" w:rsidRPr="000D762F" w:rsidRDefault="0014258A" w:rsidP="0014258A">
            <w:pPr>
              <w:autoSpaceDE w:val="0"/>
              <w:autoSpaceDN w:val="0"/>
              <w:adjustRightInd w:val="0"/>
              <w:spacing w:after="0"/>
              <w:jc w:val="center"/>
              <w:rPr>
                <w:rFonts w:eastAsia="Arial" w:cs="Arial"/>
                <w:b/>
                <w:bCs/>
                <w:sz w:val="24"/>
                <w:szCs w:val="24"/>
                <w:lang w:val="en-US"/>
              </w:rPr>
            </w:pPr>
            <w:r w:rsidRPr="000D762F">
              <w:rPr>
                <w:rFonts w:eastAsia="Arial" w:cs="Arial"/>
                <w:b/>
                <w:bCs/>
                <w:sz w:val="24"/>
                <w:szCs w:val="24"/>
                <w:lang w:val="en-US"/>
              </w:rPr>
              <w:t xml:space="preserve">2021 </w:t>
            </w:r>
          </w:p>
        </w:tc>
        <w:tc>
          <w:tcPr>
            <w:tcW w:w="5400" w:type="dxa"/>
          </w:tcPr>
          <w:p w14:paraId="139567E2" w14:textId="77777777" w:rsidR="0014258A" w:rsidRPr="000D762F" w:rsidRDefault="0014258A" w:rsidP="0014258A">
            <w:pPr>
              <w:autoSpaceDE w:val="0"/>
              <w:autoSpaceDN w:val="0"/>
              <w:adjustRightInd w:val="0"/>
              <w:spacing w:after="0"/>
              <w:jc w:val="center"/>
              <w:rPr>
                <w:rFonts w:eastAsia="Arial" w:cs="Arial"/>
                <w:b/>
                <w:bCs/>
                <w:sz w:val="24"/>
                <w:szCs w:val="24"/>
                <w:lang w:val="en-US"/>
              </w:rPr>
            </w:pPr>
            <w:r w:rsidRPr="000D762F">
              <w:rPr>
                <w:rFonts w:eastAsia="Arial" w:cs="Arial"/>
                <w:b/>
                <w:bCs/>
                <w:sz w:val="24"/>
                <w:szCs w:val="24"/>
                <w:lang w:val="en-US"/>
              </w:rPr>
              <w:t>Calculation of 2021 ROE</w:t>
            </w:r>
          </w:p>
        </w:tc>
      </w:tr>
      <w:tr w:rsidR="0014258A" w:rsidRPr="000D762F" w14:paraId="17308844" w14:textId="77777777">
        <w:tc>
          <w:tcPr>
            <w:tcW w:w="2245" w:type="dxa"/>
          </w:tcPr>
          <w:p w14:paraId="6C371C90" w14:textId="77777777" w:rsidR="0014258A" w:rsidRPr="000D762F" w:rsidRDefault="0014258A" w:rsidP="0014258A">
            <w:pPr>
              <w:autoSpaceDE w:val="0"/>
              <w:autoSpaceDN w:val="0"/>
              <w:adjustRightInd w:val="0"/>
              <w:spacing w:after="0"/>
              <w:rPr>
                <w:rFonts w:eastAsia="Arial" w:cs="Arial"/>
                <w:b/>
                <w:bCs/>
                <w:sz w:val="24"/>
                <w:szCs w:val="24"/>
                <w:lang w:val="en-US"/>
              </w:rPr>
            </w:pPr>
            <w:r w:rsidRPr="000D762F">
              <w:rPr>
                <w:rFonts w:eastAsia="Arial" w:cs="Arial"/>
                <w:b/>
                <w:bCs/>
                <w:sz w:val="24"/>
                <w:szCs w:val="24"/>
                <w:lang w:val="en-US"/>
              </w:rPr>
              <w:t>OEB approved ROE % (Ref 1)</w:t>
            </w:r>
          </w:p>
        </w:tc>
        <w:tc>
          <w:tcPr>
            <w:tcW w:w="990" w:type="dxa"/>
          </w:tcPr>
          <w:p w14:paraId="194FB282" w14:textId="77777777" w:rsidR="0014258A" w:rsidRPr="000D762F" w:rsidRDefault="0014258A" w:rsidP="0014258A">
            <w:pPr>
              <w:autoSpaceDE w:val="0"/>
              <w:autoSpaceDN w:val="0"/>
              <w:adjustRightInd w:val="0"/>
              <w:spacing w:after="0"/>
              <w:jc w:val="right"/>
              <w:rPr>
                <w:rFonts w:eastAsia="Arial" w:cs="Arial"/>
                <w:sz w:val="24"/>
                <w:szCs w:val="24"/>
                <w:lang w:val="en-US"/>
              </w:rPr>
            </w:pPr>
            <w:r w:rsidRPr="000D762F">
              <w:rPr>
                <w:rFonts w:eastAsia="Arial" w:cs="Arial"/>
                <w:sz w:val="24"/>
                <w:szCs w:val="24"/>
                <w:lang w:val="en-US"/>
              </w:rPr>
              <w:t>9.36%</w:t>
            </w:r>
          </w:p>
        </w:tc>
        <w:tc>
          <w:tcPr>
            <w:tcW w:w="1440" w:type="dxa"/>
          </w:tcPr>
          <w:p w14:paraId="217FD1D0" w14:textId="77777777" w:rsidR="0014258A" w:rsidRPr="000D762F" w:rsidRDefault="0014258A" w:rsidP="0014258A">
            <w:pPr>
              <w:autoSpaceDE w:val="0"/>
              <w:autoSpaceDN w:val="0"/>
              <w:adjustRightInd w:val="0"/>
              <w:spacing w:after="0"/>
              <w:jc w:val="center"/>
              <w:rPr>
                <w:rFonts w:eastAsia="Arial" w:cs="Arial"/>
                <w:sz w:val="24"/>
                <w:szCs w:val="24"/>
                <w:lang w:val="en-US"/>
              </w:rPr>
            </w:pPr>
            <w:r w:rsidRPr="000D762F">
              <w:rPr>
                <w:rFonts w:eastAsia="Arial" w:cs="Arial"/>
                <w:sz w:val="24"/>
                <w:szCs w:val="24"/>
                <w:lang w:val="en-US"/>
              </w:rPr>
              <w:t>8.68%</w:t>
            </w:r>
          </w:p>
        </w:tc>
        <w:tc>
          <w:tcPr>
            <w:tcW w:w="5400" w:type="dxa"/>
          </w:tcPr>
          <w:p w14:paraId="3FA0CEF6" w14:textId="77777777" w:rsidR="0014258A" w:rsidRPr="000D762F" w:rsidRDefault="0014258A" w:rsidP="0014258A">
            <w:pPr>
              <w:autoSpaceDE w:val="0"/>
              <w:autoSpaceDN w:val="0"/>
              <w:adjustRightInd w:val="0"/>
              <w:spacing w:after="0"/>
              <w:rPr>
                <w:rFonts w:eastAsia="Arial" w:cs="Arial"/>
                <w:sz w:val="24"/>
                <w:szCs w:val="24"/>
                <w:lang w:val="en-US"/>
              </w:rPr>
            </w:pPr>
            <w:r w:rsidRPr="000D762F">
              <w:rPr>
                <w:rFonts w:eastAsia="Arial" w:cs="Arial"/>
                <w:sz w:val="24"/>
                <w:szCs w:val="24"/>
                <w:lang w:val="en-US"/>
              </w:rPr>
              <w:t>9.36% (</w:t>
            </w:r>
            <w:proofErr w:type="spellStart"/>
            <w:r w:rsidRPr="000D762F">
              <w:rPr>
                <w:rFonts w:eastAsia="Arial" w:cs="Arial"/>
                <w:sz w:val="24"/>
                <w:szCs w:val="24"/>
                <w:lang w:val="en-US"/>
              </w:rPr>
              <w:t>Jan~Apr</w:t>
            </w:r>
            <w:proofErr w:type="spellEnd"/>
            <w:r w:rsidRPr="000D762F">
              <w:rPr>
                <w:rFonts w:eastAsia="Arial" w:cs="Arial"/>
                <w:sz w:val="24"/>
                <w:szCs w:val="24"/>
                <w:lang w:val="en-US"/>
              </w:rPr>
              <w:t>)/12*4 + 8.34%(</w:t>
            </w:r>
            <w:proofErr w:type="spellStart"/>
            <w:r w:rsidRPr="000D762F">
              <w:rPr>
                <w:rFonts w:eastAsia="Arial" w:cs="Arial"/>
                <w:sz w:val="24"/>
                <w:szCs w:val="24"/>
                <w:lang w:val="en-US"/>
              </w:rPr>
              <w:t>May~Dec</w:t>
            </w:r>
            <w:proofErr w:type="spellEnd"/>
            <w:r w:rsidRPr="000D762F">
              <w:rPr>
                <w:rFonts w:eastAsia="Arial" w:cs="Arial"/>
                <w:sz w:val="24"/>
                <w:szCs w:val="24"/>
                <w:lang w:val="en-US"/>
              </w:rPr>
              <w:t>)/12*8 =</w:t>
            </w:r>
            <w:r w:rsidRPr="000D762F">
              <w:rPr>
                <w:rFonts w:eastAsia="Arial" w:cs="Arial"/>
                <w:b/>
                <w:bCs/>
                <w:sz w:val="24"/>
                <w:szCs w:val="24"/>
                <w:u w:val="single"/>
                <w:lang w:val="en-US"/>
              </w:rPr>
              <w:t>8.68%</w:t>
            </w:r>
          </w:p>
        </w:tc>
      </w:tr>
      <w:tr w:rsidR="0014258A" w:rsidRPr="000D762F" w14:paraId="41AA5B3F" w14:textId="77777777">
        <w:tc>
          <w:tcPr>
            <w:tcW w:w="2245" w:type="dxa"/>
          </w:tcPr>
          <w:p w14:paraId="3BE84476" w14:textId="77777777" w:rsidR="0014258A" w:rsidRPr="000D762F" w:rsidRDefault="0014258A" w:rsidP="0014258A">
            <w:pPr>
              <w:autoSpaceDE w:val="0"/>
              <w:autoSpaceDN w:val="0"/>
              <w:adjustRightInd w:val="0"/>
              <w:spacing w:after="0"/>
              <w:rPr>
                <w:rFonts w:eastAsia="Arial" w:cs="Arial"/>
                <w:b/>
                <w:bCs/>
                <w:sz w:val="24"/>
                <w:szCs w:val="24"/>
                <w:lang w:val="en-US"/>
              </w:rPr>
            </w:pPr>
            <w:r w:rsidRPr="000D762F">
              <w:rPr>
                <w:rFonts w:eastAsia="Arial" w:cs="Arial"/>
                <w:b/>
                <w:bCs/>
                <w:sz w:val="24"/>
                <w:szCs w:val="24"/>
                <w:lang w:val="en-US"/>
              </w:rPr>
              <w:t>Less: 300bps (Ref 1)</w:t>
            </w:r>
          </w:p>
        </w:tc>
        <w:tc>
          <w:tcPr>
            <w:tcW w:w="990" w:type="dxa"/>
          </w:tcPr>
          <w:p w14:paraId="58973FB4" w14:textId="77777777" w:rsidR="0014258A" w:rsidRPr="000D762F" w:rsidRDefault="0014258A" w:rsidP="0014258A">
            <w:pPr>
              <w:autoSpaceDE w:val="0"/>
              <w:autoSpaceDN w:val="0"/>
              <w:adjustRightInd w:val="0"/>
              <w:spacing w:after="0"/>
              <w:jc w:val="right"/>
              <w:rPr>
                <w:rFonts w:eastAsia="Arial" w:cs="Arial"/>
                <w:sz w:val="24"/>
                <w:szCs w:val="24"/>
                <w:lang w:val="en-US"/>
              </w:rPr>
            </w:pPr>
            <w:r w:rsidRPr="000D762F">
              <w:rPr>
                <w:rFonts w:eastAsia="Arial" w:cs="Arial"/>
                <w:sz w:val="24"/>
                <w:szCs w:val="24"/>
                <w:lang w:val="en-US"/>
              </w:rPr>
              <w:t>3.00%</w:t>
            </w:r>
          </w:p>
        </w:tc>
        <w:tc>
          <w:tcPr>
            <w:tcW w:w="1440" w:type="dxa"/>
          </w:tcPr>
          <w:p w14:paraId="3D73B841" w14:textId="77777777" w:rsidR="0014258A" w:rsidRPr="000D762F" w:rsidRDefault="0014258A" w:rsidP="0014258A">
            <w:pPr>
              <w:autoSpaceDE w:val="0"/>
              <w:autoSpaceDN w:val="0"/>
              <w:adjustRightInd w:val="0"/>
              <w:spacing w:after="0"/>
              <w:jc w:val="center"/>
              <w:rPr>
                <w:rFonts w:eastAsia="Arial" w:cs="Arial"/>
                <w:sz w:val="24"/>
                <w:szCs w:val="24"/>
                <w:lang w:val="en-US"/>
              </w:rPr>
            </w:pPr>
            <w:r w:rsidRPr="000D762F">
              <w:rPr>
                <w:rFonts w:eastAsia="Arial" w:cs="Arial"/>
                <w:sz w:val="24"/>
                <w:szCs w:val="24"/>
                <w:lang w:val="en-US"/>
              </w:rPr>
              <w:t>3.00%</w:t>
            </w:r>
          </w:p>
        </w:tc>
        <w:tc>
          <w:tcPr>
            <w:tcW w:w="5400" w:type="dxa"/>
          </w:tcPr>
          <w:p w14:paraId="1B70639E" w14:textId="77777777" w:rsidR="0014258A" w:rsidRPr="000D762F" w:rsidRDefault="0014258A" w:rsidP="0014258A">
            <w:pPr>
              <w:autoSpaceDE w:val="0"/>
              <w:autoSpaceDN w:val="0"/>
              <w:adjustRightInd w:val="0"/>
              <w:spacing w:after="0"/>
              <w:jc w:val="right"/>
              <w:rPr>
                <w:rFonts w:eastAsia="Arial" w:cs="Arial"/>
                <w:sz w:val="24"/>
                <w:szCs w:val="24"/>
                <w:lang w:val="en-US"/>
              </w:rPr>
            </w:pPr>
          </w:p>
        </w:tc>
      </w:tr>
      <w:tr w:rsidR="0014258A" w:rsidRPr="000D762F" w14:paraId="14D4720B" w14:textId="77777777">
        <w:tc>
          <w:tcPr>
            <w:tcW w:w="2245" w:type="dxa"/>
          </w:tcPr>
          <w:p w14:paraId="3F7B583A" w14:textId="77777777" w:rsidR="0014258A" w:rsidRPr="000D762F" w:rsidRDefault="0014258A" w:rsidP="0014258A">
            <w:pPr>
              <w:autoSpaceDE w:val="0"/>
              <w:autoSpaceDN w:val="0"/>
              <w:adjustRightInd w:val="0"/>
              <w:spacing w:after="0"/>
              <w:rPr>
                <w:rFonts w:eastAsia="Arial" w:cs="Arial"/>
                <w:b/>
                <w:bCs/>
                <w:sz w:val="24"/>
                <w:szCs w:val="24"/>
                <w:lang w:val="en-US"/>
              </w:rPr>
            </w:pPr>
            <w:r w:rsidRPr="000D762F">
              <w:rPr>
                <w:rFonts w:eastAsia="Arial" w:cs="Arial"/>
                <w:b/>
                <w:bCs/>
                <w:sz w:val="24"/>
                <w:szCs w:val="24"/>
                <w:lang w:val="en-US"/>
              </w:rPr>
              <w:t>Allowed ROE % (Ref 1)</w:t>
            </w:r>
          </w:p>
        </w:tc>
        <w:tc>
          <w:tcPr>
            <w:tcW w:w="990" w:type="dxa"/>
          </w:tcPr>
          <w:p w14:paraId="79F488D3" w14:textId="77777777" w:rsidR="0014258A" w:rsidRPr="000D762F" w:rsidRDefault="0014258A" w:rsidP="0014258A">
            <w:pPr>
              <w:autoSpaceDE w:val="0"/>
              <w:autoSpaceDN w:val="0"/>
              <w:adjustRightInd w:val="0"/>
              <w:spacing w:after="0"/>
              <w:jc w:val="right"/>
              <w:rPr>
                <w:rFonts w:eastAsia="Arial" w:cs="Arial"/>
                <w:sz w:val="24"/>
                <w:szCs w:val="24"/>
                <w:lang w:val="en-US"/>
              </w:rPr>
            </w:pPr>
            <w:r w:rsidRPr="000D762F">
              <w:rPr>
                <w:rFonts w:eastAsia="Arial" w:cs="Arial"/>
                <w:sz w:val="24"/>
                <w:szCs w:val="24"/>
                <w:lang w:val="en-US"/>
              </w:rPr>
              <w:t>6.36%</w:t>
            </w:r>
          </w:p>
        </w:tc>
        <w:tc>
          <w:tcPr>
            <w:tcW w:w="1440" w:type="dxa"/>
          </w:tcPr>
          <w:p w14:paraId="35320C1A" w14:textId="77777777" w:rsidR="0014258A" w:rsidRPr="000D762F" w:rsidRDefault="0014258A" w:rsidP="0014258A">
            <w:pPr>
              <w:autoSpaceDE w:val="0"/>
              <w:autoSpaceDN w:val="0"/>
              <w:adjustRightInd w:val="0"/>
              <w:spacing w:after="0"/>
              <w:jc w:val="center"/>
              <w:rPr>
                <w:rFonts w:eastAsia="Arial" w:cs="Arial"/>
                <w:sz w:val="24"/>
                <w:szCs w:val="24"/>
                <w:lang w:val="en-US"/>
              </w:rPr>
            </w:pPr>
            <w:r w:rsidRPr="000D762F">
              <w:rPr>
                <w:rFonts w:eastAsia="Arial" w:cs="Arial"/>
                <w:sz w:val="24"/>
                <w:szCs w:val="24"/>
                <w:lang w:val="en-US"/>
              </w:rPr>
              <w:t>5.68%</w:t>
            </w:r>
          </w:p>
        </w:tc>
        <w:tc>
          <w:tcPr>
            <w:tcW w:w="5400" w:type="dxa"/>
          </w:tcPr>
          <w:p w14:paraId="5C070840" w14:textId="77777777" w:rsidR="0014258A" w:rsidRPr="000D762F" w:rsidRDefault="0014258A" w:rsidP="0014258A">
            <w:pPr>
              <w:autoSpaceDE w:val="0"/>
              <w:autoSpaceDN w:val="0"/>
              <w:adjustRightInd w:val="0"/>
              <w:spacing w:after="0"/>
              <w:rPr>
                <w:rFonts w:eastAsia="Arial" w:cs="Arial"/>
                <w:sz w:val="24"/>
                <w:szCs w:val="24"/>
                <w:lang w:val="en-US"/>
              </w:rPr>
            </w:pPr>
            <w:r w:rsidRPr="000D762F">
              <w:rPr>
                <w:rFonts w:eastAsia="Arial" w:cs="Arial"/>
                <w:sz w:val="24"/>
                <w:szCs w:val="24"/>
                <w:lang w:val="en-US"/>
              </w:rPr>
              <w:t xml:space="preserve">8.68% - 3.00% = </w:t>
            </w:r>
            <w:r w:rsidRPr="000D762F">
              <w:rPr>
                <w:rFonts w:eastAsia="Arial" w:cs="Arial"/>
                <w:b/>
                <w:bCs/>
                <w:sz w:val="24"/>
                <w:szCs w:val="24"/>
                <w:u w:val="single"/>
                <w:lang w:val="en-US"/>
              </w:rPr>
              <w:t>5.68%</w:t>
            </w:r>
          </w:p>
        </w:tc>
      </w:tr>
      <w:tr w:rsidR="0014258A" w:rsidRPr="000D762F" w14:paraId="29065B25" w14:textId="77777777">
        <w:tc>
          <w:tcPr>
            <w:tcW w:w="2245" w:type="dxa"/>
          </w:tcPr>
          <w:p w14:paraId="3527CDF6" w14:textId="77777777" w:rsidR="0014258A" w:rsidRPr="000D762F" w:rsidRDefault="0014258A" w:rsidP="0014258A">
            <w:pPr>
              <w:autoSpaceDE w:val="0"/>
              <w:autoSpaceDN w:val="0"/>
              <w:adjustRightInd w:val="0"/>
              <w:spacing w:after="0"/>
              <w:rPr>
                <w:rFonts w:eastAsia="Arial" w:cs="Arial"/>
                <w:b/>
                <w:bCs/>
                <w:sz w:val="24"/>
                <w:szCs w:val="24"/>
                <w:lang w:val="en-US"/>
              </w:rPr>
            </w:pPr>
            <w:r w:rsidRPr="000D762F">
              <w:rPr>
                <w:rFonts w:eastAsia="Arial" w:cs="Arial"/>
                <w:b/>
                <w:bCs/>
                <w:sz w:val="24"/>
                <w:szCs w:val="24"/>
                <w:lang w:val="en-US"/>
              </w:rPr>
              <w:t>Achieved ROE % (Ref 1)</w:t>
            </w:r>
          </w:p>
        </w:tc>
        <w:tc>
          <w:tcPr>
            <w:tcW w:w="990" w:type="dxa"/>
          </w:tcPr>
          <w:p w14:paraId="53153886" w14:textId="77777777" w:rsidR="0014258A" w:rsidRPr="000D762F" w:rsidRDefault="0014258A" w:rsidP="0014258A">
            <w:pPr>
              <w:autoSpaceDE w:val="0"/>
              <w:autoSpaceDN w:val="0"/>
              <w:adjustRightInd w:val="0"/>
              <w:spacing w:after="0"/>
              <w:jc w:val="right"/>
              <w:rPr>
                <w:rFonts w:eastAsia="Arial" w:cs="Arial"/>
                <w:sz w:val="24"/>
                <w:szCs w:val="24"/>
                <w:lang w:val="en-US"/>
              </w:rPr>
            </w:pPr>
            <w:r w:rsidRPr="000D762F">
              <w:rPr>
                <w:rFonts w:eastAsia="Arial" w:cs="Arial"/>
                <w:sz w:val="24"/>
                <w:szCs w:val="24"/>
                <w:lang w:val="en-US"/>
              </w:rPr>
              <w:t>1.49%</w:t>
            </w:r>
          </w:p>
        </w:tc>
        <w:tc>
          <w:tcPr>
            <w:tcW w:w="1440" w:type="dxa"/>
          </w:tcPr>
          <w:p w14:paraId="70264491" w14:textId="77777777" w:rsidR="0014258A" w:rsidRPr="000D762F" w:rsidRDefault="0014258A" w:rsidP="0014258A">
            <w:pPr>
              <w:autoSpaceDE w:val="0"/>
              <w:autoSpaceDN w:val="0"/>
              <w:adjustRightInd w:val="0"/>
              <w:spacing w:after="0"/>
              <w:jc w:val="center"/>
              <w:rPr>
                <w:rFonts w:eastAsia="Arial" w:cs="Arial"/>
                <w:sz w:val="24"/>
                <w:szCs w:val="24"/>
                <w:lang w:val="en-US"/>
              </w:rPr>
            </w:pPr>
            <w:r w:rsidRPr="000D762F">
              <w:rPr>
                <w:rFonts w:eastAsia="Arial" w:cs="Arial"/>
                <w:sz w:val="24"/>
                <w:szCs w:val="24"/>
                <w:lang w:val="en-US"/>
              </w:rPr>
              <w:t>6.44%</w:t>
            </w:r>
          </w:p>
        </w:tc>
        <w:tc>
          <w:tcPr>
            <w:tcW w:w="5400" w:type="dxa"/>
          </w:tcPr>
          <w:p w14:paraId="0721715B" w14:textId="77777777" w:rsidR="0014258A" w:rsidRPr="000D762F" w:rsidRDefault="0014258A" w:rsidP="0014258A">
            <w:pPr>
              <w:autoSpaceDE w:val="0"/>
              <w:autoSpaceDN w:val="0"/>
              <w:adjustRightInd w:val="0"/>
              <w:spacing w:after="0"/>
              <w:rPr>
                <w:rFonts w:eastAsia="Arial" w:cs="Arial"/>
                <w:sz w:val="24"/>
                <w:szCs w:val="24"/>
                <w:lang w:val="en-US"/>
              </w:rPr>
            </w:pPr>
            <w:r w:rsidRPr="000D762F">
              <w:rPr>
                <w:rFonts w:eastAsia="Arial" w:cs="Arial"/>
                <w:sz w:val="24"/>
                <w:szCs w:val="24"/>
                <w:lang w:val="en-US"/>
              </w:rPr>
              <w:t>4.57%(</w:t>
            </w:r>
            <w:proofErr w:type="spellStart"/>
            <w:r w:rsidRPr="000D762F">
              <w:rPr>
                <w:rFonts w:eastAsia="Arial" w:cs="Arial"/>
                <w:sz w:val="24"/>
                <w:szCs w:val="24"/>
                <w:lang w:val="en-US"/>
              </w:rPr>
              <w:t>Jan~Apr</w:t>
            </w:r>
            <w:proofErr w:type="spellEnd"/>
            <w:r w:rsidRPr="000D762F">
              <w:rPr>
                <w:rFonts w:eastAsia="Arial" w:cs="Arial"/>
                <w:sz w:val="24"/>
                <w:szCs w:val="24"/>
                <w:lang w:val="en-US"/>
              </w:rPr>
              <w:t>)/12*4 + 7.38%(</w:t>
            </w:r>
            <w:proofErr w:type="spellStart"/>
            <w:r w:rsidRPr="000D762F">
              <w:rPr>
                <w:rFonts w:eastAsia="Arial" w:cs="Arial"/>
                <w:sz w:val="24"/>
                <w:szCs w:val="24"/>
                <w:lang w:val="en-US"/>
              </w:rPr>
              <w:t>May~Dec</w:t>
            </w:r>
            <w:proofErr w:type="spellEnd"/>
            <w:r w:rsidRPr="000D762F">
              <w:rPr>
                <w:rFonts w:eastAsia="Arial" w:cs="Arial"/>
                <w:sz w:val="24"/>
                <w:szCs w:val="24"/>
                <w:lang w:val="en-US"/>
              </w:rPr>
              <w:t>)/12*8 =</w:t>
            </w:r>
            <w:r w:rsidRPr="000D762F">
              <w:rPr>
                <w:rFonts w:eastAsia="Arial" w:cs="Arial"/>
                <w:b/>
                <w:bCs/>
                <w:sz w:val="24"/>
                <w:szCs w:val="24"/>
                <w:u w:val="single"/>
                <w:lang w:val="en-US"/>
              </w:rPr>
              <w:t>6.44%</w:t>
            </w:r>
          </w:p>
        </w:tc>
      </w:tr>
      <w:tr w:rsidR="0014258A" w:rsidRPr="000D762F" w14:paraId="3B08BB14" w14:textId="77777777">
        <w:tc>
          <w:tcPr>
            <w:tcW w:w="2245" w:type="dxa"/>
          </w:tcPr>
          <w:p w14:paraId="73E35EEC" w14:textId="77777777" w:rsidR="0014258A" w:rsidRPr="000D762F" w:rsidRDefault="0014258A" w:rsidP="0014258A">
            <w:pPr>
              <w:autoSpaceDE w:val="0"/>
              <w:autoSpaceDN w:val="0"/>
              <w:adjustRightInd w:val="0"/>
              <w:spacing w:after="0"/>
              <w:rPr>
                <w:rFonts w:eastAsia="Arial" w:cs="Arial"/>
                <w:b/>
                <w:bCs/>
                <w:sz w:val="24"/>
                <w:szCs w:val="24"/>
                <w:lang w:val="en-US"/>
              </w:rPr>
            </w:pPr>
            <w:r w:rsidRPr="000D762F">
              <w:rPr>
                <w:rFonts w:eastAsia="Arial" w:cs="Arial"/>
                <w:b/>
                <w:bCs/>
                <w:sz w:val="24"/>
                <w:szCs w:val="24"/>
                <w:lang w:val="en-US"/>
              </w:rPr>
              <w:t>Means Tests</w:t>
            </w:r>
          </w:p>
        </w:tc>
        <w:tc>
          <w:tcPr>
            <w:tcW w:w="990" w:type="dxa"/>
          </w:tcPr>
          <w:p w14:paraId="74BD84AF" w14:textId="77777777" w:rsidR="0014258A" w:rsidRPr="000D762F" w:rsidRDefault="0014258A" w:rsidP="0014258A">
            <w:pPr>
              <w:autoSpaceDE w:val="0"/>
              <w:autoSpaceDN w:val="0"/>
              <w:adjustRightInd w:val="0"/>
              <w:spacing w:after="0"/>
              <w:jc w:val="center"/>
              <w:rPr>
                <w:rFonts w:eastAsia="Arial" w:cs="Arial"/>
                <w:b/>
                <w:bCs/>
                <w:sz w:val="24"/>
                <w:szCs w:val="24"/>
                <w:lang w:val="en-US"/>
              </w:rPr>
            </w:pPr>
            <w:r w:rsidRPr="000D762F">
              <w:rPr>
                <w:rFonts w:eastAsia="Arial" w:cs="Arial"/>
                <w:b/>
                <w:bCs/>
                <w:sz w:val="24"/>
                <w:szCs w:val="24"/>
                <w:lang w:val="en-US"/>
              </w:rPr>
              <w:t>Pass</w:t>
            </w:r>
          </w:p>
        </w:tc>
        <w:tc>
          <w:tcPr>
            <w:tcW w:w="1440" w:type="dxa"/>
          </w:tcPr>
          <w:p w14:paraId="25981EA5" w14:textId="77777777" w:rsidR="0014258A" w:rsidRPr="000D762F" w:rsidRDefault="0014258A" w:rsidP="0014258A">
            <w:pPr>
              <w:autoSpaceDE w:val="0"/>
              <w:autoSpaceDN w:val="0"/>
              <w:adjustRightInd w:val="0"/>
              <w:spacing w:after="0"/>
              <w:jc w:val="center"/>
              <w:rPr>
                <w:rFonts w:eastAsia="Arial" w:cs="Arial"/>
                <w:b/>
                <w:bCs/>
                <w:color w:val="FF0000"/>
                <w:sz w:val="24"/>
                <w:szCs w:val="24"/>
                <w:lang w:val="en-US"/>
              </w:rPr>
            </w:pPr>
            <w:r w:rsidRPr="000D762F">
              <w:rPr>
                <w:rFonts w:eastAsia="Arial" w:cs="Arial"/>
                <w:b/>
                <w:bCs/>
                <w:color w:val="FF0000"/>
                <w:sz w:val="24"/>
                <w:szCs w:val="24"/>
                <w:lang w:val="en-US"/>
              </w:rPr>
              <w:t>Fail</w:t>
            </w:r>
          </w:p>
        </w:tc>
        <w:tc>
          <w:tcPr>
            <w:tcW w:w="5400" w:type="dxa"/>
          </w:tcPr>
          <w:p w14:paraId="57DC572A" w14:textId="77777777" w:rsidR="0014258A" w:rsidRPr="000D762F" w:rsidRDefault="0014258A" w:rsidP="0014258A">
            <w:pPr>
              <w:tabs>
                <w:tab w:val="left" w:pos="767"/>
              </w:tabs>
              <w:autoSpaceDE w:val="0"/>
              <w:autoSpaceDN w:val="0"/>
              <w:adjustRightInd w:val="0"/>
              <w:spacing w:after="0"/>
              <w:rPr>
                <w:rFonts w:eastAsia="Arial" w:cs="Arial"/>
                <w:color w:val="FF0000"/>
                <w:sz w:val="24"/>
                <w:szCs w:val="24"/>
                <w:lang w:val="en-US"/>
              </w:rPr>
            </w:pPr>
            <w:r w:rsidRPr="000D762F">
              <w:rPr>
                <w:rFonts w:eastAsia="Arial" w:cs="Arial"/>
                <w:color w:val="FF0000"/>
                <w:sz w:val="24"/>
                <w:szCs w:val="24"/>
                <w:lang w:val="en-US"/>
              </w:rPr>
              <w:tab/>
            </w:r>
          </w:p>
        </w:tc>
      </w:tr>
    </w:tbl>
    <w:p w14:paraId="58FDB96B"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p>
    <w:p w14:paraId="18BF1ED5" w14:textId="3949EE03" w:rsidR="0014258A" w:rsidRPr="000D762F" w:rsidRDefault="0014258A" w:rsidP="0014258A">
      <w:p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OEB Staff notes that the Means Tests for entire 2021 failed on weighted average basis per Table (B) above.</w:t>
      </w:r>
    </w:p>
    <w:p w14:paraId="770E8680"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p>
    <w:p w14:paraId="034AD464" w14:textId="2A304361"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68C2A56A" w14:textId="4903A149" w:rsidR="0014258A" w:rsidRPr="000D762F" w:rsidRDefault="0014258A" w:rsidP="0014258A">
      <w:pPr>
        <w:pStyle w:val="ListParagraph"/>
        <w:numPr>
          <w:ilvl w:val="0"/>
          <w:numId w:val="26"/>
        </w:num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Please confirm OEB staff’s observation in Table (B) or revise the table as applicable.</w:t>
      </w:r>
    </w:p>
    <w:p w14:paraId="0E50D058" w14:textId="03BCA8DE" w:rsidR="0014258A" w:rsidRPr="000D762F" w:rsidRDefault="0014258A" w:rsidP="0014258A">
      <w:pPr>
        <w:pStyle w:val="ListParagraph"/>
        <w:numPr>
          <w:ilvl w:val="0"/>
          <w:numId w:val="26"/>
        </w:num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If confirmed, please update the Account 1509 balance by excluding the 2021 amount.</w:t>
      </w:r>
    </w:p>
    <w:p w14:paraId="4D557B9C"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p>
    <w:p w14:paraId="05A65C7C" w14:textId="77777777" w:rsidR="00DB4A41" w:rsidRDefault="00DB4A41" w:rsidP="0014258A">
      <w:pPr>
        <w:autoSpaceDE w:val="0"/>
        <w:autoSpaceDN w:val="0"/>
        <w:adjustRightInd w:val="0"/>
        <w:spacing w:after="0"/>
        <w:rPr>
          <w:rFonts w:ascii="Arial" w:eastAsia="Arial" w:hAnsi="Arial" w:cs="Arial"/>
          <w:b/>
          <w:bCs/>
          <w:sz w:val="24"/>
          <w:szCs w:val="24"/>
          <w:lang w:val="en-US"/>
        </w:rPr>
      </w:pPr>
    </w:p>
    <w:p w14:paraId="7EA456C3" w14:textId="77777777" w:rsidR="00DB4A41" w:rsidRDefault="00DB4A41" w:rsidP="0014258A">
      <w:pPr>
        <w:autoSpaceDE w:val="0"/>
        <w:autoSpaceDN w:val="0"/>
        <w:adjustRightInd w:val="0"/>
        <w:spacing w:after="0"/>
        <w:rPr>
          <w:rFonts w:ascii="Arial" w:eastAsia="Arial" w:hAnsi="Arial" w:cs="Arial"/>
          <w:b/>
          <w:bCs/>
          <w:sz w:val="24"/>
          <w:szCs w:val="24"/>
          <w:lang w:val="en-US"/>
        </w:rPr>
      </w:pPr>
    </w:p>
    <w:p w14:paraId="2C1B5ED4" w14:textId="77777777" w:rsidR="00DB4A41" w:rsidRDefault="00DB4A41" w:rsidP="0014258A">
      <w:pPr>
        <w:autoSpaceDE w:val="0"/>
        <w:autoSpaceDN w:val="0"/>
        <w:adjustRightInd w:val="0"/>
        <w:spacing w:after="0"/>
        <w:rPr>
          <w:rFonts w:ascii="Arial" w:eastAsia="Arial" w:hAnsi="Arial" w:cs="Arial"/>
          <w:b/>
          <w:bCs/>
          <w:sz w:val="24"/>
          <w:szCs w:val="24"/>
          <w:lang w:val="en-US"/>
        </w:rPr>
      </w:pPr>
    </w:p>
    <w:p w14:paraId="0F94DB70" w14:textId="77777777" w:rsidR="00DB4A41" w:rsidRDefault="00DB4A41" w:rsidP="0014258A">
      <w:pPr>
        <w:autoSpaceDE w:val="0"/>
        <w:autoSpaceDN w:val="0"/>
        <w:adjustRightInd w:val="0"/>
        <w:spacing w:after="0"/>
        <w:rPr>
          <w:rFonts w:ascii="Arial" w:eastAsia="Arial" w:hAnsi="Arial" w:cs="Arial"/>
          <w:b/>
          <w:bCs/>
          <w:sz w:val="24"/>
          <w:szCs w:val="24"/>
          <w:lang w:val="en-US"/>
        </w:rPr>
      </w:pPr>
    </w:p>
    <w:p w14:paraId="5B1AD35D" w14:textId="77777777" w:rsidR="00DB4A41" w:rsidRDefault="00DB4A41" w:rsidP="0014258A">
      <w:pPr>
        <w:autoSpaceDE w:val="0"/>
        <w:autoSpaceDN w:val="0"/>
        <w:adjustRightInd w:val="0"/>
        <w:spacing w:after="0"/>
        <w:rPr>
          <w:rFonts w:ascii="Arial" w:eastAsia="Arial" w:hAnsi="Arial" w:cs="Arial"/>
          <w:b/>
          <w:bCs/>
          <w:sz w:val="24"/>
          <w:szCs w:val="24"/>
          <w:lang w:val="en-US"/>
        </w:rPr>
      </w:pPr>
    </w:p>
    <w:p w14:paraId="3460AFB3" w14:textId="77777777" w:rsidR="00DB4A41" w:rsidRDefault="00DB4A41" w:rsidP="0014258A">
      <w:pPr>
        <w:autoSpaceDE w:val="0"/>
        <w:autoSpaceDN w:val="0"/>
        <w:adjustRightInd w:val="0"/>
        <w:spacing w:after="0"/>
        <w:rPr>
          <w:rFonts w:ascii="Arial" w:eastAsia="Arial" w:hAnsi="Arial" w:cs="Arial"/>
          <w:b/>
          <w:bCs/>
          <w:sz w:val="24"/>
          <w:szCs w:val="24"/>
          <w:lang w:val="en-US"/>
        </w:rPr>
      </w:pPr>
    </w:p>
    <w:p w14:paraId="6A8A43DE" w14:textId="77777777" w:rsidR="00DB4A41" w:rsidRDefault="00DB4A41" w:rsidP="0014258A">
      <w:pPr>
        <w:autoSpaceDE w:val="0"/>
        <w:autoSpaceDN w:val="0"/>
        <w:adjustRightInd w:val="0"/>
        <w:spacing w:after="0"/>
        <w:rPr>
          <w:rFonts w:ascii="Arial" w:eastAsia="Arial" w:hAnsi="Arial" w:cs="Arial"/>
          <w:b/>
          <w:bCs/>
          <w:sz w:val="24"/>
          <w:szCs w:val="24"/>
          <w:lang w:val="en-US"/>
        </w:rPr>
      </w:pPr>
    </w:p>
    <w:p w14:paraId="6373FFFD" w14:textId="3108A81A" w:rsidR="0014258A" w:rsidRPr="000D762F" w:rsidRDefault="0014258A" w:rsidP="0014258A">
      <w:pPr>
        <w:autoSpaceDE w:val="0"/>
        <w:autoSpaceDN w:val="0"/>
        <w:adjustRightInd w:val="0"/>
        <w:spacing w:after="0"/>
        <w:rPr>
          <w:rFonts w:ascii="Arial" w:eastAsia="Arial" w:hAnsi="Arial" w:cs="Arial"/>
          <w:b/>
          <w:bCs/>
          <w:sz w:val="24"/>
          <w:szCs w:val="24"/>
          <w:lang w:val="en-US"/>
        </w:rPr>
      </w:pPr>
      <w:r w:rsidRPr="000D762F">
        <w:rPr>
          <w:rFonts w:ascii="Arial" w:eastAsia="Arial" w:hAnsi="Arial" w:cs="Arial"/>
          <w:b/>
          <w:bCs/>
          <w:sz w:val="24"/>
          <w:szCs w:val="24"/>
          <w:lang w:val="en-US"/>
        </w:rPr>
        <w:t>Staff-</w:t>
      </w:r>
      <w:r w:rsidR="00CF33BA" w:rsidRPr="000D762F">
        <w:rPr>
          <w:rFonts w:ascii="Arial" w:eastAsia="Arial" w:hAnsi="Arial" w:cs="Arial"/>
          <w:b/>
          <w:bCs/>
          <w:sz w:val="24"/>
          <w:szCs w:val="24"/>
          <w:lang w:val="en-US"/>
        </w:rPr>
        <w:t>120</w:t>
      </w:r>
    </w:p>
    <w:p w14:paraId="74307176"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r w:rsidRPr="000D762F">
        <w:rPr>
          <w:rFonts w:ascii="Arial" w:eastAsia="Arial" w:hAnsi="Arial" w:cs="Arial"/>
          <w:b/>
          <w:bCs/>
          <w:sz w:val="24"/>
          <w:szCs w:val="24"/>
          <w:lang w:val="en-US"/>
        </w:rPr>
        <w:t>Capital Additions Dundas Street Road Widening Project - Revenue Requirement</w:t>
      </w:r>
    </w:p>
    <w:p w14:paraId="017DB2EF"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r w:rsidRPr="000D762F">
        <w:rPr>
          <w:rFonts w:ascii="Arial" w:eastAsia="Arial" w:hAnsi="Arial" w:cs="Arial"/>
          <w:b/>
          <w:bCs/>
          <w:sz w:val="24"/>
          <w:szCs w:val="24"/>
          <w:lang w:val="en-US"/>
        </w:rPr>
        <w:t>Differential Variance Account (CVA1)</w:t>
      </w:r>
    </w:p>
    <w:p w14:paraId="4E462010" w14:textId="77777777" w:rsidR="0014258A" w:rsidRPr="000D762F" w:rsidRDefault="0014258A" w:rsidP="0014258A">
      <w:pPr>
        <w:autoSpaceDE w:val="0"/>
        <w:autoSpaceDN w:val="0"/>
        <w:adjustRightInd w:val="0"/>
        <w:spacing w:after="0"/>
        <w:rPr>
          <w:rStyle w:val="normaltextrun"/>
          <w:rFonts w:ascii="Arial" w:hAnsi="Arial" w:cs="Arial"/>
          <w:b/>
          <w:bCs/>
          <w:sz w:val="24"/>
          <w:szCs w:val="24"/>
        </w:rPr>
      </w:pPr>
      <w:r w:rsidRPr="000D762F">
        <w:rPr>
          <w:rFonts w:ascii="Arial" w:eastAsia="Arial" w:hAnsi="Arial" w:cs="Arial"/>
          <w:b/>
          <w:bCs/>
          <w:sz w:val="24"/>
          <w:szCs w:val="24"/>
          <w:lang w:val="en-US"/>
        </w:rPr>
        <w:t xml:space="preserve">Ref 1: </w:t>
      </w:r>
      <w:r w:rsidRPr="000D762F">
        <w:rPr>
          <w:rStyle w:val="normaltextrun"/>
          <w:rFonts w:ascii="Arial" w:hAnsi="Arial" w:cs="Arial"/>
          <w:b/>
          <w:bCs/>
          <w:sz w:val="24"/>
          <w:szCs w:val="24"/>
        </w:rPr>
        <w:t>BHI_IRR_Staff_07242025, 9-Staff-94, Figure 1</w:t>
      </w:r>
    </w:p>
    <w:p w14:paraId="7348EA37"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r w:rsidRPr="000D762F">
        <w:rPr>
          <w:rStyle w:val="normaltextrun"/>
          <w:rFonts w:ascii="Arial" w:hAnsi="Arial" w:cs="Arial"/>
          <w:b/>
          <w:bCs/>
          <w:sz w:val="24"/>
          <w:szCs w:val="24"/>
        </w:rPr>
        <w:t xml:space="preserve">Ref 2: </w:t>
      </w:r>
      <w:r w:rsidRPr="000D762F">
        <w:rPr>
          <w:rFonts w:ascii="Arial" w:hAnsi="Arial" w:cs="Arial"/>
          <w:b/>
          <w:bCs/>
          <w:sz w:val="24"/>
          <w:szCs w:val="24"/>
          <w:lang w:val="en-US"/>
        </w:rPr>
        <w:t>Exhibit 9, section 9.1.11, Table 27</w:t>
      </w:r>
    </w:p>
    <w:p w14:paraId="4F4E3491" w14:textId="77777777" w:rsidR="0014258A" w:rsidRPr="000D762F" w:rsidRDefault="0014258A" w:rsidP="0014258A">
      <w:pPr>
        <w:autoSpaceDE w:val="0"/>
        <w:autoSpaceDN w:val="0"/>
        <w:adjustRightInd w:val="0"/>
        <w:spacing w:after="0"/>
        <w:rPr>
          <w:rFonts w:ascii="Arial" w:eastAsia="Arial" w:hAnsi="Arial" w:cs="Arial"/>
          <w:b/>
          <w:bCs/>
          <w:sz w:val="24"/>
          <w:szCs w:val="24"/>
          <w:lang w:val="en-US"/>
        </w:rPr>
      </w:pPr>
    </w:p>
    <w:p w14:paraId="064390CC" w14:textId="77777777" w:rsidR="0014258A" w:rsidRPr="000D762F" w:rsidRDefault="0014258A" w:rsidP="0014258A">
      <w:pPr>
        <w:spacing w:after="0"/>
        <w:rPr>
          <w:rFonts w:ascii="Arial" w:hAnsi="Arial" w:cs="Arial"/>
          <w:sz w:val="24"/>
          <w:szCs w:val="24"/>
        </w:rPr>
      </w:pPr>
      <w:r w:rsidRPr="000D762F">
        <w:rPr>
          <w:rFonts w:ascii="Arial" w:hAnsi="Arial" w:cs="Arial"/>
          <w:sz w:val="24"/>
          <w:szCs w:val="24"/>
        </w:rPr>
        <w:t xml:space="preserve">Preamble: </w:t>
      </w:r>
    </w:p>
    <w:p w14:paraId="691687B9"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Per Ref 1, Burlington Hydro states that the increase of 510K was reduced by a decrease in 2020 resulting in a total expenditure increase was 225K over 2020-2021. It also states that $3,035,948 represents the amount tracked through CVA1.</w:t>
      </w:r>
    </w:p>
    <w:p w14:paraId="2061A517"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p>
    <w:p w14:paraId="5D0737E0" w14:textId="77777777" w:rsidR="0014258A" w:rsidRPr="000D762F" w:rsidRDefault="0014258A" w:rsidP="0014258A">
      <w:pPr>
        <w:spacing w:after="0"/>
        <w:rPr>
          <w:rFonts w:ascii="Arial" w:hAnsi="Arial" w:cs="Arial"/>
          <w:b/>
          <w:bCs/>
          <w:sz w:val="24"/>
          <w:szCs w:val="24"/>
        </w:rPr>
      </w:pPr>
      <w:r w:rsidRPr="000D762F">
        <w:rPr>
          <w:rFonts w:ascii="Arial" w:hAnsi="Arial" w:cs="Arial"/>
          <w:b/>
          <w:bCs/>
          <w:sz w:val="24"/>
          <w:szCs w:val="24"/>
        </w:rPr>
        <w:t>Question(s):</w:t>
      </w:r>
    </w:p>
    <w:p w14:paraId="78F76204" w14:textId="77777777" w:rsidR="0014258A" w:rsidRPr="000D762F" w:rsidRDefault="0014258A" w:rsidP="0014258A">
      <w:pPr>
        <w:pStyle w:val="ListParagraph"/>
        <w:numPr>
          <w:ilvl w:val="0"/>
          <w:numId w:val="6"/>
        </w:num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Please confirm the $225k decrease mentioned above has been applied to the actual project cost.</w:t>
      </w:r>
    </w:p>
    <w:p w14:paraId="457824E5" w14:textId="77777777" w:rsidR="0014258A" w:rsidRPr="000D762F" w:rsidRDefault="0014258A" w:rsidP="0014258A">
      <w:pPr>
        <w:pStyle w:val="ListParagraph"/>
        <w:numPr>
          <w:ilvl w:val="0"/>
          <w:numId w:val="7"/>
        </w:num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If confirmed, please update the Actual Additions in Ref 2 to reflect the decrease of $225k</w:t>
      </w:r>
    </w:p>
    <w:p w14:paraId="2D2C3F55" w14:textId="77777777" w:rsidR="0014258A" w:rsidRPr="000D762F" w:rsidRDefault="0014258A" w:rsidP="0014258A">
      <w:pPr>
        <w:pStyle w:val="ListParagraph"/>
        <w:numPr>
          <w:ilvl w:val="0"/>
          <w:numId w:val="7"/>
        </w:numPr>
        <w:autoSpaceDE w:val="0"/>
        <w:autoSpaceDN w:val="0"/>
        <w:adjustRightInd w:val="0"/>
        <w:spacing w:after="0"/>
        <w:rPr>
          <w:rFonts w:ascii="Arial" w:eastAsia="Arial" w:hAnsi="Arial" w:cs="Arial"/>
          <w:sz w:val="24"/>
          <w:szCs w:val="24"/>
          <w:lang w:val="en-US"/>
        </w:rPr>
      </w:pPr>
      <w:r w:rsidRPr="000D762F">
        <w:rPr>
          <w:rFonts w:ascii="Arial" w:eastAsia="Arial" w:hAnsi="Arial" w:cs="Arial"/>
          <w:sz w:val="24"/>
          <w:szCs w:val="24"/>
          <w:lang w:val="en-US"/>
        </w:rPr>
        <w:t>If not confirmed, please explain why not</w:t>
      </w:r>
    </w:p>
    <w:p w14:paraId="15866710"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p>
    <w:p w14:paraId="602C99B7" w14:textId="77777777" w:rsidR="0014258A" w:rsidRPr="000D762F" w:rsidRDefault="0014258A" w:rsidP="0014258A">
      <w:pPr>
        <w:autoSpaceDE w:val="0"/>
        <w:autoSpaceDN w:val="0"/>
        <w:adjustRightInd w:val="0"/>
        <w:spacing w:after="0"/>
        <w:rPr>
          <w:rFonts w:ascii="Arial" w:eastAsia="Arial" w:hAnsi="Arial" w:cs="Arial"/>
          <w:sz w:val="24"/>
          <w:szCs w:val="24"/>
          <w:lang w:val="en-US"/>
        </w:rPr>
      </w:pPr>
    </w:p>
    <w:p w14:paraId="2A11F792" w14:textId="77777777" w:rsidR="0014258A" w:rsidRPr="000D762F" w:rsidRDefault="0014258A" w:rsidP="0014258A">
      <w:pPr>
        <w:rPr>
          <w:sz w:val="24"/>
          <w:szCs w:val="24"/>
        </w:rPr>
      </w:pPr>
    </w:p>
    <w:p w14:paraId="1D9ED480" w14:textId="77777777" w:rsidR="00872DCC" w:rsidRPr="000D762F" w:rsidRDefault="00872DCC" w:rsidP="0014258A">
      <w:pPr>
        <w:jc w:val="both"/>
        <w:rPr>
          <w:sz w:val="24"/>
          <w:szCs w:val="24"/>
        </w:rPr>
      </w:pPr>
    </w:p>
    <w:sectPr w:rsidR="00872DCC" w:rsidRPr="000D762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0ECD" w14:textId="77777777" w:rsidR="006B5C15" w:rsidRDefault="006B5C15" w:rsidP="00590149">
      <w:pPr>
        <w:spacing w:after="0" w:line="240" w:lineRule="auto"/>
      </w:pPr>
      <w:r>
        <w:separator/>
      </w:r>
    </w:p>
  </w:endnote>
  <w:endnote w:type="continuationSeparator" w:id="0">
    <w:p w14:paraId="5DA85775" w14:textId="77777777" w:rsidR="006B5C15" w:rsidRDefault="006B5C15" w:rsidP="0059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2C4D9" w14:textId="77777777" w:rsidR="006B5C15" w:rsidRDefault="006B5C15" w:rsidP="00590149">
      <w:pPr>
        <w:spacing w:after="0" w:line="240" w:lineRule="auto"/>
      </w:pPr>
      <w:r>
        <w:separator/>
      </w:r>
    </w:p>
  </w:footnote>
  <w:footnote w:type="continuationSeparator" w:id="0">
    <w:p w14:paraId="70E2D2D6" w14:textId="77777777" w:rsidR="006B5C15" w:rsidRDefault="006B5C15" w:rsidP="00590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263C" w14:textId="3556F665" w:rsidR="00590149" w:rsidRDefault="00590149">
    <w:pPr>
      <w:pStyle w:val="Header"/>
    </w:pPr>
    <w:r>
      <w:rPr>
        <w:noProof/>
        <w:lang w:val="en-US"/>
      </w:rPr>
      <w:drawing>
        <wp:inline distT="0" distB="0" distL="0" distR="0" wp14:anchorId="6437416D" wp14:editId="2ED50B90">
          <wp:extent cx="2465882" cy="682860"/>
          <wp:effectExtent l="0" t="0" r="0" b="3175"/>
          <wp:docPr id="5"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50509" cy="733988"/>
                  </a:xfrm>
                  <a:prstGeom prst="rect">
                    <a:avLst/>
                  </a:prstGeom>
                </pic:spPr>
              </pic:pic>
            </a:graphicData>
          </a:graphic>
        </wp:inline>
      </w:drawing>
    </w:r>
  </w:p>
  <w:p w14:paraId="1B3F4883" w14:textId="544FB734" w:rsidR="00CA1318" w:rsidRDefault="00CC1683" w:rsidP="006F50AC">
    <w:pPr>
      <w:pStyle w:val="Header"/>
      <w:jc w:val="right"/>
    </w:pPr>
    <w:r>
      <w:t>EB-2025-0051</w:t>
    </w:r>
  </w:p>
  <w:p w14:paraId="4B1855EA" w14:textId="24B6A057" w:rsidR="006F50AC" w:rsidRDefault="006F50AC" w:rsidP="006F50AC">
    <w:pPr>
      <w:pStyle w:val="Header"/>
      <w:jc w:val="right"/>
    </w:pPr>
    <w:r>
      <w:t>August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B30"/>
    <w:multiLevelType w:val="hybridMultilevel"/>
    <w:tmpl w:val="A3520A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088"/>
    <w:multiLevelType w:val="hybridMultilevel"/>
    <w:tmpl w:val="FCF28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571"/>
    <w:multiLevelType w:val="hybridMultilevel"/>
    <w:tmpl w:val="D96ED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A1BF4"/>
    <w:multiLevelType w:val="hybridMultilevel"/>
    <w:tmpl w:val="28328094"/>
    <w:lvl w:ilvl="0" w:tplc="3D7E79EC">
      <w:start w:val="1"/>
      <w:numFmt w:val="lowerLetter"/>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67B14"/>
    <w:multiLevelType w:val="hybridMultilevel"/>
    <w:tmpl w:val="D9F06D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213120"/>
    <w:multiLevelType w:val="hybridMultilevel"/>
    <w:tmpl w:val="98649D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092EFB"/>
    <w:multiLevelType w:val="hybridMultilevel"/>
    <w:tmpl w:val="7BA61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96F86"/>
    <w:multiLevelType w:val="hybridMultilevel"/>
    <w:tmpl w:val="6D70E8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D6A44"/>
    <w:multiLevelType w:val="hybridMultilevel"/>
    <w:tmpl w:val="AB5086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223DA1"/>
    <w:multiLevelType w:val="hybridMultilevel"/>
    <w:tmpl w:val="E8F6C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C3B8D"/>
    <w:multiLevelType w:val="hybridMultilevel"/>
    <w:tmpl w:val="948645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B12846"/>
    <w:multiLevelType w:val="hybridMultilevel"/>
    <w:tmpl w:val="D90097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6B74CA"/>
    <w:multiLevelType w:val="hybridMultilevel"/>
    <w:tmpl w:val="C70814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0533FD"/>
    <w:multiLevelType w:val="hybridMultilevel"/>
    <w:tmpl w:val="B8181F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7C348B"/>
    <w:multiLevelType w:val="hybridMultilevel"/>
    <w:tmpl w:val="314235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E762F"/>
    <w:multiLevelType w:val="hybridMultilevel"/>
    <w:tmpl w:val="A49EE1E6"/>
    <w:lvl w:ilvl="0" w:tplc="E0F00702">
      <w:start w:val="1"/>
      <w:numFmt w:val="lowerLetter"/>
      <w:lvlText w:val="%1)"/>
      <w:lvlJc w:val="left"/>
      <w:pPr>
        <w:ind w:left="720" w:hanging="360"/>
      </w:pPr>
      <w:rPr>
        <w:rFonts w:ascii="Arial" w:eastAsiaTheme="minorHAnsi" w:hAnsi="Arial" w:cs="Arial"/>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33EA7"/>
    <w:multiLevelType w:val="hybridMultilevel"/>
    <w:tmpl w:val="3FA87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3592A"/>
    <w:multiLevelType w:val="hybridMultilevel"/>
    <w:tmpl w:val="C5500B82"/>
    <w:lvl w:ilvl="0" w:tplc="F9200B3E">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845CD2"/>
    <w:multiLevelType w:val="hybridMultilevel"/>
    <w:tmpl w:val="84F2DE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7E1991"/>
    <w:multiLevelType w:val="hybridMultilevel"/>
    <w:tmpl w:val="E3D020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181CEF"/>
    <w:multiLevelType w:val="hybridMultilevel"/>
    <w:tmpl w:val="B89E17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D10B61"/>
    <w:multiLevelType w:val="hybridMultilevel"/>
    <w:tmpl w:val="5B089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C2113F"/>
    <w:multiLevelType w:val="hybridMultilevel"/>
    <w:tmpl w:val="C62AB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16019"/>
    <w:multiLevelType w:val="hybridMultilevel"/>
    <w:tmpl w:val="A4C48F6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177E62"/>
    <w:multiLevelType w:val="hybridMultilevel"/>
    <w:tmpl w:val="9C588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D1182"/>
    <w:multiLevelType w:val="hybridMultilevel"/>
    <w:tmpl w:val="A4C48F6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4958A2"/>
    <w:multiLevelType w:val="hybridMultilevel"/>
    <w:tmpl w:val="E3D02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47689"/>
    <w:multiLevelType w:val="hybridMultilevel"/>
    <w:tmpl w:val="AC222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647683">
    <w:abstractNumId w:val="4"/>
  </w:num>
  <w:num w:numId="2" w16cid:durableId="1123499349">
    <w:abstractNumId w:val="0"/>
  </w:num>
  <w:num w:numId="3" w16cid:durableId="1455707884">
    <w:abstractNumId w:val="25"/>
  </w:num>
  <w:num w:numId="4" w16cid:durableId="1002899231">
    <w:abstractNumId w:val="24"/>
  </w:num>
  <w:num w:numId="5" w16cid:durableId="2034958606">
    <w:abstractNumId w:val="23"/>
  </w:num>
  <w:num w:numId="6" w16cid:durableId="696395255">
    <w:abstractNumId w:val="7"/>
  </w:num>
  <w:num w:numId="7" w16cid:durableId="1733429946">
    <w:abstractNumId w:val="10"/>
  </w:num>
  <w:num w:numId="8" w16cid:durableId="1024132843">
    <w:abstractNumId w:val="1"/>
  </w:num>
  <w:num w:numId="9" w16cid:durableId="634912997">
    <w:abstractNumId w:val="20"/>
  </w:num>
  <w:num w:numId="10" w16cid:durableId="695468197">
    <w:abstractNumId w:val="12"/>
  </w:num>
  <w:num w:numId="11" w16cid:durableId="2116097060">
    <w:abstractNumId w:val="14"/>
  </w:num>
  <w:num w:numId="12" w16cid:durableId="1641424088">
    <w:abstractNumId w:val="17"/>
  </w:num>
  <w:num w:numId="13" w16cid:durableId="928856082">
    <w:abstractNumId w:val="21"/>
  </w:num>
  <w:num w:numId="14" w16cid:durableId="1152989006">
    <w:abstractNumId w:val="26"/>
  </w:num>
  <w:num w:numId="15" w16cid:durableId="1419014449">
    <w:abstractNumId w:val="5"/>
  </w:num>
  <w:num w:numId="16" w16cid:durableId="187987208">
    <w:abstractNumId w:val="19"/>
  </w:num>
  <w:num w:numId="17" w16cid:durableId="862860744">
    <w:abstractNumId w:val="11"/>
  </w:num>
  <w:num w:numId="18" w16cid:durableId="52895269">
    <w:abstractNumId w:val="16"/>
  </w:num>
  <w:num w:numId="19" w16cid:durableId="856425592">
    <w:abstractNumId w:val="15"/>
  </w:num>
  <w:num w:numId="20" w16cid:durableId="1147892697">
    <w:abstractNumId w:val="3"/>
  </w:num>
  <w:num w:numId="21" w16cid:durableId="506672599">
    <w:abstractNumId w:val="18"/>
  </w:num>
  <w:num w:numId="22" w16cid:durableId="695425168">
    <w:abstractNumId w:val="13"/>
  </w:num>
  <w:num w:numId="23" w16cid:durableId="1034185937">
    <w:abstractNumId w:val="8"/>
  </w:num>
  <w:num w:numId="24" w16cid:durableId="482085105">
    <w:abstractNumId w:val="6"/>
  </w:num>
  <w:num w:numId="25" w16cid:durableId="548154773">
    <w:abstractNumId w:val="27"/>
  </w:num>
  <w:num w:numId="26" w16cid:durableId="1490635199">
    <w:abstractNumId w:val="22"/>
  </w:num>
  <w:num w:numId="27" w16cid:durableId="978149077">
    <w:abstractNumId w:val="2"/>
  </w:num>
  <w:num w:numId="28" w16cid:durableId="1456413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49"/>
    <w:rsid w:val="000B4011"/>
    <w:rsid w:val="000D762F"/>
    <w:rsid w:val="0011363D"/>
    <w:rsid w:val="0014258A"/>
    <w:rsid w:val="001611BD"/>
    <w:rsid w:val="001A2481"/>
    <w:rsid w:val="001C0A8C"/>
    <w:rsid w:val="002D53EA"/>
    <w:rsid w:val="0039047A"/>
    <w:rsid w:val="003A1532"/>
    <w:rsid w:val="003E3F58"/>
    <w:rsid w:val="003F68C8"/>
    <w:rsid w:val="0041467C"/>
    <w:rsid w:val="004401A7"/>
    <w:rsid w:val="004625DD"/>
    <w:rsid w:val="004A451C"/>
    <w:rsid w:val="004A57F7"/>
    <w:rsid w:val="004B36E1"/>
    <w:rsid w:val="004C0263"/>
    <w:rsid w:val="004C1D5A"/>
    <w:rsid w:val="005654B1"/>
    <w:rsid w:val="00570154"/>
    <w:rsid w:val="00574B14"/>
    <w:rsid w:val="00590149"/>
    <w:rsid w:val="00655D3A"/>
    <w:rsid w:val="006B5C15"/>
    <w:rsid w:val="006F50AC"/>
    <w:rsid w:val="00724AE4"/>
    <w:rsid w:val="00742CEB"/>
    <w:rsid w:val="00782165"/>
    <w:rsid w:val="00784A6A"/>
    <w:rsid w:val="008667FC"/>
    <w:rsid w:val="00872DCC"/>
    <w:rsid w:val="00882301"/>
    <w:rsid w:val="008A7F67"/>
    <w:rsid w:val="008E3742"/>
    <w:rsid w:val="00986C6D"/>
    <w:rsid w:val="009A3D4F"/>
    <w:rsid w:val="00A07109"/>
    <w:rsid w:val="00A27775"/>
    <w:rsid w:val="00A74F59"/>
    <w:rsid w:val="00A85DBC"/>
    <w:rsid w:val="00B34741"/>
    <w:rsid w:val="00B3557C"/>
    <w:rsid w:val="00B42FD2"/>
    <w:rsid w:val="00B50B1F"/>
    <w:rsid w:val="00B66ADA"/>
    <w:rsid w:val="00BA1713"/>
    <w:rsid w:val="00BD1C20"/>
    <w:rsid w:val="00BE2B63"/>
    <w:rsid w:val="00CA1318"/>
    <w:rsid w:val="00CB4752"/>
    <w:rsid w:val="00CC1683"/>
    <w:rsid w:val="00CD4FDC"/>
    <w:rsid w:val="00CF0CE1"/>
    <w:rsid w:val="00CF33BA"/>
    <w:rsid w:val="00D10FD4"/>
    <w:rsid w:val="00D848FC"/>
    <w:rsid w:val="00D97927"/>
    <w:rsid w:val="00DA4F39"/>
    <w:rsid w:val="00DB4A41"/>
    <w:rsid w:val="00DF4154"/>
    <w:rsid w:val="00E53524"/>
    <w:rsid w:val="00E77ABC"/>
    <w:rsid w:val="00F13F40"/>
    <w:rsid w:val="00F411EC"/>
    <w:rsid w:val="00F45236"/>
    <w:rsid w:val="00F83EC8"/>
    <w:rsid w:val="00FA73ED"/>
    <w:rsid w:val="00FB1204"/>
    <w:rsid w:val="00FE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9F96"/>
  <w15:chartTrackingRefBased/>
  <w15:docId w15:val="{BEC4D2F6-B412-42B4-902E-85B3D90B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8A"/>
    <w:pPr>
      <w:spacing w:after="200" w:line="276" w:lineRule="auto"/>
    </w:pPr>
    <w:rPr>
      <w:kern w:val="0"/>
      <w:sz w:val="22"/>
      <w:szCs w:val="22"/>
      <w:lang w:val="en-CA"/>
    </w:rPr>
  </w:style>
  <w:style w:type="paragraph" w:styleId="Heading1">
    <w:name w:val="heading 1"/>
    <w:basedOn w:val="Normal"/>
    <w:next w:val="Normal"/>
    <w:link w:val="Heading1Char"/>
    <w:uiPriority w:val="9"/>
    <w:qFormat/>
    <w:rsid w:val="005901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01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01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01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01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0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01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01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01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01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0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149"/>
    <w:rPr>
      <w:rFonts w:eastAsiaTheme="majorEastAsia" w:cstheme="majorBidi"/>
      <w:color w:val="272727" w:themeColor="text1" w:themeTint="D8"/>
    </w:rPr>
  </w:style>
  <w:style w:type="paragraph" w:styleId="Title">
    <w:name w:val="Title"/>
    <w:basedOn w:val="Normal"/>
    <w:next w:val="Normal"/>
    <w:link w:val="TitleChar"/>
    <w:uiPriority w:val="10"/>
    <w:qFormat/>
    <w:rsid w:val="00590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149"/>
    <w:pPr>
      <w:spacing w:before="160"/>
      <w:jc w:val="center"/>
    </w:pPr>
    <w:rPr>
      <w:i/>
      <w:iCs/>
      <w:color w:val="404040" w:themeColor="text1" w:themeTint="BF"/>
    </w:rPr>
  </w:style>
  <w:style w:type="character" w:customStyle="1" w:styleId="QuoteChar">
    <w:name w:val="Quote Char"/>
    <w:basedOn w:val="DefaultParagraphFont"/>
    <w:link w:val="Quote"/>
    <w:uiPriority w:val="29"/>
    <w:rsid w:val="00590149"/>
    <w:rPr>
      <w:i/>
      <w:iCs/>
      <w:color w:val="404040" w:themeColor="text1" w:themeTint="BF"/>
    </w:rPr>
  </w:style>
  <w:style w:type="paragraph" w:styleId="ListParagraph">
    <w:name w:val="List Paragraph"/>
    <w:basedOn w:val="Normal"/>
    <w:uiPriority w:val="34"/>
    <w:qFormat/>
    <w:rsid w:val="00590149"/>
    <w:pPr>
      <w:ind w:left="720"/>
      <w:contextualSpacing/>
    </w:pPr>
  </w:style>
  <w:style w:type="character" w:styleId="IntenseEmphasis">
    <w:name w:val="Intense Emphasis"/>
    <w:basedOn w:val="DefaultParagraphFont"/>
    <w:uiPriority w:val="21"/>
    <w:qFormat/>
    <w:rsid w:val="00590149"/>
    <w:rPr>
      <w:i/>
      <w:iCs/>
      <w:color w:val="2F5496" w:themeColor="accent1" w:themeShade="BF"/>
    </w:rPr>
  </w:style>
  <w:style w:type="paragraph" w:styleId="IntenseQuote">
    <w:name w:val="Intense Quote"/>
    <w:basedOn w:val="Normal"/>
    <w:next w:val="Normal"/>
    <w:link w:val="IntenseQuoteChar"/>
    <w:uiPriority w:val="30"/>
    <w:qFormat/>
    <w:rsid w:val="0059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149"/>
    <w:rPr>
      <w:i/>
      <w:iCs/>
      <w:color w:val="2F5496" w:themeColor="accent1" w:themeShade="BF"/>
    </w:rPr>
  </w:style>
  <w:style w:type="character" w:styleId="IntenseReference">
    <w:name w:val="Intense Reference"/>
    <w:basedOn w:val="DefaultParagraphFont"/>
    <w:uiPriority w:val="32"/>
    <w:qFormat/>
    <w:rsid w:val="00590149"/>
    <w:rPr>
      <w:b/>
      <w:bCs/>
      <w:smallCaps/>
      <w:color w:val="2F5496" w:themeColor="accent1" w:themeShade="BF"/>
      <w:spacing w:val="5"/>
    </w:rPr>
  </w:style>
  <w:style w:type="paragraph" w:styleId="Header">
    <w:name w:val="header"/>
    <w:basedOn w:val="Normal"/>
    <w:link w:val="HeaderChar"/>
    <w:uiPriority w:val="99"/>
    <w:unhideWhenUsed/>
    <w:rsid w:val="00590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149"/>
  </w:style>
  <w:style w:type="paragraph" w:styleId="Footer">
    <w:name w:val="footer"/>
    <w:basedOn w:val="Normal"/>
    <w:link w:val="FooterChar"/>
    <w:uiPriority w:val="99"/>
    <w:unhideWhenUsed/>
    <w:rsid w:val="00590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149"/>
  </w:style>
  <w:style w:type="table" w:styleId="TableGrid">
    <w:name w:val="Table Grid"/>
    <w:basedOn w:val="TableNormal"/>
    <w:uiPriority w:val="39"/>
    <w:rsid w:val="0014258A"/>
    <w:pPr>
      <w:spacing w:after="0" w:line="240" w:lineRule="auto"/>
    </w:pPr>
    <w:rPr>
      <w:rFonts w:ascii="Arial" w:eastAsia="Calibri" w:hAnsi="Arial" w:cs="Times New Roman"/>
      <w:kern w:val="0"/>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4258A"/>
  </w:style>
  <w:style w:type="paragraph" w:customStyle="1" w:styleId="Default">
    <w:name w:val="Default"/>
    <w:rsid w:val="0014258A"/>
    <w:pPr>
      <w:autoSpaceDE w:val="0"/>
      <w:autoSpaceDN w:val="0"/>
      <w:adjustRightInd w:val="0"/>
      <w:spacing w:after="0" w:line="240" w:lineRule="auto"/>
    </w:pPr>
    <w:rPr>
      <w:rFonts w:ascii="Arial" w:hAnsi="Arial" w:cs="Arial"/>
      <w:color w:val="000000"/>
      <w:kern w:val="0"/>
    </w:rPr>
  </w:style>
  <w:style w:type="character" w:styleId="CommentReference">
    <w:name w:val="annotation reference"/>
    <w:basedOn w:val="DefaultParagraphFont"/>
    <w:uiPriority w:val="99"/>
    <w:semiHidden/>
    <w:unhideWhenUsed/>
    <w:rsid w:val="0014258A"/>
    <w:rPr>
      <w:sz w:val="16"/>
      <w:szCs w:val="16"/>
    </w:rPr>
  </w:style>
  <w:style w:type="paragraph" w:styleId="CommentText">
    <w:name w:val="annotation text"/>
    <w:basedOn w:val="Normal"/>
    <w:link w:val="CommentTextChar"/>
    <w:uiPriority w:val="99"/>
    <w:unhideWhenUsed/>
    <w:rsid w:val="0014258A"/>
    <w:pPr>
      <w:spacing w:line="240" w:lineRule="auto"/>
    </w:pPr>
    <w:rPr>
      <w:sz w:val="20"/>
      <w:szCs w:val="20"/>
    </w:rPr>
  </w:style>
  <w:style w:type="character" w:customStyle="1" w:styleId="CommentTextChar">
    <w:name w:val="Comment Text Char"/>
    <w:basedOn w:val="DefaultParagraphFont"/>
    <w:link w:val="CommentText"/>
    <w:uiPriority w:val="99"/>
    <w:rsid w:val="0014258A"/>
    <w:rPr>
      <w:kern w:val="0"/>
      <w:sz w:val="20"/>
      <w:szCs w:val="20"/>
      <w:lang w:val="en-CA"/>
    </w:rPr>
  </w:style>
  <w:style w:type="paragraph" w:styleId="Revision">
    <w:name w:val="Revision"/>
    <w:hidden/>
    <w:uiPriority w:val="99"/>
    <w:semiHidden/>
    <w:rsid w:val="0014258A"/>
    <w:pPr>
      <w:spacing w:after="0" w:line="240" w:lineRule="auto"/>
    </w:pPr>
    <w:rPr>
      <w:kern w:val="0"/>
      <w:sz w:val="22"/>
      <w:szCs w:val="22"/>
      <w:lang w:val="en-CA"/>
    </w:rPr>
  </w:style>
  <w:style w:type="paragraph" w:styleId="CommentSubject">
    <w:name w:val="annotation subject"/>
    <w:basedOn w:val="CommentText"/>
    <w:next w:val="CommentText"/>
    <w:link w:val="CommentSubjectChar"/>
    <w:uiPriority w:val="99"/>
    <w:semiHidden/>
    <w:unhideWhenUsed/>
    <w:rsid w:val="00E53524"/>
    <w:rPr>
      <w:b/>
      <w:bCs/>
    </w:rPr>
  </w:style>
  <w:style w:type="character" w:customStyle="1" w:styleId="CommentSubjectChar">
    <w:name w:val="Comment Subject Char"/>
    <w:basedOn w:val="CommentTextChar"/>
    <w:link w:val="CommentSubject"/>
    <w:uiPriority w:val="99"/>
    <w:semiHidden/>
    <w:rsid w:val="00E53524"/>
    <w:rPr>
      <w:b/>
      <w:bCs/>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C74566A107E49B2CCCE5C5481A213" ma:contentTypeVersion="16" ma:contentTypeDescription="Create a new document." ma:contentTypeScope="" ma:versionID="438c0f2f0dd586cfffb889849620e195">
  <xsd:schema xmlns:xsd="http://www.w3.org/2001/XMLSchema" xmlns:xs="http://www.w3.org/2001/XMLSchema" xmlns:p="http://schemas.microsoft.com/office/2006/metadata/properties" xmlns:ns2="83abfa7a-daeb-4e82-8a7e-c5824009c764" xmlns:ns3="18c4c99b-0bc1-4dd5-829e-ad5714449cd6" targetNamespace="http://schemas.microsoft.com/office/2006/metadata/properties" ma:root="true" ma:fieldsID="de8dcbbc0849f0c98b43a509b911371a" ns2:_="" ns3:_="">
    <xsd:import namespace="83abfa7a-daeb-4e82-8a7e-c5824009c764"/>
    <xsd:import namespace="18c4c99b-0bc1-4dd5-829e-ad571444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fa7a-daeb-4e82-8a7e-c5824009c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4c99b-0bc1-4dd5-829e-ad571444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438e2d-c537-4dfd-9cc0-e70d5b18b1dc}" ma:internalName="TaxCatchAll" ma:showField="CatchAllData" ma:web="18c4c99b-0bc1-4dd5-829e-ad5714449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c4c99b-0bc1-4dd5-829e-ad5714449cd6" xsi:nil="true"/>
    <lcf76f155ced4ddcb4097134ff3c332f xmlns="83abfa7a-daeb-4e82-8a7e-c5824009c7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FB6326-C4E0-4471-A0CA-EDEBBC960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fa7a-daeb-4e82-8a7e-c5824009c764"/>
    <ds:schemaRef ds:uri="18c4c99b-0bc1-4dd5-829e-ad571444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C263A-61E8-4C31-9E30-BC4AC46CCFC8}">
  <ds:schemaRefs>
    <ds:schemaRef ds:uri="http://schemas.microsoft.com/sharepoint/v3/contenttype/forms"/>
  </ds:schemaRefs>
</ds:datastoreItem>
</file>

<file path=customXml/itemProps3.xml><?xml version="1.0" encoding="utf-8"?>
<ds:datastoreItem xmlns:ds="http://schemas.openxmlformats.org/officeDocument/2006/customXml" ds:itemID="{919EDD44-D6B5-4E00-A1E4-706DCCE1B827}">
  <ds:schemaRefs>
    <ds:schemaRef ds:uri="http://schemas.microsoft.com/office/2006/metadata/properties"/>
    <ds:schemaRef ds:uri="http://schemas.microsoft.com/office/infopath/2007/PartnerControls"/>
    <ds:schemaRef ds:uri="18c4c99b-0bc1-4dd5-829e-ad5714449cd6"/>
    <ds:schemaRef ds:uri="83abfa7a-daeb-4e82-8a7e-c5824009c764"/>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2213</Words>
  <Characters>12616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Vithooshan Ganesanathan</dc:creator>
  <cp:keywords/>
  <dc:description/>
  <cp:lastModifiedBy>Vithooshan Ganesanathan</cp:lastModifiedBy>
  <cp:revision>45</cp:revision>
  <dcterms:created xsi:type="dcterms:W3CDTF">2025-08-01T13:21:00Z</dcterms:created>
  <dcterms:modified xsi:type="dcterms:W3CDTF">2025-08-01T18:29:00Z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0x010100EDEC74566A107E49B2CCCE5C5481A213</vt:lpwstr>
  </property>
  <property fmtid="{D5CDD505-2E9C-101B-9397-08002B2CF9AE}" pid="3" name="MediaServiceImageTags">
    <vt:lpwstr/>
  </property>
</Properties>
</file>