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8E0D6" w14:textId="6211238B" w:rsidR="00A07077" w:rsidRPr="00D57E8C" w:rsidRDefault="0018043E" w:rsidP="00A07077">
      <w:pPr>
        <w:pStyle w:val="Default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Niagara Peninsula Energy </w:t>
      </w:r>
      <w:r w:rsidR="00D92E4C">
        <w:rPr>
          <w:rFonts w:ascii="Arial" w:hAnsi="Arial" w:cs="Arial"/>
          <w:b/>
          <w:bCs/>
          <w:sz w:val="28"/>
          <w:szCs w:val="28"/>
        </w:rPr>
        <w:t>Inc</w:t>
      </w:r>
      <w:r w:rsidR="00654E37">
        <w:rPr>
          <w:rFonts w:ascii="Arial" w:hAnsi="Arial" w:cs="Arial"/>
          <w:b/>
          <w:bCs/>
          <w:sz w:val="28"/>
          <w:szCs w:val="28"/>
        </w:rPr>
        <w:t>.</w:t>
      </w:r>
    </w:p>
    <w:p w14:paraId="33D6510D" w14:textId="3D2FBAFA" w:rsidR="00A07077" w:rsidRDefault="00623602" w:rsidP="00AB251C">
      <w:pPr>
        <w:pStyle w:val="Default"/>
        <w:spacing w:after="360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EB-</w:t>
      </w:r>
      <w:r w:rsidR="00CB2B2D">
        <w:rPr>
          <w:rFonts w:ascii="Arial" w:hAnsi="Arial" w:cs="Arial"/>
          <w:b/>
          <w:bCs/>
          <w:sz w:val="28"/>
          <w:szCs w:val="28"/>
        </w:rPr>
        <w:t>2025</w:t>
      </w:r>
      <w:r w:rsidR="00B069AA" w:rsidRPr="00D57E8C">
        <w:rPr>
          <w:rFonts w:ascii="Arial" w:hAnsi="Arial" w:cs="Arial"/>
          <w:b/>
          <w:bCs/>
          <w:sz w:val="28"/>
          <w:szCs w:val="28"/>
        </w:rPr>
        <w:t>-</w:t>
      </w:r>
      <w:r w:rsidR="00CB2B2D">
        <w:rPr>
          <w:rFonts w:ascii="Arial" w:hAnsi="Arial" w:cs="Arial"/>
          <w:b/>
          <w:bCs/>
          <w:sz w:val="28"/>
          <w:szCs w:val="28"/>
        </w:rPr>
        <w:t>002</w:t>
      </w:r>
      <w:r w:rsidR="0018043E">
        <w:rPr>
          <w:rFonts w:ascii="Arial" w:hAnsi="Arial" w:cs="Arial"/>
          <w:b/>
          <w:bCs/>
          <w:sz w:val="28"/>
          <w:szCs w:val="28"/>
        </w:rPr>
        <w:t>0</w:t>
      </w:r>
    </w:p>
    <w:p w14:paraId="5999C199" w14:textId="4FA823C5" w:rsidR="00D77124" w:rsidRDefault="0018043E" w:rsidP="00AB251C">
      <w:pPr>
        <w:pStyle w:val="Default"/>
        <w:spacing w:after="360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September 29</w:t>
      </w:r>
      <w:r w:rsidR="00210C13">
        <w:rPr>
          <w:rFonts w:ascii="Arial" w:hAnsi="Arial" w:cs="Arial"/>
          <w:b/>
          <w:bCs/>
          <w:sz w:val="28"/>
          <w:szCs w:val="28"/>
        </w:rPr>
        <w:t xml:space="preserve">, </w:t>
      </w:r>
      <w:r w:rsidR="00D92E4C">
        <w:rPr>
          <w:rFonts w:ascii="Arial" w:hAnsi="Arial" w:cs="Arial"/>
          <w:b/>
          <w:bCs/>
          <w:sz w:val="28"/>
          <w:szCs w:val="28"/>
        </w:rPr>
        <w:t>202</w:t>
      </w:r>
      <w:r w:rsidR="00CB2B2D">
        <w:rPr>
          <w:rFonts w:ascii="Arial" w:hAnsi="Arial" w:cs="Arial"/>
          <w:b/>
          <w:bCs/>
          <w:sz w:val="28"/>
          <w:szCs w:val="28"/>
        </w:rPr>
        <w:t>5</w:t>
      </w:r>
    </w:p>
    <w:p w14:paraId="2A0CB1B0" w14:textId="312E609E" w:rsidR="00E86F26" w:rsidRPr="00E86F26" w:rsidRDefault="00E86F26" w:rsidP="00AB251C">
      <w:pPr>
        <w:autoSpaceDE w:val="0"/>
        <w:autoSpaceDN w:val="0"/>
        <w:adjustRightInd w:val="0"/>
        <w:spacing w:after="240" w:line="240" w:lineRule="auto"/>
        <w:rPr>
          <w:rFonts w:ascii="Arial" w:eastAsia="Calibri" w:hAnsi="Arial" w:cs="Arial"/>
          <w:sz w:val="24"/>
          <w:szCs w:val="24"/>
        </w:rPr>
      </w:pPr>
      <w:bookmarkStart w:id="0" w:name="_Hlk55806661"/>
      <w:r w:rsidRPr="00E86F26">
        <w:rPr>
          <w:rFonts w:ascii="Arial" w:eastAsia="Calibri" w:hAnsi="Arial" w:cs="Arial"/>
          <w:sz w:val="24"/>
          <w:szCs w:val="24"/>
        </w:rPr>
        <w:t xml:space="preserve">Please note, </w:t>
      </w:r>
      <w:r w:rsidR="0018043E">
        <w:rPr>
          <w:rFonts w:ascii="Arial" w:eastAsia="Calibri" w:hAnsi="Arial" w:cs="Arial"/>
          <w:sz w:val="24"/>
          <w:szCs w:val="24"/>
        </w:rPr>
        <w:t>Niagara Peninsula Energy</w:t>
      </w:r>
      <w:r w:rsidR="00D92E4C">
        <w:rPr>
          <w:rFonts w:ascii="Arial" w:eastAsia="Calibri" w:hAnsi="Arial" w:cs="Arial"/>
          <w:sz w:val="24"/>
          <w:szCs w:val="24"/>
        </w:rPr>
        <w:t xml:space="preserve"> Inc</w:t>
      </w:r>
      <w:r w:rsidR="00E1188D">
        <w:rPr>
          <w:rFonts w:ascii="Arial" w:eastAsia="Calibri" w:hAnsi="Arial" w:cs="Arial"/>
          <w:sz w:val="24"/>
          <w:szCs w:val="24"/>
        </w:rPr>
        <w:t>.</w:t>
      </w:r>
      <w:r w:rsidR="00D77124">
        <w:rPr>
          <w:rFonts w:ascii="Arial" w:eastAsia="Calibri" w:hAnsi="Arial" w:cs="Arial"/>
          <w:sz w:val="24"/>
          <w:szCs w:val="24"/>
        </w:rPr>
        <w:t xml:space="preserve"> </w:t>
      </w:r>
      <w:r w:rsidR="00E1188D">
        <w:rPr>
          <w:rFonts w:ascii="Arial" w:eastAsia="Calibri" w:hAnsi="Arial" w:cs="Arial"/>
          <w:sz w:val="24"/>
          <w:szCs w:val="24"/>
        </w:rPr>
        <w:t>(</w:t>
      </w:r>
      <w:r w:rsidR="0018043E">
        <w:rPr>
          <w:rFonts w:ascii="Arial" w:eastAsia="Calibri" w:hAnsi="Arial" w:cs="Arial"/>
          <w:sz w:val="24"/>
          <w:szCs w:val="24"/>
        </w:rPr>
        <w:t>Niagara Peninsula</w:t>
      </w:r>
      <w:r w:rsidR="00D77124">
        <w:rPr>
          <w:rFonts w:ascii="Arial" w:eastAsia="Calibri" w:hAnsi="Arial" w:cs="Arial"/>
          <w:sz w:val="24"/>
          <w:szCs w:val="24"/>
        </w:rPr>
        <w:t>)</w:t>
      </w:r>
      <w:r w:rsidRPr="00E86F26">
        <w:rPr>
          <w:rFonts w:ascii="Arial" w:eastAsia="Calibri" w:hAnsi="Arial" w:cs="Arial"/>
          <w:sz w:val="24"/>
          <w:szCs w:val="24"/>
        </w:rPr>
        <w:t xml:space="preserve"> is responsible for ensuring that all documents it files with the </w:t>
      </w:r>
      <w:r w:rsidR="00D25EE1">
        <w:rPr>
          <w:rFonts w:ascii="Arial" w:eastAsia="Calibri" w:hAnsi="Arial" w:cs="Arial"/>
          <w:sz w:val="24"/>
          <w:szCs w:val="24"/>
        </w:rPr>
        <w:t>Ontario Energy Board (</w:t>
      </w:r>
      <w:r w:rsidRPr="00E86F26">
        <w:rPr>
          <w:rFonts w:ascii="Arial" w:eastAsia="Calibri" w:hAnsi="Arial" w:cs="Arial"/>
          <w:sz w:val="24"/>
          <w:szCs w:val="24"/>
        </w:rPr>
        <w:t>OEB</w:t>
      </w:r>
      <w:r w:rsidR="00D25EE1">
        <w:rPr>
          <w:rFonts w:ascii="Arial" w:eastAsia="Calibri" w:hAnsi="Arial" w:cs="Arial"/>
          <w:sz w:val="24"/>
          <w:szCs w:val="24"/>
        </w:rPr>
        <w:t>)</w:t>
      </w:r>
      <w:r w:rsidRPr="00E86F26">
        <w:rPr>
          <w:rFonts w:ascii="Arial" w:eastAsia="Calibri" w:hAnsi="Arial" w:cs="Arial"/>
          <w:sz w:val="24"/>
          <w:szCs w:val="24"/>
        </w:rPr>
        <w:t xml:space="preserve">, including responses to OEB staff questions and any other supporting documentation, do not include personal information as that phrase is defined in the </w:t>
      </w:r>
      <w:r w:rsidRPr="00E86F26">
        <w:rPr>
          <w:rFonts w:ascii="Arial" w:eastAsia="Calibri" w:hAnsi="Arial" w:cs="Arial"/>
          <w:i/>
          <w:iCs/>
          <w:sz w:val="24"/>
          <w:szCs w:val="24"/>
        </w:rPr>
        <w:t>Freedom of Information and Protection of Privacy Act</w:t>
      </w:r>
      <w:r w:rsidRPr="00E86F26">
        <w:rPr>
          <w:rFonts w:ascii="Arial" w:eastAsia="Calibri" w:hAnsi="Arial" w:cs="Arial"/>
          <w:sz w:val="24"/>
          <w:szCs w:val="24"/>
        </w:rPr>
        <w:t xml:space="preserve">, unless filed in accordance with rule 9A of the OEB’s </w:t>
      </w:r>
      <w:r w:rsidRPr="00E86F26">
        <w:rPr>
          <w:rFonts w:ascii="Arial" w:eastAsia="Calibri" w:hAnsi="Arial" w:cs="Arial"/>
          <w:i/>
          <w:iCs/>
          <w:sz w:val="24"/>
          <w:szCs w:val="24"/>
        </w:rPr>
        <w:t>Rules of Practice and Procedure</w:t>
      </w:r>
      <w:r w:rsidRPr="00E86F26">
        <w:rPr>
          <w:rFonts w:ascii="Arial" w:eastAsia="Calibri" w:hAnsi="Arial" w:cs="Arial"/>
          <w:sz w:val="24"/>
          <w:szCs w:val="24"/>
        </w:rPr>
        <w:t>.</w:t>
      </w:r>
    </w:p>
    <w:bookmarkEnd w:id="0"/>
    <w:p w14:paraId="7CFAFC4F" w14:textId="186FDD86" w:rsidR="00D57E8C" w:rsidRDefault="00D57E8C" w:rsidP="00AB251C">
      <w:pPr>
        <w:spacing w:after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Staff Question-</w:t>
      </w:r>
      <w:r w:rsidR="00654E37" w:rsidRPr="007332A5">
        <w:rPr>
          <w:rFonts w:ascii="Arial" w:eastAsia="Calibri" w:hAnsi="Arial" w:cs="Arial"/>
          <w:b/>
          <w:sz w:val="24"/>
          <w:szCs w:val="24"/>
        </w:rPr>
        <w:fldChar w:fldCharType="begin"/>
      </w:r>
      <w:r w:rsidR="00654E37" w:rsidRPr="007332A5">
        <w:rPr>
          <w:rFonts w:ascii="Arial" w:eastAsia="Calibri" w:hAnsi="Arial" w:cs="Arial"/>
          <w:b/>
          <w:sz w:val="24"/>
          <w:szCs w:val="24"/>
        </w:rPr>
        <w:instrText xml:space="preserve"> AUTONUMLGL  \* Arabic \e </w:instrText>
      </w:r>
      <w:r w:rsidR="00654E37" w:rsidRPr="007332A5">
        <w:rPr>
          <w:rFonts w:ascii="Arial" w:eastAsia="Calibri" w:hAnsi="Arial" w:cs="Arial"/>
          <w:b/>
          <w:sz w:val="24"/>
          <w:szCs w:val="24"/>
        </w:rPr>
        <w:fldChar w:fldCharType="end"/>
      </w:r>
    </w:p>
    <w:p w14:paraId="07FD7189" w14:textId="1D2B75F6" w:rsidR="00D25EE1" w:rsidRDefault="00D92E4C" w:rsidP="00654E37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2E7E17">
        <w:rPr>
          <w:rFonts w:ascii="Arial" w:hAnsi="Arial" w:cs="Arial"/>
          <w:b/>
          <w:bCs/>
          <w:sz w:val="24"/>
          <w:szCs w:val="24"/>
        </w:rPr>
        <w:t>Ref</w:t>
      </w:r>
      <w:r w:rsidR="00654E37">
        <w:rPr>
          <w:rFonts w:ascii="Arial" w:hAnsi="Arial" w:cs="Arial"/>
          <w:b/>
          <w:bCs/>
          <w:sz w:val="24"/>
          <w:szCs w:val="24"/>
        </w:rPr>
        <w:t>. 1</w:t>
      </w:r>
      <w:r w:rsidRPr="002E7E17">
        <w:rPr>
          <w:rFonts w:ascii="Arial" w:hAnsi="Arial" w:cs="Arial"/>
          <w:b/>
          <w:bCs/>
          <w:sz w:val="24"/>
          <w:szCs w:val="24"/>
        </w:rPr>
        <w:t xml:space="preserve">: </w:t>
      </w:r>
      <w:r w:rsidR="00D25EE1" w:rsidRPr="00D25EE1">
        <w:rPr>
          <w:rFonts w:ascii="Arial" w:hAnsi="Arial" w:cs="Arial"/>
          <w:b/>
          <w:bCs/>
          <w:sz w:val="24"/>
          <w:szCs w:val="24"/>
        </w:rPr>
        <w:t>2026</w:t>
      </w:r>
      <w:r w:rsidR="0018043E">
        <w:rPr>
          <w:rFonts w:ascii="Arial" w:hAnsi="Arial" w:cs="Arial"/>
          <w:b/>
          <w:bCs/>
          <w:sz w:val="24"/>
          <w:szCs w:val="24"/>
        </w:rPr>
        <w:t xml:space="preserve"> </w:t>
      </w:r>
      <w:r w:rsidR="00D25EE1" w:rsidRPr="00D25EE1">
        <w:rPr>
          <w:rFonts w:ascii="Arial" w:hAnsi="Arial" w:cs="Arial"/>
          <w:b/>
          <w:bCs/>
          <w:sz w:val="24"/>
          <w:szCs w:val="24"/>
        </w:rPr>
        <w:t>IRM</w:t>
      </w:r>
      <w:r w:rsidR="0018043E">
        <w:rPr>
          <w:rFonts w:ascii="Arial" w:hAnsi="Arial" w:cs="Arial"/>
          <w:b/>
          <w:bCs/>
          <w:sz w:val="24"/>
          <w:szCs w:val="24"/>
        </w:rPr>
        <w:t xml:space="preserve"> </w:t>
      </w:r>
      <w:r w:rsidR="00D25EE1" w:rsidRPr="00D25EE1">
        <w:rPr>
          <w:rFonts w:ascii="Arial" w:hAnsi="Arial" w:cs="Arial"/>
          <w:b/>
          <w:bCs/>
          <w:sz w:val="24"/>
          <w:szCs w:val="24"/>
        </w:rPr>
        <w:t>Rate</w:t>
      </w:r>
      <w:r w:rsidR="0018043E">
        <w:rPr>
          <w:rFonts w:ascii="Arial" w:hAnsi="Arial" w:cs="Arial"/>
          <w:b/>
          <w:bCs/>
          <w:sz w:val="24"/>
          <w:szCs w:val="24"/>
        </w:rPr>
        <w:t xml:space="preserve"> </w:t>
      </w:r>
      <w:r w:rsidR="00D25EE1" w:rsidRPr="00D25EE1">
        <w:rPr>
          <w:rFonts w:ascii="Arial" w:hAnsi="Arial" w:cs="Arial"/>
          <w:b/>
          <w:bCs/>
          <w:sz w:val="24"/>
          <w:szCs w:val="24"/>
        </w:rPr>
        <w:t>Generator</w:t>
      </w:r>
      <w:r w:rsidR="0018043E">
        <w:rPr>
          <w:rFonts w:ascii="Arial" w:hAnsi="Arial" w:cs="Arial"/>
          <w:b/>
          <w:bCs/>
          <w:sz w:val="24"/>
          <w:szCs w:val="24"/>
        </w:rPr>
        <w:t xml:space="preserve"> </w:t>
      </w:r>
      <w:r w:rsidR="00D25EE1" w:rsidRPr="00D25EE1">
        <w:rPr>
          <w:rFonts w:ascii="Arial" w:hAnsi="Arial" w:cs="Arial"/>
          <w:b/>
          <w:bCs/>
          <w:sz w:val="24"/>
          <w:szCs w:val="24"/>
        </w:rPr>
        <w:t>Model_202508</w:t>
      </w:r>
      <w:r w:rsidR="0018043E">
        <w:rPr>
          <w:rFonts w:ascii="Arial" w:hAnsi="Arial" w:cs="Arial"/>
          <w:b/>
          <w:bCs/>
          <w:sz w:val="24"/>
          <w:szCs w:val="24"/>
        </w:rPr>
        <w:t>08, Tab 1 Information Sheet</w:t>
      </w:r>
    </w:p>
    <w:p w14:paraId="22FF4FC0" w14:textId="293BFF19" w:rsidR="0018043E" w:rsidRDefault="0018043E" w:rsidP="00654E37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Ref. 2: 2026 IRM Application_20250808, pp. 34</w:t>
      </w:r>
    </w:p>
    <w:p w14:paraId="7DDFA8C1" w14:textId="77777777" w:rsidR="00654E37" w:rsidRDefault="00654E37" w:rsidP="00654E37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7F977CC9" w14:textId="77777777" w:rsidR="00654E37" w:rsidRPr="006B0355" w:rsidRDefault="00654E37" w:rsidP="00654E37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6B0355">
        <w:rPr>
          <w:rFonts w:ascii="Arial" w:hAnsi="Arial" w:cs="Arial"/>
          <w:b/>
          <w:bCs/>
          <w:sz w:val="24"/>
          <w:szCs w:val="24"/>
        </w:rPr>
        <w:t>Preamble:</w:t>
      </w:r>
    </w:p>
    <w:p w14:paraId="68A465A8" w14:textId="5353D5B8" w:rsidR="00654E37" w:rsidRPr="00654E37" w:rsidRDefault="00654E37" w:rsidP="00654E37">
      <w:pPr>
        <w:rPr>
          <w:rFonts w:ascii="Arial" w:hAnsi="Arial" w:cs="Arial"/>
          <w:sz w:val="24"/>
          <w:szCs w:val="24"/>
        </w:rPr>
      </w:pPr>
      <w:r w:rsidRPr="00654E37">
        <w:rPr>
          <w:rFonts w:ascii="Arial" w:hAnsi="Arial" w:cs="Arial"/>
          <w:sz w:val="24"/>
          <w:szCs w:val="24"/>
        </w:rPr>
        <w:t xml:space="preserve">In response to Question </w:t>
      </w:r>
      <w:r w:rsidR="0018043E">
        <w:rPr>
          <w:rFonts w:ascii="Arial" w:hAnsi="Arial" w:cs="Arial"/>
          <w:sz w:val="24"/>
          <w:szCs w:val="24"/>
        </w:rPr>
        <w:t>4</w:t>
      </w:r>
      <w:r w:rsidRPr="00654E37">
        <w:rPr>
          <w:rFonts w:ascii="Arial" w:hAnsi="Arial" w:cs="Arial"/>
          <w:sz w:val="24"/>
          <w:szCs w:val="24"/>
        </w:rPr>
        <w:t xml:space="preserve"> of Tab 1 in Ref</w:t>
      </w:r>
      <w:r>
        <w:rPr>
          <w:rFonts w:ascii="Arial" w:hAnsi="Arial" w:cs="Arial"/>
          <w:sz w:val="24"/>
          <w:szCs w:val="24"/>
        </w:rPr>
        <w:t>.</w:t>
      </w:r>
      <w:r w:rsidRPr="00654E37">
        <w:rPr>
          <w:rFonts w:ascii="Arial" w:hAnsi="Arial" w:cs="Arial"/>
          <w:sz w:val="24"/>
          <w:szCs w:val="24"/>
        </w:rPr>
        <w:t xml:space="preserve"> 1</w:t>
      </w:r>
      <w:r w:rsidR="0018043E">
        <w:rPr>
          <w:rFonts w:ascii="Arial" w:hAnsi="Arial" w:cs="Arial"/>
          <w:sz w:val="24"/>
          <w:szCs w:val="24"/>
        </w:rPr>
        <w:t xml:space="preserve"> (Cell F47)</w:t>
      </w:r>
      <w:r w:rsidRPr="00654E37">
        <w:rPr>
          <w:rFonts w:ascii="Arial" w:hAnsi="Arial" w:cs="Arial"/>
          <w:sz w:val="24"/>
          <w:szCs w:val="24"/>
        </w:rPr>
        <w:t xml:space="preserve">, </w:t>
      </w:r>
      <w:r w:rsidR="0018043E">
        <w:rPr>
          <w:rFonts w:ascii="Arial" w:hAnsi="Arial" w:cs="Arial"/>
          <w:sz w:val="24"/>
          <w:szCs w:val="24"/>
        </w:rPr>
        <w:t xml:space="preserve">Niagara Peninsula </w:t>
      </w:r>
      <w:r w:rsidRPr="00654E37">
        <w:rPr>
          <w:rFonts w:ascii="Arial" w:hAnsi="Arial" w:cs="Arial"/>
          <w:sz w:val="24"/>
          <w:szCs w:val="24"/>
        </w:rPr>
        <w:t>selected 2020 as the earlies</w:t>
      </w:r>
      <w:r>
        <w:rPr>
          <w:rFonts w:ascii="Arial" w:hAnsi="Arial" w:cs="Arial"/>
          <w:sz w:val="24"/>
          <w:szCs w:val="24"/>
        </w:rPr>
        <w:t>t</w:t>
      </w:r>
      <w:r w:rsidRPr="00654E37">
        <w:rPr>
          <w:rFonts w:ascii="Arial" w:hAnsi="Arial" w:cs="Arial"/>
          <w:sz w:val="24"/>
          <w:szCs w:val="24"/>
        </w:rPr>
        <w:t xml:space="preserve"> account balance vintage year in which there is a balance in Account 1595. </w:t>
      </w:r>
    </w:p>
    <w:p w14:paraId="05DCD1E0" w14:textId="5B878BED" w:rsidR="00654E37" w:rsidRDefault="00654E37" w:rsidP="00654E37">
      <w:pPr>
        <w:rPr>
          <w:rFonts w:ascii="Arial" w:hAnsi="Arial" w:cs="Arial"/>
          <w:sz w:val="24"/>
          <w:szCs w:val="24"/>
        </w:rPr>
      </w:pPr>
      <w:r w:rsidRPr="00654E37">
        <w:rPr>
          <w:rFonts w:ascii="Arial" w:hAnsi="Arial" w:cs="Arial"/>
          <w:sz w:val="24"/>
          <w:szCs w:val="24"/>
        </w:rPr>
        <w:t>However, in Ref</w:t>
      </w:r>
      <w:r>
        <w:rPr>
          <w:rFonts w:ascii="Arial" w:hAnsi="Arial" w:cs="Arial"/>
          <w:sz w:val="24"/>
          <w:szCs w:val="24"/>
        </w:rPr>
        <w:t>.</w:t>
      </w:r>
      <w:r w:rsidRPr="00654E37">
        <w:rPr>
          <w:rFonts w:ascii="Arial" w:hAnsi="Arial" w:cs="Arial"/>
          <w:sz w:val="24"/>
          <w:szCs w:val="24"/>
        </w:rPr>
        <w:t xml:space="preserve"> 2, </w:t>
      </w:r>
      <w:r w:rsidR="0018043E">
        <w:rPr>
          <w:rFonts w:ascii="Arial" w:hAnsi="Arial" w:cs="Arial"/>
          <w:sz w:val="24"/>
          <w:szCs w:val="24"/>
        </w:rPr>
        <w:t>Niagara Peninsula states:</w:t>
      </w:r>
    </w:p>
    <w:p w14:paraId="4F5940D0" w14:textId="6883BA9E" w:rsidR="0018043E" w:rsidRPr="0018043E" w:rsidRDefault="0018043E" w:rsidP="0018043E">
      <w:pPr>
        <w:ind w:left="720"/>
        <w:rPr>
          <w:rFonts w:ascii="Arial" w:hAnsi="Arial" w:cs="Arial"/>
          <w:i/>
          <w:iCs/>
          <w:sz w:val="24"/>
          <w:szCs w:val="24"/>
        </w:rPr>
      </w:pPr>
      <w:r w:rsidRPr="0018043E">
        <w:rPr>
          <w:rFonts w:ascii="Arial" w:hAnsi="Arial" w:cs="Arial"/>
          <w:i/>
          <w:iCs/>
          <w:sz w:val="24"/>
          <w:szCs w:val="24"/>
          <w:lang w:val="en-US"/>
        </w:rPr>
        <w:t>NPEI confirms that the residual balances in Account 1595 sub-accounts for each vintage year, up to and including 2020, have been disposed once on a final basis.</w:t>
      </w:r>
    </w:p>
    <w:p w14:paraId="25C0FF95" w14:textId="0AF53FD1" w:rsidR="002C1126" w:rsidRPr="00D25EE1" w:rsidRDefault="00164F17" w:rsidP="00164F17">
      <w:pPr>
        <w:rPr>
          <w:rFonts w:ascii="Arial" w:hAnsi="Arial" w:cs="Arial"/>
          <w:b/>
          <w:bCs/>
          <w:sz w:val="24"/>
          <w:szCs w:val="24"/>
        </w:rPr>
      </w:pPr>
      <w:r w:rsidRPr="00D25EE1">
        <w:rPr>
          <w:rFonts w:ascii="Arial" w:hAnsi="Arial" w:cs="Arial"/>
          <w:b/>
          <w:bCs/>
          <w:sz w:val="24"/>
          <w:szCs w:val="24"/>
        </w:rPr>
        <w:t>Question</w:t>
      </w:r>
      <w:r w:rsidR="00D25EE1" w:rsidRPr="00D25EE1">
        <w:rPr>
          <w:rFonts w:ascii="Arial" w:hAnsi="Arial" w:cs="Arial"/>
          <w:b/>
          <w:bCs/>
          <w:sz w:val="24"/>
          <w:szCs w:val="24"/>
        </w:rPr>
        <w:t>(</w:t>
      </w:r>
      <w:r w:rsidR="002C1126" w:rsidRPr="00D25EE1">
        <w:rPr>
          <w:rFonts w:ascii="Arial" w:hAnsi="Arial" w:cs="Arial"/>
          <w:b/>
          <w:bCs/>
          <w:sz w:val="24"/>
          <w:szCs w:val="24"/>
        </w:rPr>
        <w:t>s</w:t>
      </w:r>
      <w:r w:rsidR="00D25EE1" w:rsidRPr="00D25EE1">
        <w:rPr>
          <w:rFonts w:ascii="Arial" w:hAnsi="Arial" w:cs="Arial"/>
          <w:b/>
          <w:bCs/>
          <w:sz w:val="24"/>
          <w:szCs w:val="24"/>
        </w:rPr>
        <w:t>)</w:t>
      </w:r>
      <w:r w:rsidRPr="00D25EE1">
        <w:rPr>
          <w:rFonts w:ascii="Arial" w:hAnsi="Arial" w:cs="Arial"/>
          <w:b/>
          <w:bCs/>
          <w:sz w:val="24"/>
          <w:szCs w:val="24"/>
        </w:rPr>
        <w:t>:</w:t>
      </w:r>
      <w:r w:rsidR="002C1126" w:rsidRPr="00D25EE1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13EDDBE" w14:textId="3802152A" w:rsidR="00876E56" w:rsidRPr="004877E0" w:rsidRDefault="00D25EE1" w:rsidP="00DE1B04">
      <w:pPr>
        <w:pStyle w:val="ListParagraph"/>
        <w:numPr>
          <w:ilvl w:val="0"/>
          <w:numId w:val="28"/>
        </w:numPr>
        <w:spacing w:after="240"/>
        <w:rPr>
          <w:rFonts w:ascii="Arial" w:hAnsi="Arial" w:cs="Arial"/>
          <w:b/>
          <w:sz w:val="24"/>
          <w:szCs w:val="24"/>
        </w:rPr>
      </w:pPr>
      <w:r w:rsidRPr="004877E0">
        <w:rPr>
          <w:rFonts w:ascii="Arial" w:hAnsi="Arial" w:cs="Arial"/>
          <w:sz w:val="24"/>
          <w:szCs w:val="24"/>
        </w:rPr>
        <w:t xml:space="preserve">Please update the response to Question </w:t>
      </w:r>
      <w:r w:rsidR="0018043E" w:rsidRPr="004877E0">
        <w:rPr>
          <w:rFonts w:ascii="Arial" w:hAnsi="Arial" w:cs="Arial"/>
          <w:sz w:val="24"/>
          <w:szCs w:val="24"/>
        </w:rPr>
        <w:t>4</w:t>
      </w:r>
      <w:r w:rsidRPr="004877E0">
        <w:rPr>
          <w:rFonts w:ascii="Arial" w:hAnsi="Arial" w:cs="Arial"/>
          <w:sz w:val="24"/>
          <w:szCs w:val="24"/>
        </w:rPr>
        <w:t xml:space="preserve"> of Tab 1 in Ref. 1.</w:t>
      </w:r>
      <w:r w:rsidR="004877E0" w:rsidRPr="004877E0">
        <w:rPr>
          <w:rFonts w:ascii="Arial" w:hAnsi="Arial" w:cs="Arial"/>
          <w:sz w:val="24"/>
          <w:szCs w:val="24"/>
        </w:rPr>
        <w:t xml:space="preserve"> If there is no update required, please provide reasoning.</w:t>
      </w:r>
    </w:p>
    <w:p w14:paraId="0EB5B5C5" w14:textId="010FABCF" w:rsidR="00876E56" w:rsidRDefault="00876E56" w:rsidP="00876E56">
      <w:pPr>
        <w:spacing w:after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Staff Question-</w:t>
      </w:r>
      <w:r w:rsidRPr="007332A5">
        <w:rPr>
          <w:rFonts w:ascii="Arial" w:eastAsia="Calibri" w:hAnsi="Arial" w:cs="Arial"/>
          <w:b/>
          <w:sz w:val="24"/>
          <w:szCs w:val="24"/>
        </w:rPr>
        <w:fldChar w:fldCharType="begin"/>
      </w:r>
      <w:r w:rsidRPr="007332A5">
        <w:rPr>
          <w:rFonts w:ascii="Arial" w:eastAsia="Calibri" w:hAnsi="Arial" w:cs="Arial"/>
          <w:b/>
          <w:sz w:val="24"/>
          <w:szCs w:val="24"/>
        </w:rPr>
        <w:instrText xml:space="preserve"> AUTONUMLGL  \* Arabic \e </w:instrText>
      </w:r>
      <w:r w:rsidRPr="007332A5">
        <w:rPr>
          <w:rFonts w:ascii="Arial" w:eastAsia="Calibri" w:hAnsi="Arial" w:cs="Arial"/>
          <w:b/>
          <w:sz w:val="24"/>
          <w:szCs w:val="24"/>
        </w:rPr>
        <w:fldChar w:fldCharType="end"/>
      </w:r>
    </w:p>
    <w:p w14:paraId="6C0AF22C" w14:textId="40813D0D" w:rsidR="00876E56" w:rsidRDefault="00876E56" w:rsidP="00876E56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2E7E17">
        <w:rPr>
          <w:rFonts w:ascii="Arial" w:hAnsi="Arial" w:cs="Arial"/>
          <w:b/>
          <w:bCs/>
          <w:sz w:val="24"/>
          <w:szCs w:val="24"/>
        </w:rPr>
        <w:t>Ref</w:t>
      </w:r>
      <w:r>
        <w:rPr>
          <w:rFonts w:ascii="Arial" w:hAnsi="Arial" w:cs="Arial"/>
          <w:b/>
          <w:bCs/>
          <w:sz w:val="24"/>
          <w:szCs w:val="24"/>
        </w:rPr>
        <w:t>. 1</w:t>
      </w:r>
      <w:r w:rsidRPr="002E7E17">
        <w:rPr>
          <w:rFonts w:ascii="Arial" w:hAnsi="Arial" w:cs="Arial"/>
          <w:b/>
          <w:bCs/>
          <w:sz w:val="24"/>
          <w:szCs w:val="24"/>
        </w:rPr>
        <w:t xml:space="preserve">: </w:t>
      </w:r>
      <w:r w:rsidRPr="00D25EE1">
        <w:rPr>
          <w:rFonts w:ascii="Arial" w:hAnsi="Arial" w:cs="Arial"/>
          <w:b/>
          <w:bCs/>
          <w:sz w:val="24"/>
          <w:szCs w:val="24"/>
        </w:rPr>
        <w:t>2026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D25EE1">
        <w:rPr>
          <w:rFonts w:ascii="Arial" w:hAnsi="Arial" w:cs="Arial"/>
          <w:b/>
          <w:bCs/>
          <w:sz w:val="24"/>
          <w:szCs w:val="24"/>
        </w:rPr>
        <w:t>IRM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D25EE1">
        <w:rPr>
          <w:rFonts w:ascii="Arial" w:hAnsi="Arial" w:cs="Arial"/>
          <w:b/>
          <w:bCs/>
          <w:sz w:val="24"/>
          <w:szCs w:val="24"/>
        </w:rPr>
        <w:t>Rate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D25EE1">
        <w:rPr>
          <w:rFonts w:ascii="Arial" w:hAnsi="Arial" w:cs="Arial"/>
          <w:b/>
          <w:bCs/>
          <w:sz w:val="24"/>
          <w:szCs w:val="24"/>
        </w:rPr>
        <w:t>Generator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D25EE1">
        <w:rPr>
          <w:rFonts w:ascii="Arial" w:hAnsi="Arial" w:cs="Arial"/>
          <w:b/>
          <w:bCs/>
          <w:sz w:val="24"/>
          <w:szCs w:val="24"/>
        </w:rPr>
        <w:t>Model_202508</w:t>
      </w:r>
      <w:r>
        <w:rPr>
          <w:rFonts w:ascii="Arial" w:hAnsi="Arial" w:cs="Arial"/>
          <w:b/>
          <w:bCs/>
          <w:sz w:val="24"/>
          <w:szCs w:val="24"/>
        </w:rPr>
        <w:t>08, Tab 3 Continuity Schedule</w:t>
      </w:r>
    </w:p>
    <w:p w14:paraId="7AF9773E" w14:textId="06920F80" w:rsidR="00876E56" w:rsidRDefault="00876E56" w:rsidP="0082581E">
      <w:pPr>
        <w:spacing w:after="0"/>
        <w:ind w:left="540" w:hanging="5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Ref. 2: 2024 Decision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And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Rate Order_20231214, Table 7.1 Group 1 Deferral and Variance Account Balances </w:t>
      </w:r>
    </w:p>
    <w:p w14:paraId="4F609011" w14:textId="77777777" w:rsidR="00876E56" w:rsidRDefault="00876E56" w:rsidP="00876E56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683B078" w14:textId="77777777" w:rsidR="00876E56" w:rsidRPr="006B0355" w:rsidRDefault="00876E56" w:rsidP="00876E56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6B0355">
        <w:rPr>
          <w:rFonts w:ascii="Arial" w:hAnsi="Arial" w:cs="Arial"/>
          <w:b/>
          <w:bCs/>
          <w:sz w:val="24"/>
          <w:szCs w:val="24"/>
        </w:rPr>
        <w:t>Preamble:</w:t>
      </w:r>
    </w:p>
    <w:p w14:paraId="4515D2B2" w14:textId="5E0B2232" w:rsidR="00876E56" w:rsidRPr="00654E37" w:rsidRDefault="00876E56" w:rsidP="00876E56">
      <w:pPr>
        <w:rPr>
          <w:rFonts w:ascii="Arial" w:hAnsi="Arial" w:cs="Arial"/>
          <w:sz w:val="24"/>
          <w:szCs w:val="24"/>
        </w:rPr>
      </w:pPr>
      <w:r w:rsidRPr="00654E37">
        <w:rPr>
          <w:rFonts w:ascii="Arial" w:hAnsi="Arial" w:cs="Arial"/>
          <w:sz w:val="24"/>
          <w:szCs w:val="24"/>
        </w:rPr>
        <w:t xml:space="preserve">In </w:t>
      </w:r>
      <w:r>
        <w:rPr>
          <w:rFonts w:ascii="Arial" w:hAnsi="Arial" w:cs="Arial"/>
          <w:sz w:val="24"/>
          <w:szCs w:val="24"/>
        </w:rPr>
        <w:t xml:space="preserve">Ref. 1, the values in Cells BE36 and BJ36 (OEB-Approved Disposition during 2024), do not reconcile with Ref. 2. </w:t>
      </w:r>
      <w:r w:rsidRPr="00654E37">
        <w:rPr>
          <w:rFonts w:ascii="Arial" w:hAnsi="Arial" w:cs="Arial"/>
          <w:sz w:val="24"/>
          <w:szCs w:val="24"/>
        </w:rPr>
        <w:t xml:space="preserve"> </w:t>
      </w:r>
    </w:p>
    <w:p w14:paraId="681942CE" w14:textId="77777777" w:rsidR="00876E56" w:rsidRPr="00D25EE1" w:rsidRDefault="00876E56" w:rsidP="00876E56">
      <w:pPr>
        <w:rPr>
          <w:rFonts w:ascii="Arial" w:hAnsi="Arial" w:cs="Arial"/>
          <w:b/>
          <w:bCs/>
          <w:sz w:val="24"/>
          <w:szCs w:val="24"/>
        </w:rPr>
      </w:pPr>
      <w:r w:rsidRPr="00D25EE1">
        <w:rPr>
          <w:rFonts w:ascii="Arial" w:hAnsi="Arial" w:cs="Arial"/>
          <w:b/>
          <w:bCs/>
          <w:sz w:val="24"/>
          <w:szCs w:val="24"/>
        </w:rPr>
        <w:t xml:space="preserve">Question(s): </w:t>
      </w:r>
    </w:p>
    <w:p w14:paraId="2C24CF60" w14:textId="5080B6E4" w:rsidR="00876E56" w:rsidRDefault="00876E56" w:rsidP="00876E56">
      <w:pPr>
        <w:pStyle w:val="ListParagraph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 w:rsidRPr="00D25EE1">
        <w:rPr>
          <w:rFonts w:ascii="Arial" w:hAnsi="Arial" w:cs="Arial"/>
          <w:sz w:val="24"/>
          <w:szCs w:val="24"/>
        </w:rPr>
        <w:lastRenderedPageBreak/>
        <w:t xml:space="preserve">Please update the </w:t>
      </w:r>
      <w:r>
        <w:rPr>
          <w:rFonts w:ascii="Arial" w:hAnsi="Arial" w:cs="Arial"/>
          <w:sz w:val="24"/>
          <w:szCs w:val="24"/>
        </w:rPr>
        <w:t>values</w:t>
      </w:r>
      <w:r w:rsidR="00973841">
        <w:rPr>
          <w:rFonts w:ascii="Arial" w:hAnsi="Arial" w:cs="Arial"/>
          <w:sz w:val="24"/>
          <w:szCs w:val="24"/>
        </w:rPr>
        <w:t>, and provide commentary,</w:t>
      </w:r>
      <w:r>
        <w:rPr>
          <w:rFonts w:ascii="Arial" w:hAnsi="Arial" w:cs="Arial"/>
          <w:sz w:val="24"/>
          <w:szCs w:val="24"/>
        </w:rPr>
        <w:t xml:space="preserve"> to reconcile with the 2024 Decision and Rate Order</w:t>
      </w:r>
      <w:r w:rsidRPr="00D25EE1">
        <w:rPr>
          <w:rFonts w:ascii="Arial" w:hAnsi="Arial" w:cs="Arial"/>
          <w:sz w:val="24"/>
          <w:szCs w:val="24"/>
        </w:rPr>
        <w:t>.</w:t>
      </w:r>
    </w:p>
    <w:p w14:paraId="52ECF065" w14:textId="77777777" w:rsidR="00876E56" w:rsidRDefault="00876E56" w:rsidP="00876E56">
      <w:pPr>
        <w:rPr>
          <w:rFonts w:ascii="Arial" w:hAnsi="Arial" w:cs="Arial"/>
          <w:sz w:val="24"/>
          <w:szCs w:val="24"/>
        </w:rPr>
      </w:pPr>
    </w:p>
    <w:p w14:paraId="07BD6E93" w14:textId="77777777" w:rsidR="00250165" w:rsidRDefault="00250165" w:rsidP="00250165">
      <w:pPr>
        <w:spacing w:after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Staff Question-</w:t>
      </w:r>
      <w:r w:rsidRPr="007332A5">
        <w:rPr>
          <w:rFonts w:ascii="Arial" w:eastAsia="Calibri" w:hAnsi="Arial" w:cs="Arial"/>
          <w:b/>
          <w:sz w:val="24"/>
          <w:szCs w:val="24"/>
        </w:rPr>
        <w:fldChar w:fldCharType="begin"/>
      </w:r>
      <w:r w:rsidRPr="007332A5">
        <w:rPr>
          <w:rFonts w:ascii="Arial" w:eastAsia="Calibri" w:hAnsi="Arial" w:cs="Arial"/>
          <w:b/>
          <w:sz w:val="24"/>
          <w:szCs w:val="24"/>
        </w:rPr>
        <w:instrText xml:space="preserve"> AUTONUMLGL  \* Arabic \e </w:instrText>
      </w:r>
      <w:r w:rsidRPr="007332A5">
        <w:rPr>
          <w:rFonts w:ascii="Arial" w:eastAsia="Calibri" w:hAnsi="Arial" w:cs="Arial"/>
          <w:b/>
          <w:sz w:val="24"/>
          <w:szCs w:val="24"/>
        </w:rPr>
        <w:fldChar w:fldCharType="end"/>
      </w:r>
    </w:p>
    <w:p w14:paraId="0947B54D" w14:textId="77777777" w:rsidR="00250165" w:rsidRDefault="00250165" w:rsidP="00250165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2E7E17">
        <w:rPr>
          <w:rFonts w:ascii="Arial" w:hAnsi="Arial" w:cs="Arial"/>
          <w:b/>
          <w:bCs/>
          <w:sz w:val="24"/>
          <w:szCs w:val="24"/>
        </w:rPr>
        <w:t>Ref</w:t>
      </w:r>
      <w:r>
        <w:rPr>
          <w:rFonts w:ascii="Arial" w:hAnsi="Arial" w:cs="Arial"/>
          <w:b/>
          <w:bCs/>
          <w:sz w:val="24"/>
          <w:szCs w:val="24"/>
        </w:rPr>
        <w:t>. 1</w:t>
      </w:r>
      <w:r w:rsidRPr="002E7E17">
        <w:rPr>
          <w:rFonts w:ascii="Arial" w:hAnsi="Arial" w:cs="Arial"/>
          <w:b/>
          <w:bCs/>
          <w:sz w:val="24"/>
          <w:szCs w:val="24"/>
        </w:rPr>
        <w:t xml:space="preserve">: </w:t>
      </w:r>
      <w:r w:rsidRPr="00D25EE1">
        <w:rPr>
          <w:rFonts w:ascii="Arial" w:hAnsi="Arial" w:cs="Arial"/>
          <w:b/>
          <w:bCs/>
          <w:sz w:val="24"/>
          <w:szCs w:val="24"/>
        </w:rPr>
        <w:t>2026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D25EE1">
        <w:rPr>
          <w:rFonts w:ascii="Arial" w:hAnsi="Arial" w:cs="Arial"/>
          <w:b/>
          <w:bCs/>
          <w:sz w:val="24"/>
          <w:szCs w:val="24"/>
        </w:rPr>
        <w:t>IRM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D25EE1">
        <w:rPr>
          <w:rFonts w:ascii="Arial" w:hAnsi="Arial" w:cs="Arial"/>
          <w:b/>
          <w:bCs/>
          <w:sz w:val="24"/>
          <w:szCs w:val="24"/>
        </w:rPr>
        <w:t>Rate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D25EE1">
        <w:rPr>
          <w:rFonts w:ascii="Arial" w:hAnsi="Arial" w:cs="Arial"/>
          <w:b/>
          <w:bCs/>
          <w:sz w:val="24"/>
          <w:szCs w:val="24"/>
        </w:rPr>
        <w:t>Generator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D25EE1">
        <w:rPr>
          <w:rFonts w:ascii="Arial" w:hAnsi="Arial" w:cs="Arial"/>
          <w:b/>
          <w:bCs/>
          <w:sz w:val="24"/>
          <w:szCs w:val="24"/>
        </w:rPr>
        <w:t>Model_202508</w:t>
      </w:r>
      <w:r>
        <w:rPr>
          <w:rFonts w:ascii="Arial" w:hAnsi="Arial" w:cs="Arial"/>
          <w:b/>
          <w:bCs/>
          <w:sz w:val="24"/>
          <w:szCs w:val="24"/>
        </w:rPr>
        <w:t>08, Tab 3 Continuity Schedule</w:t>
      </w:r>
    </w:p>
    <w:p w14:paraId="53CDF215" w14:textId="77777777" w:rsidR="00250165" w:rsidRDefault="00250165" w:rsidP="00250165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1ECCF3F6" w14:textId="77777777" w:rsidR="00250165" w:rsidRPr="006B0355" w:rsidRDefault="00250165" w:rsidP="00250165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6B0355">
        <w:rPr>
          <w:rFonts w:ascii="Arial" w:hAnsi="Arial" w:cs="Arial"/>
          <w:b/>
          <w:bCs/>
          <w:sz w:val="24"/>
          <w:szCs w:val="24"/>
        </w:rPr>
        <w:t>Preamble:</w:t>
      </w:r>
    </w:p>
    <w:p w14:paraId="37B7E029" w14:textId="3E5B26E2" w:rsidR="00250165" w:rsidRPr="00654E37" w:rsidRDefault="00250165" w:rsidP="00250165">
      <w:pPr>
        <w:rPr>
          <w:rFonts w:ascii="Arial" w:hAnsi="Arial" w:cs="Arial"/>
          <w:sz w:val="24"/>
          <w:szCs w:val="24"/>
        </w:rPr>
      </w:pPr>
      <w:r w:rsidRPr="00250165">
        <w:rPr>
          <w:rFonts w:ascii="Arial" w:hAnsi="Arial" w:cs="Arial"/>
          <w:sz w:val="24"/>
          <w:szCs w:val="24"/>
        </w:rPr>
        <w:t>On September 11, 2025, the OEB published the 2025 Quarter 4 prescribed accounting interest rates applicable to the carrying charges of deferral, variance and construction work in progress (CWIP) accounts of natural gas utilities, electricity distributors and other rate-regulated entities.</w:t>
      </w:r>
      <w:r>
        <w:rPr>
          <w:rFonts w:ascii="Arial" w:hAnsi="Arial" w:cs="Arial"/>
          <w:sz w:val="24"/>
          <w:szCs w:val="24"/>
        </w:rPr>
        <w:t xml:space="preserve"> </w:t>
      </w:r>
      <w:r w:rsidRPr="00654E37">
        <w:rPr>
          <w:rFonts w:ascii="Arial" w:hAnsi="Arial" w:cs="Arial"/>
          <w:sz w:val="24"/>
          <w:szCs w:val="24"/>
        </w:rPr>
        <w:t xml:space="preserve"> </w:t>
      </w:r>
    </w:p>
    <w:p w14:paraId="241F5CCA" w14:textId="77777777" w:rsidR="00250165" w:rsidRPr="00D25EE1" w:rsidRDefault="00250165" w:rsidP="00250165">
      <w:pPr>
        <w:rPr>
          <w:rFonts w:ascii="Arial" w:hAnsi="Arial" w:cs="Arial"/>
          <w:b/>
          <w:bCs/>
          <w:sz w:val="24"/>
          <w:szCs w:val="24"/>
        </w:rPr>
      </w:pPr>
      <w:r w:rsidRPr="00D25EE1">
        <w:rPr>
          <w:rFonts w:ascii="Arial" w:hAnsi="Arial" w:cs="Arial"/>
          <w:b/>
          <w:bCs/>
          <w:sz w:val="24"/>
          <w:szCs w:val="24"/>
        </w:rPr>
        <w:t xml:space="preserve">Question(s): </w:t>
      </w:r>
    </w:p>
    <w:p w14:paraId="62376754" w14:textId="4BB0CD4E" w:rsidR="00250165" w:rsidRPr="00250165" w:rsidRDefault="00250165" w:rsidP="00250165">
      <w:pPr>
        <w:pStyle w:val="ListParagraph"/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 w:rsidRPr="00250165">
        <w:rPr>
          <w:rFonts w:ascii="Arial" w:hAnsi="Arial" w:cs="Arial"/>
          <w:sz w:val="24"/>
          <w:szCs w:val="24"/>
        </w:rPr>
        <w:t xml:space="preserve">Please </w:t>
      </w:r>
      <w:r w:rsidR="00183723">
        <w:rPr>
          <w:rFonts w:ascii="Arial" w:hAnsi="Arial" w:cs="Arial"/>
          <w:sz w:val="24"/>
          <w:szCs w:val="24"/>
        </w:rPr>
        <w:t>confirm that</w:t>
      </w:r>
      <w:r w:rsidRPr="00250165">
        <w:rPr>
          <w:rFonts w:ascii="Arial" w:hAnsi="Arial" w:cs="Arial"/>
          <w:sz w:val="24"/>
          <w:szCs w:val="24"/>
        </w:rPr>
        <w:t xml:space="preserve"> Tab 3 (Continuity Schedule) reflect</w:t>
      </w:r>
      <w:r w:rsidR="00EF7FE0">
        <w:rPr>
          <w:rFonts w:ascii="Arial" w:hAnsi="Arial" w:cs="Arial"/>
          <w:sz w:val="24"/>
          <w:szCs w:val="24"/>
        </w:rPr>
        <w:t>s</w:t>
      </w:r>
      <w:r w:rsidRPr="00250165">
        <w:rPr>
          <w:rFonts w:ascii="Arial" w:hAnsi="Arial" w:cs="Arial"/>
          <w:sz w:val="24"/>
          <w:szCs w:val="24"/>
        </w:rPr>
        <w:t xml:space="preserve"> the Q4 2025 OEB-prescribed interest rate of 2.91%.</w:t>
      </w:r>
    </w:p>
    <w:p w14:paraId="6244E2CB" w14:textId="77777777" w:rsidR="00250165" w:rsidRDefault="00250165" w:rsidP="00876E56">
      <w:pPr>
        <w:rPr>
          <w:rFonts w:ascii="Arial" w:hAnsi="Arial" w:cs="Arial"/>
          <w:sz w:val="24"/>
          <w:szCs w:val="24"/>
        </w:rPr>
      </w:pPr>
    </w:p>
    <w:p w14:paraId="49D096F2" w14:textId="77777777" w:rsidR="00DC2889" w:rsidRDefault="00DC2889" w:rsidP="00DC2889">
      <w:pPr>
        <w:spacing w:after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Staff Question-</w:t>
      </w:r>
      <w:r w:rsidRPr="007332A5">
        <w:rPr>
          <w:rFonts w:ascii="Arial" w:eastAsia="Calibri" w:hAnsi="Arial" w:cs="Arial"/>
          <w:b/>
          <w:sz w:val="24"/>
          <w:szCs w:val="24"/>
        </w:rPr>
        <w:fldChar w:fldCharType="begin"/>
      </w:r>
      <w:r w:rsidRPr="007332A5">
        <w:rPr>
          <w:rFonts w:ascii="Arial" w:eastAsia="Calibri" w:hAnsi="Arial" w:cs="Arial"/>
          <w:b/>
          <w:sz w:val="24"/>
          <w:szCs w:val="24"/>
        </w:rPr>
        <w:instrText xml:space="preserve"> AUTONUMLGL  \* Arabic \e </w:instrText>
      </w:r>
      <w:r w:rsidRPr="007332A5">
        <w:rPr>
          <w:rFonts w:ascii="Arial" w:eastAsia="Calibri" w:hAnsi="Arial" w:cs="Arial"/>
          <w:b/>
          <w:sz w:val="24"/>
          <w:szCs w:val="24"/>
        </w:rPr>
        <w:fldChar w:fldCharType="end"/>
      </w:r>
    </w:p>
    <w:p w14:paraId="623B8BF1" w14:textId="51FE2EAC" w:rsidR="00DC2889" w:rsidRDefault="00DC2889" w:rsidP="00DC2889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2E7E17">
        <w:rPr>
          <w:rFonts w:ascii="Arial" w:hAnsi="Arial" w:cs="Arial"/>
          <w:b/>
          <w:bCs/>
          <w:sz w:val="24"/>
          <w:szCs w:val="24"/>
        </w:rPr>
        <w:t>Ref</w:t>
      </w:r>
      <w:r>
        <w:rPr>
          <w:rFonts w:ascii="Arial" w:hAnsi="Arial" w:cs="Arial"/>
          <w:b/>
          <w:bCs/>
          <w:sz w:val="24"/>
          <w:szCs w:val="24"/>
        </w:rPr>
        <w:t>. 1</w:t>
      </w:r>
      <w:r w:rsidRPr="002E7E17">
        <w:rPr>
          <w:rFonts w:ascii="Arial" w:hAnsi="Arial" w:cs="Arial"/>
          <w:b/>
          <w:bCs/>
          <w:sz w:val="24"/>
          <w:szCs w:val="24"/>
        </w:rPr>
        <w:t xml:space="preserve">: </w:t>
      </w:r>
      <w:r w:rsidRPr="00D25EE1">
        <w:rPr>
          <w:rFonts w:ascii="Arial" w:hAnsi="Arial" w:cs="Arial"/>
          <w:b/>
          <w:bCs/>
          <w:sz w:val="24"/>
          <w:szCs w:val="24"/>
        </w:rPr>
        <w:t>2026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D25EE1">
        <w:rPr>
          <w:rFonts w:ascii="Arial" w:hAnsi="Arial" w:cs="Arial"/>
          <w:b/>
          <w:bCs/>
          <w:sz w:val="24"/>
          <w:szCs w:val="24"/>
        </w:rPr>
        <w:t>IRM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D25EE1">
        <w:rPr>
          <w:rFonts w:ascii="Arial" w:hAnsi="Arial" w:cs="Arial"/>
          <w:b/>
          <w:bCs/>
          <w:sz w:val="24"/>
          <w:szCs w:val="24"/>
        </w:rPr>
        <w:t>Rate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D25EE1">
        <w:rPr>
          <w:rFonts w:ascii="Arial" w:hAnsi="Arial" w:cs="Arial"/>
          <w:b/>
          <w:bCs/>
          <w:sz w:val="24"/>
          <w:szCs w:val="24"/>
        </w:rPr>
        <w:t>Generator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D25EE1">
        <w:rPr>
          <w:rFonts w:ascii="Arial" w:hAnsi="Arial" w:cs="Arial"/>
          <w:b/>
          <w:bCs/>
          <w:sz w:val="24"/>
          <w:szCs w:val="24"/>
        </w:rPr>
        <w:t>Model_202508</w:t>
      </w:r>
      <w:r>
        <w:rPr>
          <w:rFonts w:ascii="Arial" w:hAnsi="Arial" w:cs="Arial"/>
          <w:b/>
          <w:bCs/>
          <w:sz w:val="24"/>
          <w:szCs w:val="24"/>
        </w:rPr>
        <w:t>08, Tab 4 Billing Det. For Def-Var</w:t>
      </w:r>
    </w:p>
    <w:p w14:paraId="21748813" w14:textId="77777777" w:rsidR="00DC2889" w:rsidRDefault="00DC2889" w:rsidP="00DC2889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0E950D7B" w14:textId="77777777" w:rsidR="00DC2889" w:rsidRPr="006B0355" w:rsidRDefault="00DC2889" w:rsidP="00DC2889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6B0355">
        <w:rPr>
          <w:rFonts w:ascii="Arial" w:hAnsi="Arial" w:cs="Arial"/>
          <w:b/>
          <w:bCs/>
          <w:sz w:val="24"/>
          <w:szCs w:val="24"/>
        </w:rPr>
        <w:t>Preamble:</w:t>
      </w:r>
    </w:p>
    <w:p w14:paraId="0732F397" w14:textId="3B3D40B9" w:rsidR="00DC2889" w:rsidRPr="00654E37" w:rsidRDefault="00DC2889" w:rsidP="00DC288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Column N of Ref. 1, Niagara Peninsula shows allocations </w:t>
      </w:r>
      <w:proofErr w:type="gramStart"/>
      <w:r>
        <w:rPr>
          <w:rFonts w:ascii="Arial" w:hAnsi="Arial" w:cs="Arial"/>
          <w:sz w:val="24"/>
          <w:szCs w:val="24"/>
        </w:rPr>
        <w:t>in excess of</w:t>
      </w:r>
      <w:proofErr w:type="gramEnd"/>
      <w:r>
        <w:rPr>
          <w:rFonts w:ascii="Arial" w:hAnsi="Arial" w:cs="Arial"/>
          <w:sz w:val="24"/>
          <w:szCs w:val="24"/>
        </w:rPr>
        <w:t xml:space="preserve"> 100% for the General Service 50 to 4,999kW Rate Class and allocations less than 0% for the General Service Less than 50kW and Street Lighting Rate Classes. </w:t>
      </w:r>
      <w:r w:rsidRPr="00654E37">
        <w:rPr>
          <w:rFonts w:ascii="Arial" w:hAnsi="Arial" w:cs="Arial"/>
          <w:sz w:val="24"/>
          <w:szCs w:val="24"/>
        </w:rPr>
        <w:t xml:space="preserve"> </w:t>
      </w:r>
    </w:p>
    <w:p w14:paraId="48B79B68" w14:textId="77777777" w:rsidR="00DC2889" w:rsidRPr="00D25EE1" w:rsidRDefault="00DC2889" w:rsidP="00DC2889">
      <w:pPr>
        <w:rPr>
          <w:rFonts w:ascii="Arial" w:hAnsi="Arial" w:cs="Arial"/>
          <w:b/>
          <w:bCs/>
          <w:sz w:val="24"/>
          <w:szCs w:val="24"/>
        </w:rPr>
      </w:pPr>
      <w:r w:rsidRPr="00D25EE1">
        <w:rPr>
          <w:rFonts w:ascii="Arial" w:hAnsi="Arial" w:cs="Arial"/>
          <w:b/>
          <w:bCs/>
          <w:sz w:val="24"/>
          <w:szCs w:val="24"/>
        </w:rPr>
        <w:t xml:space="preserve">Question(s): </w:t>
      </w:r>
    </w:p>
    <w:p w14:paraId="46D1BD6C" w14:textId="09F0BA8F" w:rsidR="00DC2889" w:rsidRDefault="00DC2889" w:rsidP="00DC2889">
      <w:pPr>
        <w:pStyle w:val="ListParagraph"/>
        <w:numPr>
          <w:ilvl w:val="0"/>
          <w:numId w:val="38"/>
        </w:numPr>
        <w:rPr>
          <w:rFonts w:ascii="Arial" w:hAnsi="Arial" w:cs="Arial"/>
          <w:sz w:val="24"/>
          <w:szCs w:val="24"/>
        </w:rPr>
      </w:pPr>
      <w:r w:rsidRPr="00250165">
        <w:rPr>
          <w:rFonts w:ascii="Arial" w:hAnsi="Arial" w:cs="Arial"/>
          <w:sz w:val="24"/>
          <w:szCs w:val="24"/>
        </w:rPr>
        <w:t xml:space="preserve">Please </w:t>
      </w:r>
      <w:r>
        <w:rPr>
          <w:rFonts w:ascii="Arial" w:hAnsi="Arial" w:cs="Arial"/>
          <w:sz w:val="24"/>
          <w:szCs w:val="24"/>
        </w:rPr>
        <w:t>update the allocations, if required.</w:t>
      </w:r>
    </w:p>
    <w:p w14:paraId="70431951" w14:textId="516132DB" w:rsidR="00DC2889" w:rsidRPr="00250165" w:rsidRDefault="00DC2889" w:rsidP="00DC2889">
      <w:pPr>
        <w:pStyle w:val="ListParagraph"/>
        <w:numPr>
          <w:ilvl w:val="1"/>
          <w:numId w:val="3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the allocations have been correctly input, please provide the reason.</w:t>
      </w:r>
    </w:p>
    <w:p w14:paraId="37A8E7BF" w14:textId="77777777" w:rsidR="00876E56" w:rsidRPr="00876E56" w:rsidRDefault="00876E56" w:rsidP="00876E56">
      <w:pPr>
        <w:rPr>
          <w:rFonts w:ascii="Arial" w:hAnsi="Arial" w:cs="Arial"/>
          <w:sz w:val="24"/>
          <w:szCs w:val="24"/>
        </w:rPr>
      </w:pPr>
    </w:p>
    <w:p w14:paraId="3911EB44" w14:textId="77777777" w:rsidR="00C71711" w:rsidRDefault="00C71711" w:rsidP="00C71711">
      <w:pPr>
        <w:spacing w:after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Staff Question-</w:t>
      </w:r>
      <w:r w:rsidRPr="007332A5">
        <w:rPr>
          <w:rFonts w:ascii="Arial" w:eastAsia="Calibri" w:hAnsi="Arial" w:cs="Arial"/>
          <w:b/>
          <w:sz w:val="24"/>
          <w:szCs w:val="24"/>
        </w:rPr>
        <w:fldChar w:fldCharType="begin"/>
      </w:r>
      <w:r w:rsidRPr="007332A5">
        <w:rPr>
          <w:rFonts w:ascii="Arial" w:eastAsia="Calibri" w:hAnsi="Arial" w:cs="Arial"/>
          <w:b/>
          <w:sz w:val="24"/>
          <w:szCs w:val="24"/>
        </w:rPr>
        <w:instrText xml:space="preserve"> AUTONUMLGL  \* Arabic \e </w:instrText>
      </w:r>
      <w:r w:rsidRPr="007332A5">
        <w:rPr>
          <w:rFonts w:ascii="Arial" w:eastAsia="Calibri" w:hAnsi="Arial" w:cs="Arial"/>
          <w:b/>
          <w:sz w:val="24"/>
          <w:szCs w:val="24"/>
        </w:rPr>
        <w:fldChar w:fldCharType="end"/>
      </w:r>
    </w:p>
    <w:p w14:paraId="7F7B59F4" w14:textId="796EBFFA" w:rsidR="00C71711" w:rsidRDefault="00C71711" w:rsidP="00872B31">
      <w:pPr>
        <w:spacing w:after="0"/>
        <w:ind w:left="540" w:hanging="540"/>
        <w:rPr>
          <w:rFonts w:ascii="Arial" w:hAnsi="Arial" w:cs="Arial"/>
          <w:b/>
          <w:bCs/>
          <w:sz w:val="24"/>
          <w:szCs w:val="24"/>
        </w:rPr>
      </w:pPr>
      <w:r w:rsidRPr="002E7E17">
        <w:rPr>
          <w:rFonts w:ascii="Arial" w:hAnsi="Arial" w:cs="Arial"/>
          <w:b/>
          <w:bCs/>
          <w:sz w:val="24"/>
          <w:szCs w:val="24"/>
        </w:rPr>
        <w:t>Ref</w:t>
      </w:r>
      <w:r>
        <w:rPr>
          <w:rFonts w:ascii="Arial" w:hAnsi="Arial" w:cs="Arial"/>
          <w:b/>
          <w:bCs/>
          <w:sz w:val="24"/>
          <w:szCs w:val="24"/>
        </w:rPr>
        <w:t>. 1</w:t>
      </w:r>
      <w:r w:rsidRPr="002E7E17">
        <w:rPr>
          <w:rFonts w:ascii="Arial" w:hAnsi="Arial" w:cs="Arial"/>
          <w:b/>
          <w:bCs/>
          <w:sz w:val="24"/>
          <w:szCs w:val="24"/>
        </w:rPr>
        <w:t xml:space="preserve">: </w:t>
      </w:r>
      <w:r w:rsidRPr="00D25EE1">
        <w:rPr>
          <w:rFonts w:ascii="Arial" w:hAnsi="Arial" w:cs="Arial"/>
          <w:b/>
          <w:bCs/>
          <w:sz w:val="24"/>
          <w:szCs w:val="24"/>
        </w:rPr>
        <w:t>2026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D25EE1">
        <w:rPr>
          <w:rFonts w:ascii="Arial" w:hAnsi="Arial" w:cs="Arial"/>
          <w:b/>
          <w:bCs/>
          <w:sz w:val="24"/>
          <w:szCs w:val="24"/>
        </w:rPr>
        <w:t>IRM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D25EE1">
        <w:rPr>
          <w:rFonts w:ascii="Arial" w:hAnsi="Arial" w:cs="Arial"/>
          <w:b/>
          <w:bCs/>
          <w:sz w:val="24"/>
          <w:szCs w:val="24"/>
        </w:rPr>
        <w:t>Rate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D25EE1">
        <w:rPr>
          <w:rFonts w:ascii="Arial" w:hAnsi="Arial" w:cs="Arial"/>
          <w:b/>
          <w:bCs/>
          <w:sz w:val="24"/>
          <w:szCs w:val="24"/>
        </w:rPr>
        <w:t>Generator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D25EE1">
        <w:rPr>
          <w:rFonts w:ascii="Arial" w:hAnsi="Arial" w:cs="Arial"/>
          <w:b/>
          <w:bCs/>
          <w:sz w:val="24"/>
          <w:szCs w:val="24"/>
        </w:rPr>
        <w:t>Model_202508</w:t>
      </w:r>
      <w:r>
        <w:rPr>
          <w:rFonts w:ascii="Arial" w:hAnsi="Arial" w:cs="Arial"/>
          <w:b/>
          <w:bCs/>
          <w:sz w:val="24"/>
          <w:szCs w:val="24"/>
        </w:rPr>
        <w:t>08, Tab 12 RTSR - Historical Wholesale</w:t>
      </w:r>
    </w:p>
    <w:p w14:paraId="3A36E612" w14:textId="77777777" w:rsidR="00C71711" w:rsidRDefault="00C71711" w:rsidP="00C71711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72500E7" w14:textId="77777777" w:rsidR="00C71711" w:rsidRPr="006B0355" w:rsidRDefault="00C71711" w:rsidP="00C71711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6B0355">
        <w:rPr>
          <w:rFonts w:ascii="Arial" w:hAnsi="Arial" w:cs="Arial"/>
          <w:b/>
          <w:bCs/>
          <w:sz w:val="24"/>
          <w:szCs w:val="24"/>
        </w:rPr>
        <w:t>Preamble:</w:t>
      </w:r>
    </w:p>
    <w:p w14:paraId="11A078E2" w14:textId="30FA7593" w:rsidR="00C71711" w:rsidRDefault="00C71711" w:rsidP="00C7171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For </w:t>
      </w:r>
      <w:r w:rsidRPr="00C71711">
        <w:rPr>
          <w:rFonts w:ascii="Arial" w:hAnsi="Arial" w:cs="Arial"/>
          <w:sz w:val="24"/>
          <w:szCs w:val="24"/>
        </w:rPr>
        <w:t>the IESO Network</w:t>
      </w:r>
      <w:r>
        <w:rPr>
          <w:rFonts w:ascii="Arial" w:hAnsi="Arial" w:cs="Arial"/>
          <w:sz w:val="24"/>
          <w:szCs w:val="24"/>
        </w:rPr>
        <w:t xml:space="preserve"> and</w:t>
      </w:r>
      <w:r w:rsidRPr="00C71711">
        <w:rPr>
          <w:rFonts w:ascii="Arial" w:hAnsi="Arial" w:cs="Arial"/>
          <w:sz w:val="24"/>
          <w:szCs w:val="24"/>
        </w:rPr>
        <w:t xml:space="preserve"> Line Connection</w:t>
      </w:r>
      <w:r>
        <w:rPr>
          <w:rFonts w:ascii="Arial" w:hAnsi="Arial" w:cs="Arial"/>
          <w:sz w:val="24"/>
          <w:szCs w:val="24"/>
        </w:rPr>
        <w:t xml:space="preserve">, the </w:t>
      </w:r>
      <w:r w:rsidRPr="00C71711">
        <w:rPr>
          <w:rFonts w:ascii="Arial" w:hAnsi="Arial" w:cs="Arial"/>
          <w:sz w:val="24"/>
          <w:szCs w:val="24"/>
        </w:rPr>
        <w:t xml:space="preserve">rates must be consistent with </w:t>
      </w:r>
      <w:r>
        <w:rPr>
          <w:rFonts w:ascii="Arial" w:hAnsi="Arial" w:cs="Arial"/>
          <w:sz w:val="24"/>
          <w:szCs w:val="24"/>
        </w:rPr>
        <w:t xml:space="preserve">values </w:t>
      </w:r>
      <w:r w:rsidRPr="00C71711">
        <w:rPr>
          <w:rFonts w:ascii="Arial" w:hAnsi="Arial" w:cs="Arial"/>
          <w:sz w:val="24"/>
          <w:szCs w:val="24"/>
        </w:rPr>
        <w:t xml:space="preserve">on </w:t>
      </w:r>
      <w:r>
        <w:rPr>
          <w:rFonts w:ascii="Arial" w:hAnsi="Arial" w:cs="Arial"/>
          <w:sz w:val="24"/>
          <w:szCs w:val="24"/>
        </w:rPr>
        <w:t>T</w:t>
      </w:r>
      <w:r w:rsidRPr="00C71711">
        <w:rPr>
          <w:rFonts w:ascii="Arial" w:hAnsi="Arial" w:cs="Arial"/>
          <w:sz w:val="24"/>
          <w:szCs w:val="24"/>
        </w:rPr>
        <w:t xml:space="preserve">ab 11 </w:t>
      </w:r>
      <w:r>
        <w:rPr>
          <w:rFonts w:ascii="Arial" w:hAnsi="Arial" w:cs="Arial"/>
          <w:sz w:val="24"/>
          <w:szCs w:val="24"/>
        </w:rPr>
        <w:t xml:space="preserve">RTSR - </w:t>
      </w:r>
      <w:r w:rsidRPr="00C71711">
        <w:rPr>
          <w:rFonts w:ascii="Arial" w:hAnsi="Arial" w:cs="Arial"/>
          <w:sz w:val="24"/>
          <w:szCs w:val="24"/>
        </w:rPr>
        <w:t xml:space="preserve">UTRs </w:t>
      </w:r>
      <w:r>
        <w:rPr>
          <w:rFonts w:ascii="Arial" w:hAnsi="Arial" w:cs="Arial"/>
          <w:sz w:val="24"/>
          <w:szCs w:val="24"/>
        </w:rPr>
        <w:t xml:space="preserve">&amp; </w:t>
      </w:r>
      <w:r w:rsidRPr="00C71711">
        <w:rPr>
          <w:rFonts w:ascii="Arial" w:hAnsi="Arial" w:cs="Arial"/>
          <w:sz w:val="24"/>
          <w:szCs w:val="24"/>
        </w:rPr>
        <w:t>Sub-T</w:t>
      </w:r>
      <w:r>
        <w:rPr>
          <w:rFonts w:ascii="Arial" w:hAnsi="Arial" w:cs="Arial"/>
          <w:sz w:val="24"/>
          <w:szCs w:val="24"/>
        </w:rPr>
        <w:t>x</w:t>
      </w:r>
      <w:r w:rsidRPr="00C71711">
        <w:rPr>
          <w:rFonts w:ascii="Arial" w:hAnsi="Arial" w:cs="Arial"/>
          <w:sz w:val="24"/>
          <w:szCs w:val="24"/>
        </w:rPr>
        <w:t>, Column</w:t>
      </w:r>
      <w:r>
        <w:rPr>
          <w:rFonts w:ascii="Arial" w:hAnsi="Arial" w:cs="Arial"/>
          <w:sz w:val="24"/>
          <w:szCs w:val="24"/>
        </w:rPr>
        <w:t>s</w:t>
      </w:r>
      <w:r w:rsidRPr="00C71711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</w:t>
      </w:r>
      <w:r w:rsidRPr="00C71711">
        <w:rPr>
          <w:rFonts w:ascii="Arial" w:hAnsi="Arial" w:cs="Arial"/>
          <w:sz w:val="24"/>
          <w:szCs w:val="24"/>
        </w:rPr>
        <w:t>and F.</w:t>
      </w:r>
      <w:r>
        <w:rPr>
          <w:rFonts w:ascii="Arial" w:hAnsi="Arial" w:cs="Arial"/>
          <w:sz w:val="24"/>
          <w:szCs w:val="24"/>
        </w:rPr>
        <w:t xml:space="preserve"> In Ref. 1, the Network rates from July to December do not reconcile with Tab 11 and the Line Connection rate for November does not reconcile with Tab 11.</w:t>
      </w:r>
    </w:p>
    <w:p w14:paraId="4B544006" w14:textId="28CB1A0A" w:rsidR="00C71711" w:rsidRDefault="00C71711" w:rsidP="00C7171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Snapshot from Ref. 1</w:t>
      </w:r>
      <w:r w:rsidR="00B43101">
        <w:rPr>
          <w:rFonts w:ascii="Arial" w:hAnsi="Arial" w:cs="Arial"/>
          <w:sz w:val="24"/>
          <w:szCs w:val="24"/>
        </w:rPr>
        <w:t>:</w:t>
      </w:r>
    </w:p>
    <w:p w14:paraId="11E46D6A" w14:textId="7977748C" w:rsidR="00C71711" w:rsidRDefault="00C71711" w:rsidP="00C7171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06550D1" wp14:editId="6CAEB7D3">
            <wp:extent cx="6592570" cy="2329269"/>
            <wp:effectExtent l="19050" t="19050" r="17780" b="13970"/>
            <wp:docPr id="20562810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8901" cy="234210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2D2C767" w14:textId="77777777" w:rsidR="00C71711" w:rsidRDefault="00C71711" w:rsidP="00C71711">
      <w:pPr>
        <w:rPr>
          <w:rFonts w:ascii="Arial" w:hAnsi="Arial" w:cs="Arial"/>
          <w:sz w:val="24"/>
          <w:szCs w:val="24"/>
        </w:rPr>
      </w:pPr>
    </w:p>
    <w:p w14:paraId="33C7B725" w14:textId="62D1E1AA" w:rsidR="00B43101" w:rsidRDefault="00B43101" w:rsidP="00C7171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Snapshot from Tab 11:</w:t>
      </w:r>
    </w:p>
    <w:p w14:paraId="6CB0A542" w14:textId="18700397" w:rsidR="00B43101" w:rsidRPr="00654E37" w:rsidRDefault="00B43101" w:rsidP="00C7171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69D327D" wp14:editId="6D23E539">
            <wp:extent cx="6732905" cy="1203576"/>
            <wp:effectExtent l="19050" t="19050" r="10795" b="15875"/>
            <wp:docPr id="33041767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4869" cy="12200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44A3D35" w14:textId="77777777" w:rsidR="00C71711" w:rsidRPr="00D25EE1" w:rsidRDefault="00C71711" w:rsidP="00C71711">
      <w:pPr>
        <w:rPr>
          <w:rFonts w:ascii="Arial" w:hAnsi="Arial" w:cs="Arial"/>
          <w:b/>
          <w:bCs/>
          <w:sz w:val="24"/>
          <w:szCs w:val="24"/>
        </w:rPr>
      </w:pPr>
      <w:r w:rsidRPr="00D25EE1">
        <w:rPr>
          <w:rFonts w:ascii="Arial" w:hAnsi="Arial" w:cs="Arial"/>
          <w:b/>
          <w:bCs/>
          <w:sz w:val="24"/>
          <w:szCs w:val="24"/>
        </w:rPr>
        <w:t xml:space="preserve">Question(s): </w:t>
      </w:r>
    </w:p>
    <w:p w14:paraId="0A3DD56F" w14:textId="2CF05897" w:rsidR="00C71711" w:rsidRPr="00C71711" w:rsidRDefault="00C71711" w:rsidP="00C71711">
      <w:pPr>
        <w:pStyle w:val="ListParagraph"/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 w:rsidRPr="00250165">
        <w:rPr>
          <w:rFonts w:ascii="Arial" w:hAnsi="Arial" w:cs="Arial"/>
          <w:sz w:val="24"/>
          <w:szCs w:val="24"/>
        </w:rPr>
        <w:t xml:space="preserve">Please </w:t>
      </w:r>
      <w:r w:rsidR="003C75D3">
        <w:rPr>
          <w:rFonts w:ascii="Arial" w:hAnsi="Arial" w:cs="Arial"/>
          <w:sz w:val="24"/>
          <w:szCs w:val="24"/>
        </w:rPr>
        <w:t>provide reasoning for</w:t>
      </w:r>
      <w:r>
        <w:rPr>
          <w:rFonts w:ascii="Arial" w:hAnsi="Arial" w:cs="Arial"/>
          <w:sz w:val="24"/>
          <w:szCs w:val="24"/>
        </w:rPr>
        <w:t xml:space="preserve"> the Network rates from July to December and the Line Connection rate for November </w:t>
      </w:r>
      <w:r w:rsidR="00C652C2">
        <w:rPr>
          <w:rFonts w:ascii="Arial" w:hAnsi="Arial" w:cs="Arial"/>
          <w:sz w:val="24"/>
          <w:szCs w:val="24"/>
        </w:rPr>
        <w:t xml:space="preserve">not </w:t>
      </w:r>
      <w:r>
        <w:rPr>
          <w:rFonts w:ascii="Arial" w:hAnsi="Arial" w:cs="Arial"/>
          <w:sz w:val="24"/>
          <w:szCs w:val="24"/>
        </w:rPr>
        <w:t>reconcil</w:t>
      </w:r>
      <w:r w:rsidR="00C652C2">
        <w:rPr>
          <w:rFonts w:ascii="Arial" w:hAnsi="Arial" w:cs="Arial"/>
          <w:sz w:val="24"/>
          <w:szCs w:val="24"/>
        </w:rPr>
        <w:t>ing</w:t>
      </w:r>
      <w:r>
        <w:rPr>
          <w:rFonts w:ascii="Arial" w:hAnsi="Arial" w:cs="Arial"/>
          <w:sz w:val="24"/>
          <w:szCs w:val="24"/>
        </w:rPr>
        <w:t xml:space="preserve"> with </w:t>
      </w:r>
      <w:r w:rsidR="00C652C2">
        <w:rPr>
          <w:rFonts w:ascii="Arial" w:hAnsi="Arial" w:cs="Arial"/>
          <w:sz w:val="24"/>
          <w:szCs w:val="24"/>
        </w:rPr>
        <w:t>the rates reported on</w:t>
      </w:r>
      <w:r>
        <w:rPr>
          <w:rFonts w:ascii="Arial" w:hAnsi="Arial" w:cs="Arial"/>
          <w:sz w:val="24"/>
          <w:szCs w:val="24"/>
        </w:rPr>
        <w:t xml:space="preserve"> Tab 11.</w:t>
      </w:r>
    </w:p>
    <w:p w14:paraId="6D4D55CE" w14:textId="77777777" w:rsidR="007C35E1" w:rsidRDefault="007C35E1" w:rsidP="007C35E1">
      <w:pPr>
        <w:spacing w:after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Staff Question-</w:t>
      </w:r>
      <w:r w:rsidRPr="007332A5">
        <w:rPr>
          <w:rFonts w:ascii="Arial" w:eastAsia="Calibri" w:hAnsi="Arial" w:cs="Arial"/>
          <w:b/>
          <w:sz w:val="24"/>
          <w:szCs w:val="24"/>
        </w:rPr>
        <w:fldChar w:fldCharType="begin"/>
      </w:r>
      <w:r w:rsidRPr="007332A5">
        <w:rPr>
          <w:rFonts w:ascii="Arial" w:eastAsia="Calibri" w:hAnsi="Arial" w:cs="Arial"/>
          <w:b/>
          <w:sz w:val="24"/>
          <w:szCs w:val="24"/>
        </w:rPr>
        <w:instrText xml:space="preserve"> AUTONUMLGL  \* Arabic \e </w:instrText>
      </w:r>
      <w:r w:rsidRPr="007332A5">
        <w:rPr>
          <w:rFonts w:ascii="Arial" w:eastAsia="Calibri" w:hAnsi="Arial" w:cs="Arial"/>
          <w:b/>
          <w:sz w:val="24"/>
          <w:szCs w:val="24"/>
        </w:rPr>
        <w:fldChar w:fldCharType="end"/>
      </w:r>
    </w:p>
    <w:p w14:paraId="4AE1A13E" w14:textId="68D25335" w:rsidR="007C35E1" w:rsidRDefault="007C35E1" w:rsidP="007C35E1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2E7E17">
        <w:rPr>
          <w:rFonts w:ascii="Arial" w:hAnsi="Arial" w:cs="Arial"/>
          <w:b/>
          <w:bCs/>
          <w:sz w:val="24"/>
          <w:szCs w:val="24"/>
        </w:rPr>
        <w:t>Ref</w:t>
      </w:r>
      <w:r>
        <w:rPr>
          <w:rFonts w:ascii="Arial" w:hAnsi="Arial" w:cs="Arial"/>
          <w:b/>
          <w:bCs/>
          <w:sz w:val="24"/>
          <w:szCs w:val="24"/>
        </w:rPr>
        <w:t>. 1</w:t>
      </w:r>
      <w:r w:rsidRPr="002E7E17">
        <w:rPr>
          <w:rFonts w:ascii="Arial" w:hAnsi="Arial" w:cs="Arial"/>
          <w:b/>
          <w:bCs/>
          <w:sz w:val="24"/>
          <w:szCs w:val="24"/>
        </w:rPr>
        <w:t xml:space="preserve">: </w:t>
      </w:r>
      <w:r w:rsidRPr="00D25EE1">
        <w:rPr>
          <w:rFonts w:ascii="Arial" w:hAnsi="Arial" w:cs="Arial"/>
          <w:b/>
          <w:bCs/>
          <w:sz w:val="24"/>
          <w:szCs w:val="24"/>
        </w:rPr>
        <w:t>2026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D25EE1">
        <w:rPr>
          <w:rFonts w:ascii="Arial" w:hAnsi="Arial" w:cs="Arial"/>
          <w:b/>
          <w:bCs/>
          <w:sz w:val="24"/>
          <w:szCs w:val="24"/>
        </w:rPr>
        <w:t>IRM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D25EE1">
        <w:rPr>
          <w:rFonts w:ascii="Arial" w:hAnsi="Arial" w:cs="Arial"/>
          <w:b/>
          <w:bCs/>
          <w:sz w:val="24"/>
          <w:szCs w:val="24"/>
        </w:rPr>
        <w:t>Rate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D25EE1">
        <w:rPr>
          <w:rFonts w:ascii="Arial" w:hAnsi="Arial" w:cs="Arial"/>
          <w:b/>
          <w:bCs/>
          <w:sz w:val="24"/>
          <w:szCs w:val="24"/>
        </w:rPr>
        <w:t>Generator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D25EE1">
        <w:rPr>
          <w:rFonts w:ascii="Arial" w:hAnsi="Arial" w:cs="Arial"/>
          <w:b/>
          <w:bCs/>
          <w:sz w:val="24"/>
          <w:szCs w:val="24"/>
        </w:rPr>
        <w:t>Model_202508</w:t>
      </w:r>
      <w:r>
        <w:rPr>
          <w:rFonts w:ascii="Arial" w:hAnsi="Arial" w:cs="Arial"/>
          <w:b/>
          <w:bCs/>
          <w:sz w:val="24"/>
          <w:szCs w:val="24"/>
        </w:rPr>
        <w:t xml:space="preserve">08, Tab </w:t>
      </w:r>
      <w:r w:rsidR="00461DA2">
        <w:rPr>
          <w:rFonts w:ascii="Arial" w:hAnsi="Arial" w:cs="Arial"/>
          <w:b/>
          <w:bCs/>
          <w:sz w:val="24"/>
          <w:szCs w:val="24"/>
        </w:rPr>
        <w:t>20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461DA2">
        <w:rPr>
          <w:rFonts w:ascii="Arial" w:hAnsi="Arial" w:cs="Arial"/>
          <w:b/>
          <w:bCs/>
          <w:sz w:val="24"/>
          <w:szCs w:val="24"/>
        </w:rPr>
        <w:t>Final Tariff Schedule</w:t>
      </w:r>
    </w:p>
    <w:p w14:paraId="4CF3A675" w14:textId="77777777" w:rsidR="007C35E1" w:rsidRDefault="007C35E1" w:rsidP="007C35E1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3A45B5AA" w14:textId="77777777" w:rsidR="007C35E1" w:rsidRPr="006B0355" w:rsidRDefault="007C35E1" w:rsidP="007C35E1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6B0355">
        <w:rPr>
          <w:rFonts w:ascii="Arial" w:hAnsi="Arial" w:cs="Arial"/>
          <w:b/>
          <w:bCs/>
          <w:sz w:val="24"/>
          <w:szCs w:val="24"/>
        </w:rPr>
        <w:t>Preamble:</w:t>
      </w:r>
    </w:p>
    <w:p w14:paraId="1F570876" w14:textId="50A94F80" w:rsidR="007C35E1" w:rsidRPr="00654E37" w:rsidRDefault="006D4B3F" w:rsidP="007C35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For the Embedded Distributor Service Classification in Ref. 1, t</w:t>
      </w:r>
      <w:r w:rsidRPr="006D4B3F">
        <w:rPr>
          <w:rFonts w:ascii="Arial" w:hAnsi="Arial" w:cs="Arial"/>
          <w:sz w:val="24"/>
          <w:szCs w:val="24"/>
        </w:rPr>
        <w:t xml:space="preserve">he distribution volumetric </w:t>
      </w:r>
      <w:r w:rsidR="00F25F66">
        <w:rPr>
          <w:rFonts w:ascii="Arial" w:hAnsi="Arial" w:cs="Arial"/>
          <w:sz w:val="24"/>
          <w:szCs w:val="24"/>
        </w:rPr>
        <w:t>rate</w:t>
      </w:r>
      <w:r w:rsidRPr="006D4B3F">
        <w:rPr>
          <w:rFonts w:ascii="Arial" w:hAnsi="Arial" w:cs="Arial"/>
          <w:sz w:val="24"/>
          <w:szCs w:val="24"/>
        </w:rPr>
        <w:t>, low voltage</w:t>
      </w:r>
      <w:r w:rsidR="00F25F66">
        <w:rPr>
          <w:rFonts w:ascii="Arial" w:hAnsi="Arial" w:cs="Arial"/>
          <w:sz w:val="24"/>
          <w:szCs w:val="24"/>
        </w:rPr>
        <w:t xml:space="preserve"> service</w:t>
      </w:r>
      <w:r w:rsidRPr="006D4B3F">
        <w:rPr>
          <w:rFonts w:ascii="Arial" w:hAnsi="Arial" w:cs="Arial"/>
          <w:sz w:val="24"/>
          <w:szCs w:val="24"/>
        </w:rPr>
        <w:t xml:space="preserve"> rate and retail transmission </w:t>
      </w:r>
      <w:r w:rsidR="00F25F66">
        <w:rPr>
          <w:rFonts w:ascii="Arial" w:hAnsi="Arial" w:cs="Arial"/>
          <w:sz w:val="24"/>
          <w:szCs w:val="24"/>
        </w:rPr>
        <w:t>rates</w:t>
      </w:r>
      <w:r w:rsidRPr="006D4B3F">
        <w:rPr>
          <w:rFonts w:ascii="Arial" w:hAnsi="Arial" w:cs="Arial"/>
          <w:sz w:val="24"/>
          <w:szCs w:val="24"/>
        </w:rPr>
        <w:t xml:space="preserve"> are only applicable to the Victoria and Rockway installations.</w:t>
      </w:r>
      <w:r w:rsidR="007C35E1" w:rsidRPr="00654E37">
        <w:rPr>
          <w:rFonts w:ascii="Arial" w:hAnsi="Arial" w:cs="Arial"/>
          <w:sz w:val="24"/>
          <w:szCs w:val="24"/>
        </w:rPr>
        <w:t xml:space="preserve"> </w:t>
      </w:r>
    </w:p>
    <w:p w14:paraId="68EC5834" w14:textId="77777777" w:rsidR="007C35E1" w:rsidRPr="00D25EE1" w:rsidRDefault="007C35E1" w:rsidP="007C35E1">
      <w:pPr>
        <w:rPr>
          <w:rFonts w:ascii="Arial" w:hAnsi="Arial" w:cs="Arial"/>
          <w:b/>
          <w:bCs/>
          <w:sz w:val="24"/>
          <w:szCs w:val="24"/>
        </w:rPr>
      </w:pPr>
      <w:r w:rsidRPr="00D25EE1">
        <w:rPr>
          <w:rFonts w:ascii="Arial" w:hAnsi="Arial" w:cs="Arial"/>
          <w:b/>
          <w:bCs/>
          <w:sz w:val="24"/>
          <w:szCs w:val="24"/>
        </w:rPr>
        <w:t xml:space="preserve">Question(s): </w:t>
      </w:r>
    </w:p>
    <w:p w14:paraId="0AC869BE" w14:textId="7314C07B" w:rsidR="007C35E1" w:rsidRPr="006D4B3F" w:rsidRDefault="007C35E1" w:rsidP="006D4B3F">
      <w:pPr>
        <w:pStyle w:val="ListParagraph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00250165">
        <w:rPr>
          <w:rFonts w:ascii="Arial" w:hAnsi="Arial" w:cs="Arial"/>
          <w:sz w:val="24"/>
          <w:szCs w:val="24"/>
        </w:rPr>
        <w:t xml:space="preserve">Please </w:t>
      </w:r>
      <w:r w:rsidR="006D4B3F">
        <w:rPr>
          <w:rFonts w:ascii="Arial" w:hAnsi="Arial" w:cs="Arial"/>
          <w:sz w:val="24"/>
          <w:szCs w:val="24"/>
        </w:rPr>
        <w:t xml:space="preserve">confirm the accuracy and provide an explanation for why these are not applicable to </w:t>
      </w:r>
      <w:r>
        <w:rPr>
          <w:rFonts w:ascii="Arial" w:hAnsi="Arial" w:cs="Arial"/>
          <w:sz w:val="24"/>
          <w:szCs w:val="24"/>
        </w:rPr>
        <w:t xml:space="preserve">the </w:t>
      </w:r>
      <w:proofErr w:type="spellStart"/>
      <w:r w:rsidR="006D4B3F">
        <w:rPr>
          <w:rFonts w:ascii="Arial" w:hAnsi="Arial" w:cs="Arial"/>
          <w:sz w:val="24"/>
          <w:szCs w:val="24"/>
        </w:rPr>
        <w:t>Wellandport</w:t>
      </w:r>
      <w:proofErr w:type="spellEnd"/>
      <w:r w:rsidR="006D4B3F">
        <w:rPr>
          <w:rFonts w:ascii="Arial" w:hAnsi="Arial" w:cs="Arial"/>
          <w:sz w:val="24"/>
          <w:szCs w:val="24"/>
        </w:rPr>
        <w:t xml:space="preserve"> and Port Davidson installations.</w:t>
      </w:r>
    </w:p>
    <w:p w14:paraId="256AD68D" w14:textId="20308904" w:rsidR="00876E56" w:rsidRPr="00F36E2F" w:rsidRDefault="00916A6C" w:rsidP="00C71711">
      <w:pPr>
        <w:spacing w:after="240"/>
        <w:rPr>
          <w:rFonts w:ascii="Arial" w:hAnsi="Arial" w:cs="Arial"/>
          <w:b/>
          <w:sz w:val="24"/>
          <w:szCs w:val="24"/>
        </w:rPr>
      </w:pPr>
      <w:r w:rsidRPr="00F36E2F">
        <w:rPr>
          <w:rFonts w:ascii="Arial" w:hAnsi="Arial" w:cs="Arial"/>
          <w:b/>
          <w:sz w:val="24"/>
          <w:szCs w:val="24"/>
        </w:rPr>
        <w:t>Staff Question-</w:t>
      </w:r>
      <w:r w:rsidR="003C65CD">
        <w:rPr>
          <w:rFonts w:ascii="Arial" w:hAnsi="Arial" w:cs="Arial"/>
          <w:b/>
          <w:sz w:val="24"/>
          <w:szCs w:val="24"/>
        </w:rPr>
        <w:t>7</w:t>
      </w:r>
    </w:p>
    <w:p w14:paraId="5187CF29" w14:textId="16A67A14" w:rsidR="00916A6C" w:rsidRDefault="00F36E2F" w:rsidP="00C71711">
      <w:pPr>
        <w:spacing w:after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Question(s):</w:t>
      </w:r>
    </w:p>
    <w:p w14:paraId="77E2B03C" w14:textId="1837D331" w:rsidR="00F36E2F" w:rsidRPr="00F36E2F" w:rsidRDefault="001817B1" w:rsidP="00F36E2F">
      <w:pPr>
        <w:pStyle w:val="ListParagraph"/>
        <w:numPr>
          <w:ilvl w:val="0"/>
          <w:numId w:val="41"/>
        </w:numPr>
        <w:spacing w:after="24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As applicable, please</w:t>
      </w:r>
      <w:r w:rsidR="003C55EE">
        <w:rPr>
          <w:rFonts w:ascii="Arial" w:hAnsi="Arial" w:cs="Arial"/>
          <w:bCs/>
          <w:sz w:val="24"/>
          <w:szCs w:val="24"/>
        </w:rPr>
        <w:t xml:space="preserve"> update the Rate Generator Model</w:t>
      </w:r>
      <w:r w:rsidR="00A25E22">
        <w:rPr>
          <w:rFonts w:ascii="Arial" w:hAnsi="Arial" w:cs="Arial"/>
          <w:bCs/>
          <w:sz w:val="24"/>
          <w:szCs w:val="24"/>
        </w:rPr>
        <w:t xml:space="preserve"> to reflect any updated</w:t>
      </w:r>
      <w:r w:rsidR="00C84B7A">
        <w:rPr>
          <w:rFonts w:ascii="Arial" w:hAnsi="Arial" w:cs="Arial"/>
          <w:bCs/>
          <w:sz w:val="24"/>
          <w:szCs w:val="24"/>
        </w:rPr>
        <w:t xml:space="preserve"> rates / charge</w:t>
      </w:r>
      <w:r w:rsidR="001825BE">
        <w:rPr>
          <w:rFonts w:ascii="Arial" w:hAnsi="Arial" w:cs="Arial"/>
          <w:bCs/>
          <w:sz w:val="24"/>
          <w:szCs w:val="24"/>
        </w:rPr>
        <w:t xml:space="preserve">s (e.g., </w:t>
      </w:r>
      <w:r w:rsidR="002906A8">
        <w:rPr>
          <w:rFonts w:ascii="Arial" w:hAnsi="Arial" w:cs="Arial"/>
          <w:bCs/>
          <w:sz w:val="24"/>
          <w:szCs w:val="24"/>
        </w:rPr>
        <w:t>2026 Uniform Transmission Rates).</w:t>
      </w:r>
    </w:p>
    <w:sectPr w:rsidR="00F36E2F" w:rsidRPr="00F36E2F" w:rsidSect="00EA0919">
      <w:headerReference w:type="default" r:id="rId13"/>
      <w:footerReference w:type="default" r:id="rId14"/>
      <w:pgSz w:w="12240" w:h="15840" w:code="1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67D1C" w14:textId="77777777" w:rsidR="006C1BF7" w:rsidRDefault="006C1BF7" w:rsidP="00D77124">
      <w:pPr>
        <w:spacing w:after="0" w:line="240" w:lineRule="auto"/>
      </w:pPr>
      <w:r>
        <w:separator/>
      </w:r>
    </w:p>
  </w:endnote>
  <w:endnote w:type="continuationSeparator" w:id="0">
    <w:p w14:paraId="33F32E8A" w14:textId="77777777" w:rsidR="006C1BF7" w:rsidRDefault="006C1BF7" w:rsidP="00D77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3497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32008B" w14:textId="2FEE7BF1" w:rsidR="00D77124" w:rsidRDefault="00D771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5C5B66" w14:textId="77777777" w:rsidR="00D77124" w:rsidRDefault="00D771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ED060" w14:textId="77777777" w:rsidR="006C1BF7" w:rsidRDefault="006C1BF7" w:rsidP="00D77124">
      <w:pPr>
        <w:spacing w:after="0" w:line="240" w:lineRule="auto"/>
      </w:pPr>
      <w:r>
        <w:separator/>
      </w:r>
    </w:p>
  </w:footnote>
  <w:footnote w:type="continuationSeparator" w:id="0">
    <w:p w14:paraId="79E9954B" w14:textId="77777777" w:rsidR="006C1BF7" w:rsidRDefault="006C1BF7" w:rsidP="00D771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79E7D" w14:textId="3C493DFB" w:rsidR="00DC489D" w:rsidRDefault="00DC489D">
    <w:pPr>
      <w:pStyle w:val="Header"/>
    </w:pPr>
    <w:r>
      <w:ptab w:relativeTo="margin" w:alignment="center" w:leader="none"/>
    </w:r>
    <w:r>
      <w:ptab w:relativeTo="margin" w:alignment="right" w:leader="none"/>
    </w:r>
    <w:r w:rsidR="0018043E">
      <w:t xml:space="preserve">Niagara Peninsula Energy </w:t>
    </w:r>
    <w:r w:rsidR="00D92E4C">
      <w:t>Inc</w:t>
    </w:r>
    <w:r w:rsidR="00654E37">
      <w:t>.</w:t>
    </w:r>
  </w:p>
  <w:p w14:paraId="4C4BD2A4" w14:textId="27F660F2" w:rsidR="00DC489D" w:rsidRDefault="00DC489D">
    <w:pPr>
      <w:pStyle w:val="Header"/>
    </w:pPr>
    <w:r>
      <w:tab/>
    </w:r>
    <w:r>
      <w:tab/>
      <w:t>OEB Staff Questions</w:t>
    </w:r>
  </w:p>
  <w:p w14:paraId="31F1E28E" w14:textId="65A22BD2" w:rsidR="00DC489D" w:rsidRDefault="00DC489D">
    <w:pPr>
      <w:pStyle w:val="Header"/>
    </w:pPr>
    <w:r>
      <w:tab/>
    </w:r>
    <w:r>
      <w:tab/>
      <w:t>EB-20</w:t>
    </w:r>
    <w:r w:rsidR="00D92E4C">
      <w:t>2</w:t>
    </w:r>
    <w:r w:rsidR="00CB2B2D">
      <w:t>5</w:t>
    </w:r>
    <w:r>
      <w:t>-</w:t>
    </w:r>
    <w:r w:rsidR="00D92E4C">
      <w:t>00</w:t>
    </w:r>
    <w:r w:rsidR="00CB2B2D">
      <w:t>2</w:t>
    </w:r>
    <w:r w:rsidR="0018043E">
      <w:t>0</w:t>
    </w:r>
  </w:p>
  <w:p w14:paraId="77515272" w14:textId="77777777" w:rsidR="005C6D0B" w:rsidRDefault="005C6D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F0713"/>
    <w:multiLevelType w:val="hybridMultilevel"/>
    <w:tmpl w:val="F39C6E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81843"/>
    <w:multiLevelType w:val="hybridMultilevel"/>
    <w:tmpl w:val="F4FE52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A4D94"/>
    <w:multiLevelType w:val="hybridMultilevel"/>
    <w:tmpl w:val="9BF8F27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574F5"/>
    <w:multiLevelType w:val="hybridMultilevel"/>
    <w:tmpl w:val="512C6D10"/>
    <w:lvl w:ilvl="0" w:tplc="80303286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52736"/>
    <w:multiLevelType w:val="hybridMultilevel"/>
    <w:tmpl w:val="500EA850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D4592"/>
    <w:multiLevelType w:val="hybridMultilevel"/>
    <w:tmpl w:val="DC1A503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808AF"/>
    <w:multiLevelType w:val="hybridMultilevel"/>
    <w:tmpl w:val="B09CBCEC"/>
    <w:lvl w:ilvl="0" w:tplc="D9E256F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6327C4"/>
    <w:multiLevelType w:val="hybridMultilevel"/>
    <w:tmpl w:val="AE1E449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170AD"/>
    <w:multiLevelType w:val="hybridMultilevel"/>
    <w:tmpl w:val="9AF07AEE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136CB"/>
    <w:multiLevelType w:val="hybridMultilevel"/>
    <w:tmpl w:val="74DA62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53F33"/>
    <w:multiLevelType w:val="hybridMultilevel"/>
    <w:tmpl w:val="1CE61B9A"/>
    <w:lvl w:ilvl="0" w:tplc="0F7EA3E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135021"/>
    <w:multiLevelType w:val="hybridMultilevel"/>
    <w:tmpl w:val="9BF8F27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B214EF"/>
    <w:multiLevelType w:val="hybridMultilevel"/>
    <w:tmpl w:val="C59CA1CC"/>
    <w:lvl w:ilvl="0" w:tplc="8B6C37C4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E34841"/>
    <w:multiLevelType w:val="hybridMultilevel"/>
    <w:tmpl w:val="32C4DC2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FE558F"/>
    <w:multiLevelType w:val="hybridMultilevel"/>
    <w:tmpl w:val="E7683288"/>
    <w:lvl w:ilvl="0" w:tplc="73B2F65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B924E8"/>
    <w:multiLevelType w:val="hybridMultilevel"/>
    <w:tmpl w:val="9BF8F27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0F7F76"/>
    <w:multiLevelType w:val="hybridMultilevel"/>
    <w:tmpl w:val="460A55F0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F992221"/>
    <w:multiLevelType w:val="hybridMultilevel"/>
    <w:tmpl w:val="21F40620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0645D"/>
    <w:multiLevelType w:val="hybridMultilevel"/>
    <w:tmpl w:val="6E5AD682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557CC5"/>
    <w:multiLevelType w:val="hybridMultilevel"/>
    <w:tmpl w:val="9BF8F27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5A77D6"/>
    <w:multiLevelType w:val="hybridMultilevel"/>
    <w:tmpl w:val="C59CA1CC"/>
    <w:lvl w:ilvl="0" w:tplc="8B6C37C4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C22C9D"/>
    <w:multiLevelType w:val="hybridMultilevel"/>
    <w:tmpl w:val="6E5AD682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F133DA"/>
    <w:multiLevelType w:val="hybridMultilevel"/>
    <w:tmpl w:val="32C4DC2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F05669"/>
    <w:multiLevelType w:val="hybridMultilevel"/>
    <w:tmpl w:val="412223B0"/>
    <w:lvl w:ilvl="0" w:tplc="10090017">
      <w:start w:val="1"/>
      <w:numFmt w:val="lowerLetter"/>
      <w:lvlText w:val="%1)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7E371CF"/>
    <w:multiLevelType w:val="hybridMultilevel"/>
    <w:tmpl w:val="0DF60502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235D00"/>
    <w:multiLevelType w:val="hybridMultilevel"/>
    <w:tmpl w:val="6E5AD682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FC5237"/>
    <w:multiLevelType w:val="hybridMultilevel"/>
    <w:tmpl w:val="5C28D8B2"/>
    <w:lvl w:ilvl="0" w:tplc="ABB4B23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A41F6C"/>
    <w:multiLevelType w:val="hybridMultilevel"/>
    <w:tmpl w:val="BBC879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B61263"/>
    <w:multiLevelType w:val="hybridMultilevel"/>
    <w:tmpl w:val="102E1F06"/>
    <w:lvl w:ilvl="0" w:tplc="10090017">
      <w:start w:val="1"/>
      <w:numFmt w:val="lowerLetter"/>
      <w:lvlText w:val="%1)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1AA03A7"/>
    <w:multiLevelType w:val="hybridMultilevel"/>
    <w:tmpl w:val="B072AE36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D2073D"/>
    <w:multiLevelType w:val="hybridMultilevel"/>
    <w:tmpl w:val="9D788B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F029E6"/>
    <w:multiLevelType w:val="hybridMultilevel"/>
    <w:tmpl w:val="1A98A2D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36038A"/>
    <w:multiLevelType w:val="hybridMultilevel"/>
    <w:tmpl w:val="FE802948"/>
    <w:lvl w:ilvl="0" w:tplc="4850A7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294C82"/>
    <w:multiLevelType w:val="hybridMultilevel"/>
    <w:tmpl w:val="52B2D3B4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951BB4"/>
    <w:multiLevelType w:val="hybridMultilevel"/>
    <w:tmpl w:val="28E8C6B2"/>
    <w:lvl w:ilvl="0" w:tplc="88140018">
      <w:start w:val="1"/>
      <w:numFmt w:val="lowerLetter"/>
      <w:lvlText w:val="%1)"/>
      <w:lvlJc w:val="left"/>
      <w:pPr>
        <w:ind w:left="720" w:hanging="360"/>
      </w:pPr>
    </w:lvl>
    <w:lvl w:ilvl="1" w:tplc="1009001B">
      <w:start w:val="1"/>
      <w:numFmt w:val="lowerRoman"/>
      <w:lvlText w:val="%2."/>
      <w:lvlJc w:val="righ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F32B3E"/>
    <w:multiLevelType w:val="hybridMultilevel"/>
    <w:tmpl w:val="655C03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343399"/>
    <w:multiLevelType w:val="hybridMultilevel"/>
    <w:tmpl w:val="EF5064C4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793607"/>
    <w:multiLevelType w:val="hybridMultilevel"/>
    <w:tmpl w:val="9BF8F27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2D6F0B"/>
    <w:multiLevelType w:val="hybridMultilevel"/>
    <w:tmpl w:val="ADBA401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0A6A11"/>
    <w:multiLevelType w:val="hybridMultilevel"/>
    <w:tmpl w:val="15C45F6A"/>
    <w:lvl w:ilvl="0" w:tplc="BD3C2368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64222C"/>
    <w:multiLevelType w:val="hybridMultilevel"/>
    <w:tmpl w:val="12DA9BF8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7389052">
    <w:abstractNumId w:val="1"/>
  </w:num>
  <w:num w:numId="2" w16cid:durableId="1817183121">
    <w:abstractNumId w:val="7"/>
  </w:num>
  <w:num w:numId="3" w16cid:durableId="1825269186">
    <w:abstractNumId w:val="31"/>
  </w:num>
  <w:num w:numId="4" w16cid:durableId="1119179632">
    <w:abstractNumId w:val="40"/>
  </w:num>
  <w:num w:numId="5" w16cid:durableId="2091417003">
    <w:abstractNumId w:val="18"/>
  </w:num>
  <w:num w:numId="6" w16cid:durableId="252014472">
    <w:abstractNumId w:val="12"/>
  </w:num>
  <w:num w:numId="7" w16cid:durableId="1793011066">
    <w:abstractNumId w:val="25"/>
  </w:num>
  <w:num w:numId="8" w16cid:durableId="1794320803">
    <w:abstractNumId w:val="20"/>
  </w:num>
  <w:num w:numId="9" w16cid:durableId="1829709702">
    <w:abstractNumId w:val="21"/>
  </w:num>
  <w:num w:numId="10" w16cid:durableId="1115251463">
    <w:abstractNumId w:val="6"/>
  </w:num>
  <w:num w:numId="11" w16cid:durableId="1887520468">
    <w:abstractNumId w:val="24"/>
  </w:num>
  <w:num w:numId="12" w16cid:durableId="1441336080">
    <w:abstractNumId w:val="33"/>
  </w:num>
  <w:num w:numId="13" w16cid:durableId="1780180625">
    <w:abstractNumId w:val="5"/>
  </w:num>
  <w:num w:numId="14" w16cid:durableId="1590384501">
    <w:abstractNumId w:val="3"/>
  </w:num>
  <w:num w:numId="15" w16cid:durableId="427196099">
    <w:abstractNumId w:val="39"/>
  </w:num>
  <w:num w:numId="16" w16cid:durableId="1661301170">
    <w:abstractNumId w:val="8"/>
  </w:num>
  <w:num w:numId="17" w16cid:durableId="580800399">
    <w:abstractNumId w:val="29"/>
  </w:num>
  <w:num w:numId="18" w16cid:durableId="1835102567">
    <w:abstractNumId w:val="36"/>
  </w:num>
  <w:num w:numId="19" w16cid:durableId="1966807704">
    <w:abstractNumId w:val="38"/>
  </w:num>
  <w:num w:numId="20" w16cid:durableId="1330401671">
    <w:abstractNumId w:val="17"/>
  </w:num>
  <w:num w:numId="21" w16cid:durableId="1192495916">
    <w:abstractNumId w:val="34"/>
  </w:num>
  <w:num w:numId="22" w16cid:durableId="82845605">
    <w:abstractNumId w:val="16"/>
  </w:num>
  <w:num w:numId="23" w16cid:durableId="1261449128">
    <w:abstractNumId w:val="32"/>
  </w:num>
  <w:num w:numId="24" w16cid:durableId="1669995">
    <w:abstractNumId w:val="30"/>
  </w:num>
  <w:num w:numId="25" w16cid:durableId="965695596">
    <w:abstractNumId w:val="4"/>
  </w:num>
  <w:num w:numId="26" w16cid:durableId="331496830">
    <w:abstractNumId w:val="23"/>
  </w:num>
  <w:num w:numId="27" w16cid:durableId="1873108183">
    <w:abstractNumId w:val="28"/>
  </w:num>
  <w:num w:numId="28" w16cid:durableId="1314724292">
    <w:abstractNumId w:val="26"/>
  </w:num>
  <w:num w:numId="29" w16cid:durableId="1207374101">
    <w:abstractNumId w:val="10"/>
  </w:num>
  <w:num w:numId="30" w16cid:durableId="810245180">
    <w:abstractNumId w:val="14"/>
  </w:num>
  <w:num w:numId="31" w16cid:durableId="1016810647">
    <w:abstractNumId w:val="13"/>
  </w:num>
  <w:num w:numId="32" w16cid:durableId="2025472070">
    <w:abstractNumId w:val="22"/>
  </w:num>
  <w:num w:numId="33" w16cid:durableId="318460766">
    <w:abstractNumId w:val="0"/>
  </w:num>
  <w:num w:numId="34" w16cid:durableId="284506300">
    <w:abstractNumId w:val="35"/>
  </w:num>
  <w:num w:numId="35" w16cid:durableId="59764430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76907175">
    <w:abstractNumId w:val="37"/>
  </w:num>
  <w:num w:numId="37" w16cid:durableId="512845978">
    <w:abstractNumId w:val="15"/>
  </w:num>
  <w:num w:numId="38" w16cid:durableId="2131706758">
    <w:abstractNumId w:val="2"/>
  </w:num>
  <w:num w:numId="39" w16cid:durableId="953898552">
    <w:abstractNumId w:val="11"/>
  </w:num>
  <w:num w:numId="40" w16cid:durableId="1555199226">
    <w:abstractNumId w:val="19"/>
  </w:num>
  <w:num w:numId="41" w16cid:durableId="276793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B52"/>
    <w:rsid w:val="0003073C"/>
    <w:rsid w:val="00035337"/>
    <w:rsid w:val="00054071"/>
    <w:rsid w:val="0006126D"/>
    <w:rsid w:val="00067F57"/>
    <w:rsid w:val="00071BEC"/>
    <w:rsid w:val="00074514"/>
    <w:rsid w:val="000832D4"/>
    <w:rsid w:val="00090160"/>
    <w:rsid w:val="000B3E7E"/>
    <w:rsid w:val="000D223C"/>
    <w:rsid w:val="000E0836"/>
    <w:rsid w:val="000E4006"/>
    <w:rsid w:val="000F1E3A"/>
    <w:rsid w:val="0011198B"/>
    <w:rsid w:val="00133BE1"/>
    <w:rsid w:val="00164E99"/>
    <w:rsid w:val="00164F17"/>
    <w:rsid w:val="0018043E"/>
    <w:rsid w:val="001817B1"/>
    <w:rsid w:val="001825BE"/>
    <w:rsid w:val="00183723"/>
    <w:rsid w:val="00183CC8"/>
    <w:rsid w:val="00187E9B"/>
    <w:rsid w:val="001927C2"/>
    <w:rsid w:val="001A4DCD"/>
    <w:rsid w:val="001B1D12"/>
    <w:rsid w:val="001D526D"/>
    <w:rsid w:val="001F32A3"/>
    <w:rsid w:val="00203092"/>
    <w:rsid w:val="00210C13"/>
    <w:rsid w:val="002208C0"/>
    <w:rsid w:val="00224C06"/>
    <w:rsid w:val="00250165"/>
    <w:rsid w:val="0025687C"/>
    <w:rsid w:val="00274A48"/>
    <w:rsid w:val="002906A8"/>
    <w:rsid w:val="00291CCC"/>
    <w:rsid w:val="002A2A0D"/>
    <w:rsid w:val="002A6415"/>
    <w:rsid w:val="002A7C38"/>
    <w:rsid w:val="002B025E"/>
    <w:rsid w:val="002B3D31"/>
    <w:rsid w:val="002B7B7C"/>
    <w:rsid w:val="002C1126"/>
    <w:rsid w:val="002C2BF2"/>
    <w:rsid w:val="002C7EF6"/>
    <w:rsid w:val="002D4924"/>
    <w:rsid w:val="002E7E17"/>
    <w:rsid w:val="002F4756"/>
    <w:rsid w:val="00302509"/>
    <w:rsid w:val="003049C5"/>
    <w:rsid w:val="003147CB"/>
    <w:rsid w:val="003303BF"/>
    <w:rsid w:val="00340C00"/>
    <w:rsid w:val="00365A17"/>
    <w:rsid w:val="003702D1"/>
    <w:rsid w:val="00373FAD"/>
    <w:rsid w:val="003777B5"/>
    <w:rsid w:val="003832E7"/>
    <w:rsid w:val="003A20A0"/>
    <w:rsid w:val="003A58B0"/>
    <w:rsid w:val="003B7992"/>
    <w:rsid w:val="003C55EE"/>
    <w:rsid w:val="003C65CD"/>
    <w:rsid w:val="003C75D3"/>
    <w:rsid w:val="00400DFC"/>
    <w:rsid w:val="00412DC6"/>
    <w:rsid w:val="00416D5D"/>
    <w:rsid w:val="00425009"/>
    <w:rsid w:val="004377B0"/>
    <w:rsid w:val="004418E0"/>
    <w:rsid w:val="00461DA2"/>
    <w:rsid w:val="00472C81"/>
    <w:rsid w:val="00475032"/>
    <w:rsid w:val="004859EF"/>
    <w:rsid w:val="004877E0"/>
    <w:rsid w:val="004D16B9"/>
    <w:rsid w:val="004D38C1"/>
    <w:rsid w:val="004E0D87"/>
    <w:rsid w:val="00511EC2"/>
    <w:rsid w:val="005164F5"/>
    <w:rsid w:val="0052560F"/>
    <w:rsid w:val="00540270"/>
    <w:rsid w:val="005666F2"/>
    <w:rsid w:val="00572064"/>
    <w:rsid w:val="00584369"/>
    <w:rsid w:val="00587A35"/>
    <w:rsid w:val="005C6D0B"/>
    <w:rsid w:val="005D2089"/>
    <w:rsid w:val="005D5547"/>
    <w:rsid w:val="005E27C0"/>
    <w:rsid w:val="005E6001"/>
    <w:rsid w:val="005F4693"/>
    <w:rsid w:val="00622B63"/>
    <w:rsid w:val="00623602"/>
    <w:rsid w:val="00623F04"/>
    <w:rsid w:val="0064279A"/>
    <w:rsid w:val="00651854"/>
    <w:rsid w:val="00651C98"/>
    <w:rsid w:val="00654E37"/>
    <w:rsid w:val="006555EE"/>
    <w:rsid w:val="006A1257"/>
    <w:rsid w:val="006A5D23"/>
    <w:rsid w:val="006C1BF7"/>
    <w:rsid w:val="006D4B3F"/>
    <w:rsid w:val="006D7392"/>
    <w:rsid w:val="006E23FA"/>
    <w:rsid w:val="006E3D58"/>
    <w:rsid w:val="00704EE5"/>
    <w:rsid w:val="00705A4E"/>
    <w:rsid w:val="007066E2"/>
    <w:rsid w:val="007137C4"/>
    <w:rsid w:val="00717922"/>
    <w:rsid w:val="0072241F"/>
    <w:rsid w:val="00722640"/>
    <w:rsid w:val="0073197E"/>
    <w:rsid w:val="00746080"/>
    <w:rsid w:val="007508EC"/>
    <w:rsid w:val="00772B57"/>
    <w:rsid w:val="00781D04"/>
    <w:rsid w:val="00792C2F"/>
    <w:rsid w:val="007A7622"/>
    <w:rsid w:val="007B16DF"/>
    <w:rsid w:val="007C2D45"/>
    <w:rsid w:val="007C35E1"/>
    <w:rsid w:val="007D3E53"/>
    <w:rsid w:val="007F49EB"/>
    <w:rsid w:val="00805FDA"/>
    <w:rsid w:val="00812C1B"/>
    <w:rsid w:val="008173B1"/>
    <w:rsid w:val="0082581E"/>
    <w:rsid w:val="00835AD0"/>
    <w:rsid w:val="00841787"/>
    <w:rsid w:val="00866AA3"/>
    <w:rsid w:val="00872B31"/>
    <w:rsid w:val="008747B3"/>
    <w:rsid w:val="00876E56"/>
    <w:rsid w:val="008813C3"/>
    <w:rsid w:val="008926F0"/>
    <w:rsid w:val="008964E8"/>
    <w:rsid w:val="008975CF"/>
    <w:rsid w:val="008A48F6"/>
    <w:rsid w:val="008C5C31"/>
    <w:rsid w:val="008E6045"/>
    <w:rsid w:val="0090113B"/>
    <w:rsid w:val="00904935"/>
    <w:rsid w:val="00916A6C"/>
    <w:rsid w:val="0091701F"/>
    <w:rsid w:val="0093258A"/>
    <w:rsid w:val="0094373C"/>
    <w:rsid w:val="00946DEE"/>
    <w:rsid w:val="00951E2B"/>
    <w:rsid w:val="00952939"/>
    <w:rsid w:val="00961EA0"/>
    <w:rsid w:val="00973841"/>
    <w:rsid w:val="009819CE"/>
    <w:rsid w:val="00997C54"/>
    <w:rsid w:val="009A02D9"/>
    <w:rsid w:val="009A5C44"/>
    <w:rsid w:val="009B03AF"/>
    <w:rsid w:val="009C4216"/>
    <w:rsid w:val="009D5F4B"/>
    <w:rsid w:val="009E626E"/>
    <w:rsid w:val="009E7CBF"/>
    <w:rsid w:val="00A07077"/>
    <w:rsid w:val="00A133A2"/>
    <w:rsid w:val="00A25E22"/>
    <w:rsid w:val="00A50DD0"/>
    <w:rsid w:val="00A516B0"/>
    <w:rsid w:val="00A5332F"/>
    <w:rsid w:val="00A5620A"/>
    <w:rsid w:val="00AA06D9"/>
    <w:rsid w:val="00AA10E5"/>
    <w:rsid w:val="00AB251C"/>
    <w:rsid w:val="00AB6C19"/>
    <w:rsid w:val="00AC2406"/>
    <w:rsid w:val="00AD3FCF"/>
    <w:rsid w:val="00AD53AC"/>
    <w:rsid w:val="00AE0B28"/>
    <w:rsid w:val="00AF3402"/>
    <w:rsid w:val="00B03802"/>
    <w:rsid w:val="00B069AA"/>
    <w:rsid w:val="00B23A36"/>
    <w:rsid w:val="00B25576"/>
    <w:rsid w:val="00B25EF5"/>
    <w:rsid w:val="00B26486"/>
    <w:rsid w:val="00B43101"/>
    <w:rsid w:val="00B43496"/>
    <w:rsid w:val="00B50EB2"/>
    <w:rsid w:val="00B6722A"/>
    <w:rsid w:val="00B82D78"/>
    <w:rsid w:val="00BA434C"/>
    <w:rsid w:val="00BD4F65"/>
    <w:rsid w:val="00BD5BBC"/>
    <w:rsid w:val="00BD7607"/>
    <w:rsid w:val="00C06F9E"/>
    <w:rsid w:val="00C13E6B"/>
    <w:rsid w:val="00C2370B"/>
    <w:rsid w:val="00C27193"/>
    <w:rsid w:val="00C624D5"/>
    <w:rsid w:val="00C652C2"/>
    <w:rsid w:val="00C71711"/>
    <w:rsid w:val="00C848A0"/>
    <w:rsid w:val="00C84B7A"/>
    <w:rsid w:val="00C859E5"/>
    <w:rsid w:val="00C878C5"/>
    <w:rsid w:val="00C96AEA"/>
    <w:rsid w:val="00CB2B2D"/>
    <w:rsid w:val="00CC0B6D"/>
    <w:rsid w:val="00CC5659"/>
    <w:rsid w:val="00CD01B4"/>
    <w:rsid w:val="00CD64F6"/>
    <w:rsid w:val="00CE1CD3"/>
    <w:rsid w:val="00CE4F01"/>
    <w:rsid w:val="00D256EC"/>
    <w:rsid w:val="00D25EE1"/>
    <w:rsid w:val="00D30F16"/>
    <w:rsid w:val="00D33007"/>
    <w:rsid w:val="00D55546"/>
    <w:rsid w:val="00D57E8C"/>
    <w:rsid w:val="00D6213C"/>
    <w:rsid w:val="00D647C0"/>
    <w:rsid w:val="00D77124"/>
    <w:rsid w:val="00D77694"/>
    <w:rsid w:val="00D77B0F"/>
    <w:rsid w:val="00D83434"/>
    <w:rsid w:val="00D92E4C"/>
    <w:rsid w:val="00DA6F9C"/>
    <w:rsid w:val="00DB6B52"/>
    <w:rsid w:val="00DC2889"/>
    <w:rsid w:val="00DC489D"/>
    <w:rsid w:val="00DC510C"/>
    <w:rsid w:val="00DC54F7"/>
    <w:rsid w:val="00DD3327"/>
    <w:rsid w:val="00DD435A"/>
    <w:rsid w:val="00DE5488"/>
    <w:rsid w:val="00DE75AC"/>
    <w:rsid w:val="00DF5A52"/>
    <w:rsid w:val="00E1188D"/>
    <w:rsid w:val="00E17C58"/>
    <w:rsid w:val="00E231C2"/>
    <w:rsid w:val="00E429DA"/>
    <w:rsid w:val="00E616AB"/>
    <w:rsid w:val="00E62C2A"/>
    <w:rsid w:val="00E8586E"/>
    <w:rsid w:val="00E86F26"/>
    <w:rsid w:val="00E96A06"/>
    <w:rsid w:val="00EA0919"/>
    <w:rsid w:val="00EB5240"/>
    <w:rsid w:val="00EC0B55"/>
    <w:rsid w:val="00EC6D85"/>
    <w:rsid w:val="00ED6C6C"/>
    <w:rsid w:val="00EE3753"/>
    <w:rsid w:val="00EF7C4D"/>
    <w:rsid w:val="00EF7FE0"/>
    <w:rsid w:val="00F034BF"/>
    <w:rsid w:val="00F233A3"/>
    <w:rsid w:val="00F23D7A"/>
    <w:rsid w:val="00F25F66"/>
    <w:rsid w:val="00F26D30"/>
    <w:rsid w:val="00F36E2F"/>
    <w:rsid w:val="00F57152"/>
    <w:rsid w:val="00F7362C"/>
    <w:rsid w:val="00F92F61"/>
    <w:rsid w:val="00F93C4D"/>
    <w:rsid w:val="00FB6F10"/>
    <w:rsid w:val="00FC4CF8"/>
    <w:rsid w:val="00FC5DA7"/>
    <w:rsid w:val="00FC75C2"/>
    <w:rsid w:val="3EBEA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C68ED5"/>
  <w15:docId w15:val="{9B140FE6-257D-48D2-A8C2-31077FD8A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2064"/>
    <w:pPr>
      <w:ind w:left="720"/>
      <w:contextualSpacing/>
    </w:pPr>
  </w:style>
  <w:style w:type="paragraph" w:customStyle="1" w:styleId="Default">
    <w:name w:val="Default"/>
    <w:rsid w:val="00A070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0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2D1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B82D7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B82D7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aption">
    <w:name w:val="caption"/>
    <w:basedOn w:val="Normal"/>
    <w:next w:val="Normal"/>
    <w:qFormat/>
    <w:rsid w:val="00B82D78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92F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2F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2F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2F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2F61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DE7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7712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77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124"/>
  </w:style>
  <w:style w:type="paragraph" w:styleId="FootnoteText">
    <w:name w:val="footnote text"/>
    <w:basedOn w:val="Normal"/>
    <w:link w:val="FootnoteTextChar"/>
    <w:uiPriority w:val="99"/>
    <w:semiHidden/>
    <w:unhideWhenUsed/>
    <w:rsid w:val="005D2089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D2089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5D2089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DC510C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unhideWhenUsed/>
    <w:rsid w:val="004D38C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EF994162927F4EBBA0833824D20125" ma:contentTypeVersion="34" ma:contentTypeDescription="Create a new document." ma:contentTypeScope="" ma:versionID="e5005968cf9a4ef33b49241b6c0cb690">
  <xsd:schema xmlns:xsd="http://www.w3.org/2001/XMLSchema" xmlns:xs="http://www.w3.org/2001/XMLSchema" xmlns:p="http://schemas.microsoft.com/office/2006/metadata/properties" xmlns:ns2="8367ee9a-2bad-4275-a510-c35595ceaaf6" xmlns:ns3="01471336-afb1-4cde-a276-2d6acc6bcfc0" targetNamespace="http://schemas.microsoft.com/office/2006/metadata/properties" ma:root="true" ma:fieldsID="6ad9016cf60c9cb2bdb94d2628fc2918" ns2:_="" ns3:_="">
    <xsd:import namespace="8367ee9a-2bad-4275-a510-c35595ceaaf6"/>
    <xsd:import namespace="01471336-afb1-4cde-a276-2d6acc6bcfc0"/>
    <xsd:element name="properties">
      <xsd:complexType>
        <xsd:sequence>
          <xsd:element name="documentManagement">
            <xsd:complexType>
              <xsd:all>
                <xsd:element ref="ns2:Case_x0020_Manager" minOccurs="0"/>
                <xsd:element ref="ns2:Mechanism" minOccurs="0"/>
                <xsd:element ref="ns2:Mechanisim" minOccurs="0"/>
                <xsd:element ref="ns2:Hearing_x0020_Authority" minOccurs="0"/>
                <xsd:element ref="ns2:Rate_x0020_Zones" minOccurs="0"/>
                <xsd:element ref="ns2:Legal_x0020_Counsel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Metadata" minOccurs="0"/>
                <xsd:element ref="ns2:Tranche_x0020_Number" minOccurs="0"/>
                <xsd:element ref="ns2:_Flow_SignoffStatus" minOccurs="0"/>
                <xsd:element ref="ns2:JessySerra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7ee9a-2bad-4275-a510-c35595ceaaf6" elementFormDefault="qualified">
    <xsd:import namespace="http://schemas.microsoft.com/office/2006/documentManagement/types"/>
    <xsd:import namespace="http://schemas.microsoft.com/office/infopath/2007/PartnerControls"/>
    <xsd:element name="Case_x0020_Manager" ma:index="3" nillable="true" ma:displayName="Case Manager" ma:format="Dropdown" ma:internalName="Case_x0020_Manag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Wolly Bibiresanmi"/>
                    <xsd:enumeration value="Yaroslav Paliy"/>
                    <xsd:enumeration value="Urooj Iqbal"/>
                    <xsd:enumeration value="Kelli Benincasa"/>
                    <xsd:enumeration value="Lizzie Zhang"/>
                    <xsd:enumeration value="Hatem Hassan"/>
                    <xsd:enumeration value="Abla Nur"/>
                    <xsd:enumeration value="Iris Qi"/>
                    <xsd:enumeration value="Harshleen Kaur"/>
                    <xsd:enumeration value="Muzammel Hussain"/>
                    <xsd:enumeration value="Tina Zhu"/>
                    <xsd:enumeration value="Adam Hafejee"/>
                    <xsd:enumeration value="Analyst 2"/>
                    <xsd:enumeration value="Andrew Frank"/>
                    <xsd:enumeration value="Arlene Bernardo"/>
                    <xsd:enumeration value="Ashley Sanasie"/>
                    <xsd:enumeration value="Cecilia Wang"/>
                    <xsd:enumeration value="David Xing"/>
                    <xsd:enumeration value="Mariana Svistun"/>
                    <xsd:enumeration value="Marly Augustine"/>
                    <xsd:enumeration value="Michael Bell"/>
                    <xsd:enumeration value="Randy Doradat"/>
                    <xsd:enumeration value="Serena Jia"/>
                    <xsd:enumeration value="Stephanie Cheng"/>
                  </xsd:restriction>
                </xsd:simpleType>
              </xsd:element>
            </xsd:sequence>
          </xsd:extension>
        </xsd:complexContent>
      </xsd:complexType>
    </xsd:element>
    <xsd:element name="Mechanism" ma:index="4" nillable="true" ma:displayName="Rate Effective Date" ma:format="Dropdown" ma:internalName="Mechanism" ma:readOnly="false">
      <xsd:simpleType>
        <xsd:restriction base="dms:Choice">
          <xsd:enumeration value="Jan 1"/>
          <xsd:enumeration value="May 1"/>
        </xsd:restriction>
      </xsd:simpleType>
    </xsd:element>
    <xsd:element name="Mechanisim" ma:index="5" nillable="true" ma:displayName="Mechanisim" ma:format="Dropdown" ma:internalName="Mechanisim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rice Cap IR"/>
                    <xsd:enumeration value="Annual IR"/>
                  </xsd:restriction>
                </xsd:simpleType>
              </xsd:element>
            </xsd:sequence>
          </xsd:extension>
        </xsd:complexContent>
      </xsd:complexType>
    </xsd:element>
    <xsd:element name="Hearing_x0020_Authority" ma:index="6" nillable="true" ma:displayName="Hearing Authority" ma:format="Dropdown" ma:hidden="true" ma:internalName="Hearing_x0020_Authority">
      <xsd:simpleType>
        <xsd:restriction base="dms:Choice">
          <xsd:enumeration value="Panel"/>
          <xsd:enumeration value="DA - Darryl Seal"/>
          <xsd:enumeration value="DA - Lawren Murray"/>
          <xsd:enumeration value="DA - Tina Li"/>
          <xsd:enumeration value="DA - Kevin Mancherjee"/>
          <xsd:enumeration value="DA - Ted Antonopoulos"/>
          <xsd:enumeration value="DA - James Sidlofsky"/>
          <xsd:enumeration value="DA - Donald Lau"/>
          <xsd:enumeration value="DA"/>
          <xsd:enumeration value="Panel"/>
        </xsd:restriction>
      </xsd:simpleType>
    </xsd:element>
    <xsd:element name="Rate_x0020_Zones" ma:index="7" nillable="true" ma:displayName="Rate Zones" ma:format="Dropdown" ma:hidden="true" ma:internalName="Rate_x0020_Zones" ma:readOnly="false">
      <xsd:simpleType>
        <xsd:restriction base="dms:Choice">
          <xsd:enumeration value="1"/>
          <xsd:enumeration value="2"/>
          <xsd:enumeration value="5"/>
        </xsd:restriction>
      </xsd:simpleType>
    </xsd:element>
    <xsd:element name="Legal_x0020_Counsel" ma:index="8" nillable="true" ma:displayName="Legal Counsel" ma:format="Dropdown" ma:hidden="true" ma:internalName="Legal_x0020_Counsel" ma:readOnly="false">
      <xsd:simpleType>
        <xsd:restriction base="dms:Choice">
          <xsd:enumeration value="Lawren Murray"/>
          <xsd:enumeration value="James Sidlofsky"/>
          <xsd:enumeration value="Richard Lanni"/>
          <xsd:enumeration value="Ljuba Djurdjevic"/>
          <xsd:enumeration value="Ian Richler"/>
          <xsd:enumeration value="Michael Millar"/>
        </xsd:restriction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6fef157-3fa8-492c-b9fa-e38244047c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Tranche_x0020_Number" ma:index="26" nillable="true" ma:displayName="Tranche #" ma:format="Dropdown" ma:hidden="true" ma:internalName="Tranche_x0020_Number" ma:readOnly="false">
      <xsd:simpleType>
        <xsd:restriction base="dms:Choice">
          <xsd:enumeration value="Tranche #1"/>
          <xsd:enumeration value="Tranche #2"/>
          <xsd:enumeration value="Tranche #3"/>
          <xsd:enumeration value="Tranche #4"/>
        </xsd:restriction>
      </xsd:simpleType>
    </xsd:element>
    <xsd:element name="_Flow_SignoffStatus" ma:index="27" nillable="true" ma:displayName="Sign-off status" ma:internalName="Sign_x002d_off_x0020_status">
      <xsd:simpleType>
        <xsd:restriction base="dms:Text"/>
      </xsd:simpleType>
    </xsd:element>
    <xsd:element name="JessySerrao" ma:index="28" nillable="true" ma:displayName="Regulatory Administrator" ma:format="Dropdown" ma:internalName="JessySerra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71336-afb1-4cde-a276-2d6acc6bcfc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53d9606-52aa-4b94-90db-b9f9f6e02968}" ma:internalName="TaxCatchAll" ma:readOnly="false" ma:showField="CatchAllData" ma:web="01471336-afb1-4cde-a276-2d6acc6bcf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ranche_x0020_Number xmlns="8367ee9a-2bad-4275-a510-c35595ceaaf6" xsi:nil="true"/>
    <TaxCatchAll xmlns="01471336-afb1-4cde-a276-2d6acc6bcfc0" xsi:nil="true"/>
    <Hearing_x0020_Authority xmlns="8367ee9a-2bad-4275-a510-c35595ceaaf6" xsi:nil="true"/>
    <JessySerrao xmlns="8367ee9a-2bad-4275-a510-c35595ceaaf6" xsi:nil="true"/>
    <lcf76f155ced4ddcb4097134ff3c332f xmlns="8367ee9a-2bad-4275-a510-c35595ceaaf6">
      <Terms xmlns="http://schemas.microsoft.com/office/infopath/2007/PartnerControls"/>
    </lcf76f155ced4ddcb4097134ff3c332f>
    <Rate_x0020_Zones xmlns="8367ee9a-2bad-4275-a510-c35595ceaaf6" xsi:nil="true"/>
    <_Flow_SignoffStatus xmlns="8367ee9a-2bad-4275-a510-c35595ceaaf6" xsi:nil="true"/>
    <Mechanisim xmlns="8367ee9a-2bad-4275-a510-c35595ceaaf6" xsi:nil="true"/>
    <Legal_x0020_Counsel xmlns="8367ee9a-2bad-4275-a510-c35595ceaaf6" xsi:nil="true"/>
    <Case_x0020_Manager xmlns="8367ee9a-2bad-4275-a510-c35595ceaaf6" xsi:nil="true"/>
    <Mechanism xmlns="8367ee9a-2bad-4275-a510-c35595ceaaf6" xsi:nil="true"/>
  </documentManagement>
</p:properties>
</file>

<file path=customXml/itemProps1.xml><?xml version="1.0" encoding="utf-8"?>
<ds:datastoreItem xmlns:ds="http://schemas.openxmlformats.org/officeDocument/2006/customXml" ds:itemID="{DC4C02FF-8D9F-4259-A654-5A13F2946C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9AFD81-726F-4179-95C6-36BE5E7ACE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67ee9a-2bad-4275-a510-c35595ceaaf6"/>
    <ds:schemaRef ds:uri="01471336-afb1-4cde-a276-2d6acc6bcf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EFD318-E47C-4F5B-9EEC-F73DF3D934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9AE022-1F3D-4E97-BCFE-C9C1D4A2716A}">
  <ds:schemaRefs>
    <ds:schemaRef ds:uri="http://schemas.microsoft.com/office/2006/metadata/properties"/>
    <ds:schemaRef ds:uri="http://schemas.microsoft.com/office/infopath/2007/PartnerControls"/>
    <ds:schemaRef ds:uri="8367ee9a-2bad-4275-a510-c35595ceaaf6"/>
    <ds:schemaRef ds:uri="http://schemas.openxmlformats.org/package/2006/metadata/core-properties"/>
    <ds:schemaRef ds:uri="01471336-afb1-4cde-a276-2d6acc6bcfc0"/>
    <ds:schemaRef ds:uri="http://schemas.microsoft.com/office/2006/documentManagement/types"/>
    <ds:schemaRef ds:uri="http://purl.org/dc/terms/"/>
    <ds:schemaRef ds:uri="http://purl.org/dc/dcmitype/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632</Words>
  <Characters>3394</Characters>
  <Application>Microsoft Office Word</Application>
  <DocSecurity>0</DocSecurity>
  <Lines>96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IRM - OEB Staff Questions NO cover letter - Delegated Authority</vt:lpstr>
    </vt:vector>
  </TitlesOfParts>
  <Company>OEB</Company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IRM - OEB Staff Questions NO cover letter - Delegated Authority</dc:title>
  <dc:creator>OEB</dc:creator>
  <cp:lastModifiedBy>Harshleen Kaur</cp:lastModifiedBy>
  <cp:revision>3</cp:revision>
  <cp:lastPrinted>2014-09-29T14:43:00Z</cp:lastPrinted>
  <dcterms:created xsi:type="dcterms:W3CDTF">2025-09-29T14:05:00Z</dcterms:created>
  <dcterms:modified xsi:type="dcterms:W3CDTF">2025-09-29T15:04:00Z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0x01010051EF994162927F4EBBA0833824D20125</vt:lpwstr>
  </property>
  <property fmtid="{D5CDD505-2E9C-101B-9397-08002B2CF9AE}" pid="3" name="Order">
    <vt:r8>8500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