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3963" w14:textId="7217946C" w:rsidR="00BB0628" w:rsidRDefault="00BB0628" w:rsidP="00E419D3">
      <w:pPr>
        <w:pStyle w:val="BodyText"/>
        <w:jc w:val="both"/>
        <w:rPr>
          <w:sz w:val="26"/>
        </w:rPr>
      </w:pPr>
    </w:p>
    <w:p w14:paraId="77D0E22F" w14:textId="77777777" w:rsidR="00E419D3" w:rsidRDefault="00E419D3" w:rsidP="00E419D3">
      <w:pPr>
        <w:pStyle w:val="BodyText"/>
        <w:spacing w:before="93"/>
        <w:ind w:left="119" w:right="-421"/>
        <w:jc w:val="both"/>
      </w:pPr>
    </w:p>
    <w:p w14:paraId="4CF21BBA" w14:textId="77777777" w:rsidR="00E419D3" w:rsidRPr="00E419D3" w:rsidRDefault="00E419D3" w:rsidP="00E419D3">
      <w:pPr>
        <w:pStyle w:val="BodyText"/>
        <w:spacing w:before="93"/>
        <w:ind w:left="119" w:right="-421"/>
        <w:jc w:val="both"/>
        <w:rPr>
          <w:lang w:val="en-CA"/>
        </w:rPr>
      </w:pPr>
    </w:p>
    <w:p w14:paraId="7F1E9B36" w14:textId="0FC26C3A" w:rsidR="00E419D3" w:rsidRPr="00E419D3" w:rsidRDefault="00E419D3" w:rsidP="00E419D3">
      <w:pPr>
        <w:pStyle w:val="BodyText"/>
        <w:spacing w:before="93"/>
        <w:ind w:left="119" w:right="-421"/>
        <w:jc w:val="center"/>
        <w:rPr>
          <w:sz w:val="32"/>
          <w:szCs w:val="32"/>
          <w:lang w:val="en-CA"/>
        </w:rPr>
      </w:pPr>
      <w:r w:rsidRPr="00E419D3">
        <w:rPr>
          <w:b/>
          <w:bCs/>
          <w:sz w:val="32"/>
          <w:szCs w:val="32"/>
          <w:lang w:val="en-CA"/>
        </w:rPr>
        <w:t>Hydro Hawkesbury Inc.</w:t>
      </w:r>
    </w:p>
    <w:p w14:paraId="5435755B" w14:textId="0B3EBBF8" w:rsidR="00E419D3" w:rsidRPr="00E419D3" w:rsidRDefault="0027054A" w:rsidP="00E419D3">
      <w:pPr>
        <w:pStyle w:val="BodyText"/>
        <w:spacing w:before="93"/>
        <w:ind w:left="119" w:right="-421"/>
        <w:jc w:val="center"/>
        <w:rPr>
          <w:sz w:val="32"/>
          <w:szCs w:val="32"/>
          <w:lang w:val="en-CA"/>
        </w:rPr>
      </w:pPr>
      <w:r>
        <w:rPr>
          <w:b/>
          <w:bCs/>
          <w:sz w:val="32"/>
          <w:szCs w:val="32"/>
          <w:lang w:val="en-CA"/>
        </w:rPr>
        <w:t xml:space="preserve">Response to </w:t>
      </w:r>
      <w:r w:rsidR="00E419D3" w:rsidRPr="00E419D3">
        <w:rPr>
          <w:b/>
          <w:bCs/>
          <w:sz w:val="32"/>
          <w:szCs w:val="32"/>
          <w:lang w:val="en-CA"/>
        </w:rPr>
        <w:t>OEB Staff Questions</w:t>
      </w:r>
    </w:p>
    <w:p w14:paraId="530804AD" w14:textId="21E3FEF3" w:rsidR="00E419D3" w:rsidRPr="00E419D3" w:rsidRDefault="00E419D3" w:rsidP="00E419D3">
      <w:pPr>
        <w:pStyle w:val="BodyText"/>
        <w:spacing w:before="93"/>
        <w:ind w:left="119" w:right="-421"/>
        <w:jc w:val="center"/>
        <w:rPr>
          <w:sz w:val="32"/>
          <w:szCs w:val="32"/>
        </w:rPr>
      </w:pPr>
      <w:r w:rsidRPr="00E419D3">
        <w:rPr>
          <w:b/>
          <w:bCs/>
          <w:sz w:val="32"/>
          <w:szCs w:val="32"/>
          <w:lang w:val="en-CA"/>
        </w:rPr>
        <w:t>EB-2025-0031</w:t>
      </w:r>
    </w:p>
    <w:p w14:paraId="1D73A874" w14:textId="77777777" w:rsidR="00E419D3" w:rsidRDefault="00E419D3" w:rsidP="00E419D3">
      <w:pPr>
        <w:pStyle w:val="BodyText"/>
        <w:spacing w:before="93"/>
        <w:ind w:left="119" w:right="-421"/>
        <w:jc w:val="both"/>
      </w:pPr>
    </w:p>
    <w:p w14:paraId="79FBB5C1" w14:textId="1C3E4F44" w:rsidR="00E419D3" w:rsidRDefault="00E419D3" w:rsidP="00E419D3">
      <w:pPr>
        <w:pStyle w:val="BodyText"/>
        <w:spacing w:before="93"/>
        <w:ind w:right="-421"/>
        <w:jc w:val="both"/>
      </w:pPr>
      <w:r>
        <w:t xml:space="preserve">Please note, Hydro Hawkesbury Inc. (Hydro Hawkesbury) is responsible for ensuring that all documents it files with the OEB, including responses to OEB staff questions and any other supporting documentation, do not include personal information (as that phrase is defined in the </w:t>
      </w:r>
      <w:r>
        <w:rPr>
          <w:i/>
        </w:rPr>
        <w:t>Freedom of Information and Protection of Privacy Act</w:t>
      </w:r>
      <w:r>
        <w:t xml:space="preserve">), unless filed in accordance with rule 9A of the OEB’s </w:t>
      </w:r>
      <w:r>
        <w:rPr>
          <w:i/>
        </w:rPr>
        <w:t>Rules of Practice and Procedure</w:t>
      </w:r>
      <w:r>
        <w:t>.</w:t>
      </w:r>
    </w:p>
    <w:p w14:paraId="4878ACCA" w14:textId="77777777" w:rsidR="00E419D3" w:rsidRDefault="00E419D3" w:rsidP="00E419D3">
      <w:pPr>
        <w:pStyle w:val="BodyText"/>
        <w:spacing w:before="11"/>
        <w:ind w:right="-421"/>
        <w:jc w:val="both"/>
        <w:rPr>
          <w:sz w:val="22"/>
        </w:rPr>
      </w:pPr>
    </w:p>
    <w:p w14:paraId="5889AF00" w14:textId="77777777" w:rsidR="00E419D3" w:rsidRDefault="00E419D3" w:rsidP="00E419D3">
      <w:pPr>
        <w:pStyle w:val="Heading1"/>
        <w:ind w:left="0" w:right="-421"/>
        <w:jc w:val="both"/>
      </w:pPr>
      <w:r>
        <w:t>Staff Question-1</w:t>
      </w:r>
    </w:p>
    <w:p w14:paraId="350B893D" w14:textId="77777777" w:rsidR="00E419D3" w:rsidRDefault="00E419D3" w:rsidP="00E419D3">
      <w:pPr>
        <w:pStyle w:val="BodyText"/>
        <w:ind w:right="-421"/>
        <w:jc w:val="both"/>
        <w:rPr>
          <w:b/>
        </w:rPr>
      </w:pPr>
    </w:p>
    <w:p w14:paraId="169CB4C4" w14:textId="77777777" w:rsidR="00E419D3" w:rsidRDefault="00E419D3" w:rsidP="00E419D3">
      <w:pPr>
        <w:pStyle w:val="BodyText"/>
        <w:ind w:right="-421"/>
        <w:jc w:val="both"/>
      </w:pPr>
      <w:r>
        <w:rPr>
          <w:b/>
        </w:rPr>
        <w:t xml:space="preserve">Ref: </w:t>
      </w:r>
      <w:r>
        <w:t>EB-2025-0031, 2026 IRM Rate Generator Model, Tab 3, Continuity Schedule</w:t>
      </w:r>
    </w:p>
    <w:p w14:paraId="14CF813F" w14:textId="77777777" w:rsidR="00E419D3" w:rsidRDefault="00E419D3" w:rsidP="00E419D3">
      <w:pPr>
        <w:pStyle w:val="BodyText"/>
        <w:ind w:right="-421"/>
        <w:jc w:val="both"/>
        <w:rPr>
          <w:sz w:val="29"/>
        </w:rPr>
      </w:pPr>
    </w:p>
    <w:p w14:paraId="779E10A5" w14:textId="77777777" w:rsidR="00E419D3" w:rsidRDefault="00E419D3" w:rsidP="00E419D3">
      <w:pPr>
        <w:pStyle w:val="Heading1"/>
        <w:ind w:left="0" w:right="-421"/>
        <w:jc w:val="both"/>
      </w:pPr>
      <w:r>
        <w:t>Preamble:</w:t>
      </w:r>
    </w:p>
    <w:p w14:paraId="05F18414" w14:textId="77777777" w:rsidR="00E419D3" w:rsidRDefault="00E419D3" w:rsidP="00E419D3">
      <w:pPr>
        <w:pStyle w:val="BodyText"/>
        <w:spacing w:before="40" w:line="276" w:lineRule="auto"/>
        <w:ind w:right="-421"/>
        <w:jc w:val="both"/>
      </w:pPr>
      <w:r>
        <w:t>On September 11, 2025, the OEB published the 2025 Quarter 4 prescribed accounting interest rates applicable to the carrying charges of deferral, variance and construction work in progress (CWIP) accounts of natural gas utilities, electricity distributors and other rate-regulated entities.</w:t>
      </w:r>
    </w:p>
    <w:p w14:paraId="1D64A9BE" w14:textId="77777777" w:rsidR="00E419D3" w:rsidRDefault="00E419D3" w:rsidP="00E419D3">
      <w:pPr>
        <w:pStyle w:val="BodyText"/>
        <w:spacing w:before="2"/>
        <w:ind w:right="-421"/>
        <w:jc w:val="both"/>
        <w:rPr>
          <w:sz w:val="25"/>
        </w:rPr>
      </w:pPr>
    </w:p>
    <w:p w14:paraId="39D09386" w14:textId="77777777" w:rsidR="00E419D3" w:rsidRDefault="00E419D3" w:rsidP="00E419D3">
      <w:pPr>
        <w:pStyle w:val="Heading1"/>
        <w:spacing w:before="1"/>
        <w:ind w:left="0" w:right="-421"/>
        <w:jc w:val="both"/>
      </w:pPr>
      <w:r>
        <w:t>Question(s):</w:t>
      </w:r>
    </w:p>
    <w:p w14:paraId="11B849AF" w14:textId="77777777" w:rsidR="00E419D3" w:rsidRDefault="00E419D3" w:rsidP="00E419D3">
      <w:pPr>
        <w:pStyle w:val="ListParagraph"/>
        <w:numPr>
          <w:ilvl w:val="0"/>
          <w:numId w:val="4"/>
        </w:numPr>
        <w:tabs>
          <w:tab w:val="left" w:pos="550"/>
        </w:tabs>
        <w:spacing w:before="43" w:line="276" w:lineRule="auto"/>
        <w:ind w:left="0" w:right="-421"/>
        <w:jc w:val="both"/>
        <w:rPr>
          <w:sz w:val="24"/>
        </w:rPr>
      </w:pPr>
      <w:r>
        <w:rPr>
          <w:sz w:val="24"/>
        </w:rPr>
        <w:t>Please confirm that Tab 3 (Continuity Schedule) reflects the Q4 2025 OEB- prescribed interest rate of 2.91%. If not, please update Tab 3, as</w:t>
      </w:r>
      <w:r>
        <w:rPr>
          <w:spacing w:val="-34"/>
          <w:sz w:val="24"/>
        </w:rPr>
        <w:t xml:space="preserve"> </w:t>
      </w:r>
      <w:r>
        <w:rPr>
          <w:sz w:val="24"/>
        </w:rPr>
        <w:t>necessary.</w:t>
      </w:r>
    </w:p>
    <w:p w14:paraId="65EF756B" w14:textId="77777777" w:rsidR="00E419D3" w:rsidRDefault="00E419D3" w:rsidP="00E419D3">
      <w:pPr>
        <w:pStyle w:val="BodyText"/>
        <w:ind w:right="-421"/>
        <w:jc w:val="both"/>
        <w:rPr>
          <w:sz w:val="26"/>
        </w:rPr>
      </w:pPr>
    </w:p>
    <w:p w14:paraId="74E789BA" w14:textId="18538680" w:rsidR="00484711" w:rsidRPr="0020048F" w:rsidRDefault="00484711" w:rsidP="0020048F">
      <w:pPr>
        <w:pStyle w:val="BodyText"/>
        <w:jc w:val="both"/>
        <w:rPr>
          <w:color w:val="0070C0"/>
          <w:szCs w:val="20"/>
        </w:rPr>
      </w:pPr>
      <w:r w:rsidRPr="0020048F">
        <w:rPr>
          <w:color w:val="0070C0"/>
          <w:sz w:val="26"/>
        </w:rPr>
        <w:t xml:space="preserve">Response: </w:t>
      </w:r>
      <w:r w:rsidR="00BD2B3F">
        <w:rPr>
          <w:color w:val="0070C0"/>
          <w:sz w:val="26"/>
        </w:rPr>
        <w:t>(MNP)</w:t>
      </w:r>
      <w:r w:rsidR="0020048F" w:rsidRPr="0020048F">
        <w:rPr>
          <w:color w:val="0070C0"/>
          <w:sz w:val="26"/>
        </w:rPr>
        <w:t>The prescribed interest rate for Q4 is the same as for Q3. The rate of 2.91% was used for the last 6 months of 2025. No changes required.</w:t>
      </w:r>
    </w:p>
    <w:p w14:paraId="611C4F29" w14:textId="77777777" w:rsidR="00E419D3" w:rsidRDefault="00E419D3" w:rsidP="00E419D3">
      <w:pPr>
        <w:pStyle w:val="BodyText"/>
        <w:spacing w:before="7"/>
        <w:ind w:right="-421"/>
        <w:jc w:val="both"/>
        <w:rPr>
          <w:sz w:val="27"/>
        </w:rPr>
      </w:pPr>
    </w:p>
    <w:p w14:paraId="1615B6FB" w14:textId="77777777" w:rsidR="00E419D3" w:rsidRDefault="00E419D3" w:rsidP="00E419D3">
      <w:pPr>
        <w:jc w:val="both"/>
        <w:rPr>
          <w:b/>
          <w:bCs/>
          <w:sz w:val="24"/>
          <w:szCs w:val="24"/>
        </w:rPr>
      </w:pPr>
      <w:r>
        <w:br w:type="page"/>
      </w:r>
    </w:p>
    <w:p w14:paraId="75E8DC79" w14:textId="77777777" w:rsidR="003E70D3" w:rsidRDefault="003E70D3" w:rsidP="00E419D3">
      <w:pPr>
        <w:pStyle w:val="Heading1"/>
        <w:jc w:val="both"/>
      </w:pPr>
    </w:p>
    <w:p w14:paraId="35F714EB" w14:textId="77777777" w:rsidR="003E70D3" w:rsidRDefault="003E70D3" w:rsidP="00E419D3">
      <w:pPr>
        <w:pStyle w:val="Heading1"/>
        <w:jc w:val="both"/>
      </w:pPr>
    </w:p>
    <w:p w14:paraId="3423786D" w14:textId="5AFA7AC1" w:rsidR="00BB0628" w:rsidRDefault="00084610" w:rsidP="00E419D3">
      <w:pPr>
        <w:pStyle w:val="Heading1"/>
        <w:ind w:right="-4471"/>
        <w:jc w:val="both"/>
      </w:pPr>
      <w:r>
        <w:t>Staff Question-2</w:t>
      </w:r>
    </w:p>
    <w:p w14:paraId="4FCFCA95" w14:textId="77777777" w:rsidR="00BB0628" w:rsidRDefault="00BB0628" w:rsidP="00E419D3">
      <w:pPr>
        <w:pStyle w:val="BodyText"/>
        <w:spacing w:before="2"/>
        <w:ind w:right="-4471"/>
        <w:jc w:val="both"/>
        <w:rPr>
          <w:b/>
          <w:sz w:val="31"/>
        </w:rPr>
      </w:pPr>
    </w:p>
    <w:p w14:paraId="719B9FED" w14:textId="77777777" w:rsidR="00BB0628" w:rsidRDefault="00084610" w:rsidP="00E419D3">
      <w:pPr>
        <w:pStyle w:val="BodyText"/>
        <w:spacing w:before="1"/>
        <w:ind w:left="119" w:right="-4471"/>
        <w:jc w:val="both"/>
      </w:pPr>
      <w:r>
        <w:rPr>
          <w:b/>
        </w:rPr>
        <w:t xml:space="preserve">Ref 1: </w:t>
      </w:r>
      <w:r>
        <w:t>EB-2024-0063, OEB Letter, July 26, 2024</w:t>
      </w:r>
    </w:p>
    <w:p w14:paraId="7A533337" w14:textId="77777777" w:rsidR="00BB0628" w:rsidRDefault="00084610" w:rsidP="00E419D3">
      <w:pPr>
        <w:pStyle w:val="BodyText"/>
        <w:spacing w:before="41"/>
        <w:ind w:left="120" w:right="-4471"/>
        <w:jc w:val="both"/>
      </w:pPr>
      <w:r>
        <w:rPr>
          <w:b/>
        </w:rPr>
        <w:t xml:space="preserve">Ref 2: </w:t>
      </w:r>
      <w:r>
        <w:t>EB-2024-0063, OEB Letter, October 31, 2024</w:t>
      </w:r>
    </w:p>
    <w:p w14:paraId="64E0C960" w14:textId="77777777" w:rsidR="00BB0628" w:rsidRDefault="00084610" w:rsidP="00E419D3">
      <w:pPr>
        <w:pStyle w:val="BodyText"/>
        <w:spacing w:before="41"/>
        <w:ind w:left="120" w:right="-4471"/>
        <w:jc w:val="both"/>
      </w:pPr>
      <w:r>
        <w:rPr>
          <w:b/>
        </w:rPr>
        <w:t xml:space="preserve">Ref 3: </w:t>
      </w:r>
      <w:r>
        <w:t>EB-2024-0063, Decision and Order, March 27, 2025, Page 92</w:t>
      </w:r>
    </w:p>
    <w:p w14:paraId="1E9A6695" w14:textId="77777777" w:rsidR="00BB0628" w:rsidRDefault="00084610" w:rsidP="00E419D3">
      <w:pPr>
        <w:pStyle w:val="BodyText"/>
        <w:spacing w:before="43"/>
        <w:ind w:left="120" w:right="-4471"/>
        <w:jc w:val="both"/>
      </w:pPr>
      <w:r>
        <w:rPr>
          <w:b/>
        </w:rPr>
        <w:t>Ref 4</w:t>
      </w:r>
      <w:r>
        <w:t>: EB-2024-0031, Settlement Proposal, December 20, 2024, Page 18</w:t>
      </w:r>
    </w:p>
    <w:p w14:paraId="245E1B87" w14:textId="77777777" w:rsidR="00BB0628" w:rsidRDefault="00BB0628" w:rsidP="00E419D3">
      <w:pPr>
        <w:pStyle w:val="BodyText"/>
        <w:ind w:right="-4471"/>
        <w:jc w:val="both"/>
        <w:rPr>
          <w:sz w:val="31"/>
        </w:rPr>
      </w:pPr>
    </w:p>
    <w:p w14:paraId="4952C2C3" w14:textId="77777777" w:rsidR="00BB0628" w:rsidRDefault="00084610" w:rsidP="00E419D3">
      <w:pPr>
        <w:pStyle w:val="Heading1"/>
        <w:spacing w:before="1"/>
        <w:ind w:right="-4471"/>
        <w:jc w:val="both"/>
      </w:pPr>
      <w:r>
        <w:t>Preamble:</w:t>
      </w:r>
    </w:p>
    <w:p w14:paraId="07069FF0" w14:textId="77777777" w:rsidR="00BB0628" w:rsidRDefault="00084610" w:rsidP="00E419D3">
      <w:pPr>
        <w:pStyle w:val="BodyText"/>
        <w:spacing w:before="41" w:line="276" w:lineRule="auto"/>
        <w:ind w:left="120" w:right="146"/>
        <w:jc w:val="both"/>
      </w:pPr>
      <w:r>
        <w:t>On July 26, 2024, the OEB issued a Letter and Accounting Order establishing a variance account for the deemed short-term debt rate (DSTDR) related to the generic proceeding on cost of capital and other matters.</w:t>
      </w:r>
    </w:p>
    <w:p w14:paraId="24327FA6" w14:textId="77777777" w:rsidR="00BB0628" w:rsidRDefault="00BB0628" w:rsidP="00E419D3">
      <w:pPr>
        <w:pStyle w:val="BodyText"/>
        <w:spacing w:before="7"/>
        <w:ind w:right="146"/>
        <w:jc w:val="both"/>
        <w:rPr>
          <w:sz w:val="27"/>
        </w:rPr>
      </w:pPr>
    </w:p>
    <w:p w14:paraId="4057C564" w14:textId="77777777" w:rsidR="00BB0628" w:rsidRDefault="00084610" w:rsidP="00E419D3">
      <w:pPr>
        <w:pStyle w:val="BodyText"/>
        <w:spacing w:line="278" w:lineRule="auto"/>
        <w:ind w:left="120" w:right="146"/>
        <w:jc w:val="both"/>
      </w:pPr>
      <w:r>
        <w:t>On October 31, 2024, the OEB issued a Letter and Accounting Orders establishing two variance accounts. One is the account regarding the return on equity (ROE) and the</w:t>
      </w:r>
    </w:p>
    <w:p w14:paraId="023C6F1D" w14:textId="77777777" w:rsidR="00BB0628" w:rsidRDefault="00BB0628" w:rsidP="00E419D3">
      <w:pPr>
        <w:pStyle w:val="BodyText"/>
        <w:ind w:right="-4471"/>
        <w:jc w:val="both"/>
        <w:rPr>
          <w:sz w:val="20"/>
        </w:rPr>
      </w:pPr>
    </w:p>
    <w:p w14:paraId="49205150" w14:textId="77777777" w:rsidR="00BB0628" w:rsidRDefault="00BB0628" w:rsidP="00E419D3">
      <w:pPr>
        <w:pStyle w:val="BodyText"/>
        <w:spacing w:before="1"/>
        <w:jc w:val="both"/>
        <w:rPr>
          <w:b/>
          <w:sz w:val="12"/>
        </w:rPr>
      </w:pPr>
    </w:p>
    <w:p w14:paraId="77DC567B" w14:textId="77777777" w:rsidR="00BB0628" w:rsidRDefault="00084610" w:rsidP="00E419D3">
      <w:pPr>
        <w:pStyle w:val="BodyText"/>
        <w:spacing w:before="92" w:line="276" w:lineRule="auto"/>
        <w:ind w:left="100" w:right="141"/>
        <w:jc w:val="both"/>
      </w:pPr>
      <w:r>
        <w:t>other is the account regarding deemed long-term debt rate (DLTDR), both related to the generic proceeding on cost of capital and other matters.</w:t>
      </w:r>
    </w:p>
    <w:p w14:paraId="5AEEA684" w14:textId="77777777" w:rsidR="00BB0628" w:rsidRDefault="00BB0628" w:rsidP="00E419D3">
      <w:pPr>
        <w:pStyle w:val="BodyText"/>
        <w:spacing w:before="6"/>
        <w:jc w:val="both"/>
        <w:rPr>
          <w:sz w:val="27"/>
        </w:rPr>
      </w:pPr>
    </w:p>
    <w:p w14:paraId="1076FD48" w14:textId="77777777" w:rsidR="00BB0628" w:rsidRDefault="00084610" w:rsidP="00E419D3">
      <w:pPr>
        <w:pStyle w:val="BodyText"/>
        <w:spacing w:line="276" w:lineRule="auto"/>
        <w:ind w:left="100" w:right="140"/>
        <w:jc w:val="both"/>
      </w:pPr>
      <w:r>
        <w:t>On March 27, 2025, the OEB issued its decision and order for the above-noted generic proceeding. The OEB addressed the variance accounts established by the above-noted Accounting Order and stated:</w:t>
      </w:r>
    </w:p>
    <w:p w14:paraId="3FDF7924" w14:textId="77777777" w:rsidR="00BB0628" w:rsidRDefault="00BB0628" w:rsidP="00E419D3">
      <w:pPr>
        <w:pStyle w:val="BodyText"/>
        <w:spacing w:before="6"/>
        <w:jc w:val="both"/>
        <w:rPr>
          <w:sz w:val="27"/>
        </w:rPr>
      </w:pPr>
    </w:p>
    <w:p w14:paraId="7B372694" w14:textId="77777777" w:rsidR="00BB0628" w:rsidRDefault="00084610" w:rsidP="00E419D3">
      <w:pPr>
        <w:spacing w:line="276" w:lineRule="auto"/>
        <w:ind w:left="820" w:right="102"/>
        <w:jc w:val="both"/>
        <w:rPr>
          <w:i/>
          <w:sz w:val="24"/>
        </w:rPr>
      </w:pPr>
      <w:r>
        <w:rPr>
          <w:i/>
          <w:sz w:val="24"/>
        </w:rPr>
        <w:t>Utilities that implemented rates in 2025 using interim cost of capital parameters were granted variance accounts to record the difference between the revenue requirement at interim and final cost of capital parameters. The OEB will consider the disposition of these balances in both IRM and Custom IR update rate applications. The OEB will also consider applications to amend base rates to reflect any changes in revenue requirement for 2025, but only if there was no specific treatment previously approved by the OEB for the 2025 rate application. This approach will allow the variance accounts for 2025 to be disposed and closed.</w:t>
      </w:r>
    </w:p>
    <w:p w14:paraId="0DCFE711" w14:textId="77777777" w:rsidR="00BB0628" w:rsidRDefault="00BB0628" w:rsidP="00E419D3">
      <w:pPr>
        <w:pStyle w:val="BodyText"/>
        <w:spacing w:before="8"/>
        <w:jc w:val="both"/>
        <w:rPr>
          <w:i/>
          <w:sz w:val="27"/>
        </w:rPr>
      </w:pPr>
    </w:p>
    <w:p w14:paraId="7BE02ED8" w14:textId="77777777" w:rsidR="00BB0628" w:rsidRDefault="00084610" w:rsidP="00E419D3">
      <w:pPr>
        <w:spacing w:line="276" w:lineRule="auto"/>
        <w:ind w:left="820" w:right="288"/>
        <w:jc w:val="both"/>
        <w:rPr>
          <w:i/>
          <w:sz w:val="24"/>
        </w:rPr>
      </w:pPr>
      <w:r>
        <w:rPr>
          <w:i/>
          <w:sz w:val="24"/>
        </w:rPr>
        <w:t>Any adjustment to base rates should use only data from the final approved revenue requirement calculation and billing determinants (no updated forecast).</w:t>
      </w:r>
    </w:p>
    <w:p w14:paraId="0F572E34" w14:textId="77777777" w:rsidR="00E419D3" w:rsidRDefault="00E419D3" w:rsidP="00E419D3">
      <w:pPr>
        <w:spacing w:line="276" w:lineRule="auto"/>
        <w:ind w:left="820" w:right="288"/>
        <w:jc w:val="both"/>
        <w:rPr>
          <w:i/>
          <w:sz w:val="24"/>
        </w:rPr>
      </w:pPr>
    </w:p>
    <w:p w14:paraId="62721319" w14:textId="77777777" w:rsidR="00BB0628" w:rsidRDefault="00BB0628" w:rsidP="00E419D3">
      <w:pPr>
        <w:pStyle w:val="BodyText"/>
        <w:spacing w:before="6"/>
        <w:jc w:val="both"/>
        <w:rPr>
          <w:i/>
          <w:sz w:val="27"/>
        </w:rPr>
      </w:pPr>
    </w:p>
    <w:p w14:paraId="4D537F05" w14:textId="77777777" w:rsidR="00BB0628" w:rsidRDefault="00084610" w:rsidP="00E419D3">
      <w:pPr>
        <w:pStyle w:val="Heading1"/>
        <w:ind w:left="100"/>
        <w:jc w:val="both"/>
      </w:pPr>
      <w:r>
        <w:t>Question(s):</w:t>
      </w:r>
    </w:p>
    <w:p w14:paraId="173CD3F6" w14:textId="77777777" w:rsidR="00BB0628" w:rsidRDefault="00084610" w:rsidP="00E419D3">
      <w:pPr>
        <w:pStyle w:val="ListParagraph"/>
        <w:numPr>
          <w:ilvl w:val="1"/>
          <w:numId w:val="4"/>
        </w:numPr>
        <w:tabs>
          <w:tab w:val="left" w:pos="820"/>
        </w:tabs>
        <w:spacing w:before="43" w:line="259" w:lineRule="auto"/>
        <w:ind w:right="504"/>
        <w:jc w:val="both"/>
        <w:rPr>
          <w:sz w:val="24"/>
        </w:rPr>
      </w:pPr>
      <w:r>
        <w:rPr>
          <w:sz w:val="24"/>
        </w:rPr>
        <w:t>Please confirm whether there is any balance recorded in these three variance accounts starting from January 1,</w:t>
      </w:r>
      <w:r>
        <w:rPr>
          <w:spacing w:val="-17"/>
          <w:sz w:val="24"/>
        </w:rPr>
        <w:t xml:space="preserve"> </w:t>
      </w:r>
      <w:r>
        <w:rPr>
          <w:sz w:val="24"/>
        </w:rPr>
        <w:t>2025.</w:t>
      </w:r>
    </w:p>
    <w:p w14:paraId="139C427C" w14:textId="77777777" w:rsidR="00BB0628" w:rsidRDefault="00084610" w:rsidP="00E419D3">
      <w:pPr>
        <w:pStyle w:val="ListParagraph"/>
        <w:numPr>
          <w:ilvl w:val="2"/>
          <w:numId w:val="4"/>
        </w:numPr>
        <w:tabs>
          <w:tab w:val="left" w:pos="1900"/>
        </w:tabs>
        <w:spacing w:line="259" w:lineRule="auto"/>
        <w:ind w:right="468"/>
        <w:jc w:val="both"/>
        <w:rPr>
          <w:sz w:val="24"/>
        </w:rPr>
      </w:pPr>
      <w:r>
        <w:rPr>
          <w:sz w:val="24"/>
        </w:rPr>
        <w:t>If yes, please explain whether Hydro Hawkesbury is planning to dispose of and close the variance accounts relating to the DSTDR, DLTDR, and ROE, as applicable, as part of this application for</w:t>
      </w:r>
      <w:r>
        <w:rPr>
          <w:spacing w:val="-33"/>
          <w:sz w:val="24"/>
        </w:rPr>
        <w:t xml:space="preserve"> </w:t>
      </w:r>
      <w:r>
        <w:rPr>
          <w:sz w:val="24"/>
        </w:rPr>
        <w:t>2026 rates.</w:t>
      </w:r>
    </w:p>
    <w:p w14:paraId="6CAF58C6" w14:textId="77777777" w:rsidR="00BB0628" w:rsidRDefault="00084610" w:rsidP="00E419D3">
      <w:pPr>
        <w:pStyle w:val="ListParagraph"/>
        <w:numPr>
          <w:ilvl w:val="3"/>
          <w:numId w:val="4"/>
        </w:numPr>
        <w:tabs>
          <w:tab w:val="left" w:pos="3339"/>
          <w:tab w:val="left" w:pos="3340"/>
        </w:tabs>
        <w:spacing w:line="259" w:lineRule="auto"/>
        <w:ind w:right="105"/>
        <w:jc w:val="both"/>
        <w:rPr>
          <w:sz w:val="24"/>
        </w:rPr>
      </w:pPr>
      <w:r>
        <w:rPr>
          <w:sz w:val="24"/>
        </w:rPr>
        <w:t>If Hydro Hawkesbury is not planning to dispose these DVAs in this application. Please explain when Hydro Hawkesbury plans to dispose of these variance</w:t>
      </w:r>
      <w:r>
        <w:rPr>
          <w:spacing w:val="-22"/>
          <w:sz w:val="24"/>
        </w:rPr>
        <w:t xml:space="preserve"> </w:t>
      </w:r>
      <w:r>
        <w:rPr>
          <w:sz w:val="24"/>
        </w:rPr>
        <w:t>accounts.</w:t>
      </w:r>
    </w:p>
    <w:p w14:paraId="1DED99F2" w14:textId="77777777" w:rsidR="00BB0628" w:rsidRDefault="00084610" w:rsidP="00E419D3">
      <w:pPr>
        <w:pStyle w:val="ListParagraph"/>
        <w:numPr>
          <w:ilvl w:val="3"/>
          <w:numId w:val="4"/>
        </w:numPr>
        <w:tabs>
          <w:tab w:val="left" w:pos="3339"/>
          <w:tab w:val="left" w:pos="3340"/>
        </w:tabs>
        <w:spacing w:before="2" w:line="259" w:lineRule="auto"/>
        <w:ind w:right="120"/>
        <w:jc w:val="both"/>
        <w:rPr>
          <w:sz w:val="24"/>
        </w:rPr>
      </w:pPr>
      <w:r>
        <w:rPr>
          <w:sz w:val="24"/>
        </w:rPr>
        <w:t>Please explain when Hydro Hawkesbury plans to dispose of these variance</w:t>
      </w:r>
      <w:r>
        <w:rPr>
          <w:spacing w:val="-10"/>
          <w:sz w:val="24"/>
        </w:rPr>
        <w:t xml:space="preserve"> </w:t>
      </w:r>
      <w:r>
        <w:rPr>
          <w:sz w:val="24"/>
        </w:rPr>
        <w:t>account(s).</w:t>
      </w:r>
    </w:p>
    <w:p w14:paraId="3F378FB0" w14:textId="77777777" w:rsidR="00BB0628" w:rsidRDefault="00084610" w:rsidP="00E419D3">
      <w:pPr>
        <w:pStyle w:val="ListParagraph"/>
        <w:numPr>
          <w:ilvl w:val="3"/>
          <w:numId w:val="4"/>
        </w:numPr>
        <w:tabs>
          <w:tab w:val="left" w:pos="3339"/>
          <w:tab w:val="left" w:pos="3340"/>
        </w:tabs>
        <w:spacing w:line="259" w:lineRule="auto"/>
        <w:ind w:right="104"/>
        <w:jc w:val="both"/>
        <w:rPr>
          <w:sz w:val="24"/>
        </w:rPr>
      </w:pPr>
      <w:r>
        <w:rPr>
          <w:sz w:val="24"/>
        </w:rPr>
        <w:t>Please explain how Hydro Hawkesbury plans to mitigate generating significant balances in the variance account(s) and minimize intergenerational equity if it is not requesting for the disposition in this</w:t>
      </w:r>
      <w:r>
        <w:rPr>
          <w:spacing w:val="-21"/>
          <w:sz w:val="24"/>
        </w:rPr>
        <w:t xml:space="preserve"> </w:t>
      </w:r>
      <w:r>
        <w:rPr>
          <w:sz w:val="24"/>
        </w:rPr>
        <w:t>application.</w:t>
      </w:r>
    </w:p>
    <w:p w14:paraId="5190244F" w14:textId="77777777" w:rsidR="00BB0628" w:rsidRDefault="00084610" w:rsidP="00E419D3">
      <w:pPr>
        <w:pStyle w:val="ListParagraph"/>
        <w:numPr>
          <w:ilvl w:val="2"/>
          <w:numId w:val="4"/>
        </w:numPr>
        <w:tabs>
          <w:tab w:val="left" w:pos="1900"/>
        </w:tabs>
        <w:spacing w:line="259" w:lineRule="auto"/>
        <w:ind w:right="333"/>
        <w:jc w:val="both"/>
        <w:rPr>
          <w:sz w:val="24"/>
        </w:rPr>
      </w:pPr>
      <w:r>
        <w:rPr>
          <w:sz w:val="24"/>
        </w:rPr>
        <w:t>If no, please explain why there is no balance recorded in these DVAs since Hydro Hawkesbury is tracking the variance for</w:t>
      </w:r>
      <w:r>
        <w:rPr>
          <w:spacing w:val="-21"/>
          <w:sz w:val="24"/>
        </w:rPr>
        <w:t xml:space="preserve"> </w:t>
      </w:r>
      <w:r>
        <w:rPr>
          <w:sz w:val="24"/>
        </w:rPr>
        <w:t>2025.</w:t>
      </w:r>
    </w:p>
    <w:p w14:paraId="21CDCE95" w14:textId="77777777" w:rsidR="00BB0628" w:rsidRDefault="00084610" w:rsidP="00E419D3">
      <w:pPr>
        <w:pStyle w:val="ListParagraph"/>
        <w:numPr>
          <w:ilvl w:val="1"/>
          <w:numId w:val="4"/>
        </w:numPr>
        <w:tabs>
          <w:tab w:val="left" w:pos="820"/>
        </w:tabs>
        <w:spacing w:line="259" w:lineRule="auto"/>
        <w:ind w:right="197"/>
        <w:jc w:val="both"/>
        <w:rPr>
          <w:sz w:val="24"/>
        </w:rPr>
      </w:pPr>
      <w:r>
        <w:rPr>
          <w:sz w:val="24"/>
        </w:rPr>
        <w:t>Please confirm whether Hydro Hawkesbury is considering applications to amend base rates to reflect any changes in revenue requirement for 2025 per Ref</w:t>
      </w:r>
      <w:r>
        <w:rPr>
          <w:spacing w:val="-34"/>
          <w:sz w:val="24"/>
        </w:rPr>
        <w:t xml:space="preserve"> </w:t>
      </w:r>
      <w:r>
        <w:rPr>
          <w:sz w:val="24"/>
        </w:rPr>
        <w:t>3.</w:t>
      </w:r>
    </w:p>
    <w:p w14:paraId="6F7AE279" w14:textId="77777777" w:rsidR="00BB0628" w:rsidRDefault="00084610" w:rsidP="00E419D3">
      <w:pPr>
        <w:pStyle w:val="ListParagraph"/>
        <w:numPr>
          <w:ilvl w:val="2"/>
          <w:numId w:val="4"/>
        </w:numPr>
        <w:tabs>
          <w:tab w:val="left" w:pos="1900"/>
        </w:tabs>
        <w:spacing w:before="3"/>
        <w:jc w:val="both"/>
        <w:rPr>
          <w:sz w:val="24"/>
        </w:rPr>
      </w:pPr>
      <w:r>
        <w:rPr>
          <w:sz w:val="24"/>
        </w:rPr>
        <w:t>If yes, please provide details of this</w:t>
      </w:r>
      <w:r>
        <w:rPr>
          <w:spacing w:val="-19"/>
          <w:sz w:val="24"/>
        </w:rPr>
        <w:t xml:space="preserve"> </w:t>
      </w:r>
      <w:r>
        <w:rPr>
          <w:sz w:val="24"/>
        </w:rPr>
        <w:t>proposal.</w:t>
      </w:r>
    </w:p>
    <w:p w14:paraId="706DDD8A" w14:textId="77777777" w:rsidR="00BB0628" w:rsidRDefault="00BB0628" w:rsidP="00E419D3">
      <w:pPr>
        <w:pStyle w:val="BodyText"/>
        <w:spacing w:before="1"/>
        <w:jc w:val="both"/>
        <w:rPr>
          <w:sz w:val="12"/>
        </w:rPr>
      </w:pPr>
    </w:p>
    <w:p w14:paraId="41D8E4AE" w14:textId="77777777" w:rsidR="00BB0628" w:rsidRDefault="00084610" w:rsidP="00E419D3">
      <w:pPr>
        <w:pStyle w:val="ListParagraph"/>
        <w:numPr>
          <w:ilvl w:val="1"/>
          <w:numId w:val="4"/>
        </w:numPr>
        <w:tabs>
          <w:tab w:val="left" w:pos="840"/>
        </w:tabs>
        <w:spacing w:before="92" w:line="259" w:lineRule="auto"/>
        <w:ind w:left="840" w:right="542"/>
        <w:jc w:val="both"/>
        <w:rPr>
          <w:sz w:val="24"/>
        </w:rPr>
      </w:pPr>
      <w:r>
        <w:rPr>
          <w:sz w:val="24"/>
        </w:rPr>
        <w:t>If Hydro Hawkesbury is recording balance and decides to seek disposition for these three DVAs in this</w:t>
      </w:r>
      <w:r>
        <w:rPr>
          <w:spacing w:val="-14"/>
          <w:sz w:val="24"/>
        </w:rPr>
        <w:t xml:space="preserve"> </w:t>
      </w:r>
      <w:r>
        <w:rPr>
          <w:sz w:val="24"/>
        </w:rPr>
        <w:t>application</w:t>
      </w:r>
    </w:p>
    <w:p w14:paraId="38C9B044" w14:textId="77777777" w:rsidR="00BB0628" w:rsidRDefault="00084610" w:rsidP="00E419D3">
      <w:pPr>
        <w:pStyle w:val="ListParagraph"/>
        <w:numPr>
          <w:ilvl w:val="2"/>
          <w:numId w:val="4"/>
        </w:numPr>
        <w:tabs>
          <w:tab w:val="left" w:pos="1920"/>
        </w:tabs>
        <w:ind w:left="1920"/>
        <w:jc w:val="both"/>
        <w:rPr>
          <w:sz w:val="24"/>
        </w:rPr>
      </w:pPr>
      <w:r>
        <w:rPr>
          <w:sz w:val="24"/>
        </w:rPr>
        <w:t>Please submit the continuity schedule of these three</w:t>
      </w:r>
      <w:r>
        <w:rPr>
          <w:spacing w:val="-27"/>
          <w:sz w:val="24"/>
        </w:rPr>
        <w:t xml:space="preserve"> </w:t>
      </w:r>
      <w:r>
        <w:rPr>
          <w:sz w:val="24"/>
        </w:rPr>
        <w:t>accounts.</w:t>
      </w:r>
    </w:p>
    <w:p w14:paraId="2C7BFE5D" w14:textId="77777777" w:rsidR="00BB0628" w:rsidRDefault="00084610" w:rsidP="00E419D3">
      <w:pPr>
        <w:pStyle w:val="ListParagraph"/>
        <w:numPr>
          <w:ilvl w:val="2"/>
          <w:numId w:val="4"/>
        </w:numPr>
        <w:tabs>
          <w:tab w:val="left" w:pos="1920"/>
        </w:tabs>
        <w:spacing w:before="22" w:line="259" w:lineRule="auto"/>
        <w:ind w:left="1920" w:right="409"/>
        <w:jc w:val="both"/>
        <w:rPr>
          <w:sz w:val="24"/>
        </w:rPr>
      </w:pPr>
      <w:r>
        <w:rPr>
          <w:sz w:val="24"/>
        </w:rPr>
        <w:t>Please explain how the requirements of the OEB’s March 27, 2025 decision and Accounting Orders have been addressed in the current application to dispose of these variance account(s) and confirm the accuracy of the balances in such variance</w:t>
      </w:r>
      <w:r>
        <w:rPr>
          <w:spacing w:val="-22"/>
          <w:sz w:val="24"/>
        </w:rPr>
        <w:t xml:space="preserve"> </w:t>
      </w:r>
      <w:r>
        <w:rPr>
          <w:sz w:val="24"/>
        </w:rPr>
        <w:t>accounts.</w:t>
      </w:r>
    </w:p>
    <w:p w14:paraId="2BDA1193" w14:textId="77777777" w:rsidR="00BB0628" w:rsidRDefault="00BB0628" w:rsidP="00E419D3">
      <w:pPr>
        <w:pStyle w:val="BodyText"/>
        <w:jc w:val="both"/>
        <w:rPr>
          <w:sz w:val="26"/>
        </w:rPr>
      </w:pPr>
    </w:p>
    <w:p w14:paraId="4B9CC6B1" w14:textId="77777777" w:rsidR="00E419D3" w:rsidRPr="001E4F26" w:rsidRDefault="00E419D3" w:rsidP="00E419D3">
      <w:pPr>
        <w:pStyle w:val="BodyText"/>
        <w:jc w:val="both"/>
        <w:rPr>
          <w:color w:val="0070C0"/>
        </w:rPr>
      </w:pPr>
      <w:r w:rsidRPr="001E4F26">
        <w:rPr>
          <w:color w:val="0070C0"/>
        </w:rPr>
        <w:t>Response:</w:t>
      </w:r>
    </w:p>
    <w:p w14:paraId="49B0F528" w14:textId="77777777" w:rsidR="00EC4F79" w:rsidRPr="001E4F26" w:rsidRDefault="00EC4F79" w:rsidP="00E419D3">
      <w:pPr>
        <w:pStyle w:val="BodyText"/>
        <w:jc w:val="both"/>
        <w:rPr>
          <w:color w:val="0070C0"/>
        </w:rPr>
      </w:pPr>
    </w:p>
    <w:p w14:paraId="6728FABA" w14:textId="77777777" w:rsidR="00EC4F79" w:rsidRDefault="00EC4F79" w:rsidP="00EC4F79">
      <w:pPr>
        <w:spacing w:line="276" w:lineRule="auto"/>
        <w:rPr>
          <w:color w:val="0070C0"/>
          <w:sz w:val="24"/>
          <w:szCs w:val="24"/>
        </w:rPr>
      </w:pPr>
      <w:r w:rsidRPr="001E4F26">
        <w:rPr>
          <w:color w:val="0070C0"/>
          <w:sz w:val="24"/>
          <w:szCs w:val="24"/>
        </w:rPr>
        <w:t>Preamble:</w:t>
      </w:r>
    </w:p>
    <w:p w14:paraId="1D207387" w14:textId="77777777" w:rsidR="003456A2" w:rsidRPr="001E4F26" w:rsidRDefault="003456A2" w:rsidP="00EC4F79">
      <w:pPr>
        <w:spacing w:line="276" w:lineRule="auto"/>
        <w:rPr>
          <w:color w:val="0070C0"/>
          <w:sz w:val="24"/>
          <w:szCs w:val="24"/>
        </w:rPr>
      </w:pPr>
    </w:p>
    <w:p w14:paraId="2A27AD21" w14:textId="72ED474A" w:rsidR="00EC4F79" w:rsidRPr="001E4F26" w:rsidRDefault="00EC4F79" w:rsidP="00EC4F79">
      <w:pPr>
        <w:spacing w:line="276" w:lineRule="auto"/>
        <w:rPr>
          <w:b/>
          <w:bCs/>
          <w:color w:val="0070C0"/>
          <w:sz w:val="24"/>
          <w:szCs w:val="24"/>
        </w:rPr>
      </w:pPr>
      <w:r w:rsidRPr="001E4F26">
        <w:rPr>
          <w:color w:val="0070C0"/>
          <w:sz w:val="24"/>
          <w:szCs w:val="24"/>
        </w:rPr>
        <w:t>Hydro Hawkesbury Inc. (HHI) has reviewed the OEB’s Cost of Capital Decision and Order issued March 27</w:t>
      </w:r>
      <w:r w:rsidRPr="001E4F26">
        <w:rPr>
          <w:b/>
          <w:bCs/>
          <w:color w:val="0070C0"/>
          <w:sz w:val="24"/>
          <w:szCs w:val="24"/>
        </w:rPr>
        <w:t>, 2025</w:t>
      </w:r>
      <w:r w:rsidRPr="001E4F26">
        <w:rPr>
          <w:color w:val="0070C0"/>
          <w:sz w:val="24"/>
          <w:szCs w:val="24"/>
        </w:rPr>
        <w:t xml:space="preserve"> (EB-2024-0063) and subsequent OEB Staff guidance confirming that base-rate amendments may be incorporated within a 2026 IRM proceeding.</w:t>
      </w:r>
    </w:p>
    <w:p w14:paraId="088746AE" w14:textId="77777777" w:rsidR="00EC4F79" w:rsidRPr="001E4F26" w:rsidRDefault="00EC4F79" w:rsidP="00EC4F79">
      <w:pPr>
        <w:spacing w:line="276" w:lineRule="auto"/>
        <w:rPr>
          <w:color w:val="0070C0"/>
          <w:sz w:val="24"/>
          <w:szCs w:val="24"/>
        </w:rPr>
      </w:pPr>
    </w:p>
    <w:p w14:paraId="4F29929E" w14:textId="331EF626" w:rsidR="00EC4F79" w:rsidRPr="001E4F26" w:rsidRDefault="00EC4F79" w:rsidP="00EC4F79">
      <w:pPr>
        <w:spacing w:line="276" w:lineRule="auto"/>
        <w:rPr>
          <w:color w:val="0070C0"/>
          <w:sz w:val="24"/>
          <w:szCs w:val="24"/>
        </w:rPr>
      </w:pPr>
      <w:r w:rsidRPr="001E4F26">
        <w:rPr>
          <w:color w:val="0070C0"/>
          <w:sz w:val="24"/>
          <w:szCs w:val="24"/>
        </w:rPr>
        <w:t xml:space="preserve">Accordingly, HHI is applying </w:t>
      </w:r>
      <w:r w:rsidRPr="001E4F26">
        <w:rPr>
          <w:b/>
          <w:bCs/>
          <w:color w:val="0070C0"/>
          <w:sz w:val="24"/>
          <w:szCs w:val="24"/>
        </w:rPr>
        <w:t>a</w:t>
      </w:r>
      <w:r w:rsidRPr="001E4F26">
        <w:rPr>
          <w:color w:val="0070C0"/>
          <w:sz w:val="24"/>
          <w:szCs w:val="24"/>
        </w:rPr>
        <w:t xml:space="preserve"> two-part approach </w:t>
      </w:r>
    </w:p>
    <w:p w14:paraId="2D8CF7E6" w14:textId="06436762" w:rsidR="00EC4F79" w:rsidRPr="001E4F26" w:rsidRDefault="00EC4F79" w:rsidP="00EC4F79">
      <w:pPr>
        <w:spacing w:line="276" w:lineRule="auto"/>
        <w:rPr>
          <w:color w:val="0070C0"/>
          <w:sz w:val="24"/>
          <w:szCs w:val="24"/>
        </w:rPr>
      </w:pPr>
      <w:r w:rsidRPr="001E4F26">
        <w:rPr>
          <w:color w:val="0070C0"/>
          <w:sz w:val="24"/>
          <w:szCs w:val="24"/>
        </w:rPr>
        <w:t>Disposition of 2025 accumulated balances in the DSTDR, DLTDR, and ROE variance accounts through a one-time rate rider effective January 1</w:t>
      </w:r>
      <w:r w:rsidR="003456A2" w:rsidRPr="001E4F26">
        <w:rPr>
          <w:color w:val="0070C0"/>
          <w:sz w:val="24"/>
          <w:szCs w:val="24"/>
        </w:rPr>
        <w:t>, 2026</w:t>
      </w:r>
      <w:r w:rsidRPr="001E4F26">
        <w:rPr>
          <w:color w:val="0070C0"/>
          <w:sz w:val="24"/>
          <w:szCs w:val="24"/>
        </w:rPr>
        <w:t>; and</w:t>
      </w:r>
    </w:p>
    <w:p w14:paraId="140EF279" w14:textId="77777777" w:rsidR="00EC4F79" w:rsidRPr="001E4F26" w:rsidRDefault="00EC4F79" w:rsidP="00EC4F79">
      <w:pPr>
        <w:spacing w:line="276" w:lineRule="auto"/>
        <w:rPr>
          <w:color w:val="0070C0"/>
          <w:sz w:val="24"/>
          <w:szCs w:val="24"/>
        </w:rPr>
      </w:pPr>
    </w:p>
    <w:p w14:paraId="1C78BD1D" w14:textId="77777777" w:rsidR="00EC4F79" w:rsidRPr="001E4F26" w:rsidRDefault="00EC4F79" w:rsidP="00EC4F79">
      <w:pPr>
        <w:pStyle w:val="ListParagraph"/>
        <w:numPr>
          <w:ilvl w:val="0"/>
          <w:numId w:val="16"/>
        </w:numPr>
        <w:spacing w:line="276" w:lineRule="auto"/>
        <w:rPr>
          <w:color w:val="0070C0"/>
          <w:sz w:val="24"/>
          <w:szCs w:val="24"/>
        </w:rPr>
      </w:pPr>
      <w:r w:rsidRPr="001E4F26">
        <w:rPr>
          <w:color w:val="0070C0"/>
          <w:sz w:val="24"/>
          <w:szCs w:val="24"/>
        </w:rPr>
        <w:t>Realignment of 2025 base rates to the OEB’s final cost-of-capital parameters, thereby eliminating the need for any further variance tracking or disposition beyond 2025.</w:t>
      </w:r>
    </w:p>
    <w:p w14:paraId="5EFBBB01" w14:textId="77777777" w:rsidR="00EC4F79" w:rsidRPr="001E4F26" w:rsidRDefault="00EC4F79" w:rsidP="00EC4F79">
      <w:pPr>
        <w:spacing w:line="276" w:lineRule="auto"/>
        <w:rPr>
          <w:color w:val="0070C0"/>
          <w:sz w:val="24"/>
          <w:szCs w:val="24"/>
        </w:rPr>
      </w:pPr>
    </w:p>
    <w:p w14:paraId="7A41FB6A" w14:textId="77777777" w:rsidR="00EC4F79" w:rsidRPr="001E4F26" w:rsidRDefault="00EC4F79" w:rsidP="00EC4F79">
      <w:pPr>
        <w:pStyle w:val="ListParagraph"/>
        <w:numPr>
          <w:ilvl w:val="0"/>
          <w:numId w:val="16"/>
        </w:numPr>
        <w:spacing w:line="276" w:lineRule="auto"/>
        <w:rPr>
          <w:color w:val="0070C0"/>
          <w:sz w:val="24"/>
          <w:szCs w:val="24"/>
        </w:rPr>
      </w:pPr>
      <w:r w:rsidRPr="001E4F26">
        <w:rPr>
          <w:color w:val="0070C0"/>
          <w:sz w:val="24"/>
          <w:szCs w:val="24"/>
        </w:rPr>
        <w:t>This treatment ensures that all 2025 variances are cleared and that HHI’s approved rates are fully aligned with the OEB’s final parameters going forward.</w:t>
      </w:r>
    </w:p>
    <w:p w14:paraId="5056FA7B" w14:textId="77777777" w:rsidR="00EC4F79" w:rsidRPr="001E4F26" w:rsidRDefault="00EC4F79" w:rsidP="00EC4F79">
      <w:pPr>
        <w:spacing w:line="276" w:lineRule="auto"/>
        <w:rPr>
          <w:color w:val="0070C0"/>
          <w:sz w:val="24"/>
          <w:szCs w:val="24"/>
        </w:rPr>
      </w:pPr>
    </w:p>
    <w:p w14:paraId="6844BE24" w14:textId="70054383" w:rsidR="00EC4F79" w:rsidRPr="001E4F26" w:rsidRDefault="00EC4F79" w:rsidP="00EC4F79">
      <w:pPr>
        <w:pStyle w:val="ListParagraph"/>
        <w:numPr>
          <w:ilvl w:val="0"/>
          <w:numId w:val="18"/>
        </w:numPr>
        <w:spacing w:line="276" w:lineRule="auto"/>
        <w:rPr>
          <w:color w:val="0070C0"/>
          <w:sz w:val="24"/>
          <w:szCs w:val="24"/>
        </w:rPr>
      </w:pPr>
      <w:r w:rsidRPr="001E4F26">
        <w:rPr>
          <w:color w:val="0070C0"/>
          <w:sz w:val="24"/>
          <w:szCs w:val="24"/>
        </w:rPr>
        <w:t>HHI confirms that balances have been recorded in the DSTDR, DLTDR, and ROE variance accounts beginning January 1</w:t>
      </w:r>
      <w:r w:rsidR="003456A2" w:rsidRPr="001E4F26">
        <w:rPr>
          <w:color w:val="0070C0"/>
          <w:sz w:val="24"/>
          <w:szCs w:val="24"/>
        </w:rPr>
        <w:t>, 2025</w:t>
      </w:r>
      <w:r w:rsidRPr="001E4F26">
        <w:rPr>
          <w:color w:val="0070C0"/>
          <w:sz w:val="24"/>
          <w:szCs w:val="24"/>
        </w:rPr>
        <w:t xml:space="preserve">, consistent with the OEB’s Accounting Orders of July 26 and October 31 2024.HHI is proposing to dispose of the accumulated 2025 balances as part of this 2026 IRM application through a one-time rate rider effective January 1, 2026. This rider will clear all 2025 variances, and the associated accounts will be closed following the year-end reconciliation of 2025. </w:t>
      </w:r>
    </w:p>
    <w:p w14:paraId="0A23706E" w14:textId="77777777" w:rsidR="00EC4F79" w:rsidRPr="001E4F26" w:rsidRDefault="00EC4F79" w:rsidP="00EC4F79">
      <w:pPr>
        <w:spacing w:line="276" w:lineRule="auto"/>
        <w:ind w:left="720"/>
        <w:rPr>
          <w:color w:val="0070C0"/>
          <w:sz w:val="24"/>
          <w:szCs w:val="24"/>
        </w:rPr>
      </w:pPr>
    </w:p>
    <w:p w14:paraId="5837DF6C" w14:textId="303F5EC5" w:rsidR="00EC4F79" w:rsidRPr="001E4F26" w:rsidRDefault="00EC4F79" w:rsidP="00EC4F79">
      <w:pPr>
        <w:spacing w:line="276" w:lineRule="auto"/>
        <w:ind w:left="720"/>
        <w:rPr>
          <w:color w:val="0070C0"/>
          <w:sz w:val="24"/>
          <w:szCs w:val="24"/>
        </w:rPr>
      </w:pPr>
      <w:r w:rsidRPr="001E4F26">
        <w:rPr>
          <w:color w:val="0070C0"/>
          <w:sz w:val="24"/>
          <w:szCs w:val="24"/>
        </w:rPr>
        <w:t>In parallel, HHI has amended its 2025 base rates to reflect the OEB’s final cost-of-capital parameters, which eliminates the need for any variance tracking on a prospective basis.</w:t>
      </w:r>
    </w:p>
    <w:p w14:paraId="7283070D" w14:textId="77777777" w:rsidR="00EC4F79" w:rsidRPr="001E4F26" w:rsidRDefault="00EC4F79" w:rsidP="00EC4F79">
      <w:pPr>
        <w:spacing w:line="276" w:lineRule="auto"/>
        <w:rPr>
          <w:color w:val="0070C0"/>
          <w:sz w:val="24"/>
          <w:szCs w:val="24"/>
        </w:rPr>
      </w:pPr>
    </w:p>
    <w:p w14:paraId="6EDE3241" w14:textId="050B30EB" w:rsidR="00EC4F79" w:rsidRPr="001E4F26" w:rsidRDefault="00EC4F79" w:rsidP="00EC4F79">
      <w:pPr>
        <w:pStyle w:val="ListParagraph"/>
        <w:numPr>
          <w:ilvl w:val="0"/>
          <w:numId w:val="18"/>
        </w:numPr>
        <w:spacing w:line="276" w:lineRule="auto"/>
        <w:rPr>
          <w:color w:val="0070C0"/>
          <w:sz w:val="24"/>
          <w:szCs w:val="24"/>
        </w:rPr>
      </w:pPr>
      <w:r w:rsidRPr="001E4F26">
        <w:rPr>
          <w:color w:val="0070C0"/>
          <w:sz w:val="24"/>
          <w:szCs w:val="24"/>
        </w:rPr>
        <w:t>HHI confirms that it is amending its 2025 base rates to reflect the OEB’s final cost-of-capital decision dated March 27</w:t>
      </w:r>
      <w:r w:rsidR="004A6668" w:rsidRPr="001E4F26">
        <w:rPr>
          <w:color w:val="0070C0"/>
          <w:sz w:val="24"/>
          <w:szCs w:val="24"/>
        </w:rPr>
        <w:t>, 2025</w:t>
      </w:r>
      <w:r w:rsidRPr="001E4F26">
        <w:rPr>
          <w:color w:val="0070C0"/>
          <w:sz w:val="24"/>
          <w:szCs w:val="24"/>
        </w:rPr>
        <w:t>. The recalculation of the 2025 revenue requirement uses the OEB’s final parameters as shown below:</w:t>
      </w:r>
    </w:p>
    <w:p w14:paraId="5D3ADB60" w14:textId="77777777" w:rsidR="00EC4F79" w:rsidRPr="001E4F26" w:rsidRDefault="00EC4F79" w:rsidP="00EC4F79">
      <w:pPr>
        <w:spacing w:line="276" w:lineRule="auto"/>
        <w:rPr>
          <w:color w:val="0070C0"/>
          <w:sz w:val="24"/>
          <w:szCs w:val="24"/>
        </w:rPr>
      </w:pPr>
    </w:p>
    <w:p w14:paraId="35FEE424" w14:textId="258B7D53" w:rsidR="00EC4F79" w:rsidRPr="001E4F26" w:rsidRDefault="00EC4F79" w:rsidP="00EC4F79">
      <w:pPr>
        <w:spacing w:line="276" w:lineRule="auto"/>
        <w:ind w:left="2160"/>
        <w:rPr>
          <w:color w:val="0070C0"/>
          <w:sz w:val="24"/>
          <w:szCs w:val="24"/>
        </w:rPr>
      </w:pPr>
      <w:r w:rsidRPr="001E4F26">
        <w:rPr>
          <w:color w:val="0070C0"/>
          <w:sz w:val="24"/>
          <w:szCs w:val="24"/>
        </w:rPr>
        <w:t>Parameter</w:t>
      </w:r>
      <w:r w:rsidRPr="001E4F26">
        <w:rPr>
          <w:color w:val="0070C0"/>
          <w:sz w:val="24"/>
          <w:szCs w:val="24"/>
        </w:rPr>
        <w:tab/>
      </w:r>
      <w:r w:rsidRPr="001E4F26">
        <w:rPr>
          <w:color w:val="0070C0"/>
          <w:sz w:val="24"/>
          <w:szCs w:val="24"/>
        </w:rPr>
        <w:tab/>
      </w:r>
      <w:r w:rsidRPr="001E4F26">
        <w:rPr>
          <w:color w:val="0070C0"/>
          <w:sz w:val="24"/>
          <w:szCs w:val="24"/>
        </w:rPr>
        <w:tab/>
      </w:r>
      <w:r w:rsidRPr="001E4F26">
        <w:rPr>
          <w:color w:val="0070C0"/>
          <w:sz w:val="24"/>
          <w:szCs w:val="24"/>
        </w:rPr>
        <w:tab/>
      </w:r>
      <w:r w:rsidRPr="001E4F26">
        <w:rPr>
          <w:color w:val="0070C0"/>
          <w:sz w:val="24"/>
          <w:szCs w:val="24"/>
        </w:rPr>
        <w:tab/>
        <w:t>Final Value</w:t>
      </w:r>
    </w:p>
    <w:p w14:paraId="0E8312FF" w14:textId="7353A2CE" w:rsidR="00EC4F79" w:rsidRPr="001E4F26" w:rsidRDefault="00EC4F79" w:rsidP="00EC4F79">
      <w:pPr>
        <w:spacing w:line="276" w:lineRule="auto"/>
        <w:ind w:left="2160"/>
        <w:rPr>
          <w:color w:val="0070C0"/>
          <w:sz w:val="24"/>
          <w:szCs w:val="24"/>
        </w:rPr>
      </w:pPr>
      <w:r w:rsidRPr="001E4F26">
        <w:rPr>
          <w:color w:val="0070C0"/>
          <w:sz w:val="24"/>
          <w:szCs w:val="24"/>
        </w:rPr>
        <w:t>Return on Equity (ROE)</w:t>
      </w:r>
      <w:r w:rsidRPr="001E4F26">
        <w:rPr>
          <w:color w:val="0070C0"/>
          <w:sz w:val="24"/>
          <w:szCs w:val="24"/>
        </w:rPr>
        <w:tab/>
      </w:r>
      <w:r w:rsidRPr="001E4F26">
        <w:rPr>
          <w:color w:val="0070C0"/>
          <w:sz w:val="24"/>
          <w:szCs w:val="24"/>
        </w:rPr>
        <w:tab/>
      </w:r>
      <w:r w:rsidRPr="001E4F26">
        <w:rPr>
          <w:color w:val="0070C0"/>
          <w:sz w:val="24"/>
          <w:szCs w:val="24"/>
        </w:rPr>
        <w:tab/>
        <w:t>9.00 %</w:t>
      </w:r>
    </w:p>
    <w:p w14:paraId="557C72EA" w14:textId="6A99A7E1" w:rsidR="00EC4F79" w:rsidRPr="001E4F26" w:rsidRDefault="00EC4F79" w:rsidP="00EC4F79">
      <w:pPr>
        <w:spacing w:line="276" w:lineRule="auto"/>
        <w:ind w:left="2160"/>
        <w:rPr>
          <w:color w:val="0070C0"/>
          <w:sz w:val="24"/>
          <w:szCs w:val="24"/>
        </w:rPr>
      </w:pPr>
      <w:r w:rsidRPr="001E4F26">
        <w:rPr>
          <w:color w:val="0070C0"/>
          <w:sz w:val="24"/>
          <w:szCs w:val="24"/>
        </w:rPr>
        <w:t>Deemed Long-Term Debt Rate</w:t>
      </w:r>
      <w:r w:rsidRPr="001E4F26">
        <w:rPr>
          <w:color w:val="0070C0"/>
          <w:sz w:val="24"/>
          <w:szCs w:val="24"/>
        </w:rPr>
        <w:tab/>
      </w:r>
      <w:r w:rsidRPr="001E4F26">
        <w:rPr>
          <w:color w:val="0070C0"/>
          <w:sz w:val="24"/>
          <w:szCs w:val="24"/>
        </w:rPr>
        <w:tab/>
        <w:t>4.51 %</w:t>
      </w:r>
    </w:p>
    <w:p w14:paraId="22515047" w14:textId="23CA4412" w:rsidR="00EC4F79" w:rsidRPr="001E4F26" w:rsidRDefault="00EC4F79" w:rsidP="00EC4F79">
      <w:pPr>
        <w:spacing w:line="276" w:lineRule="auto"/>
        <w:ind w:left="2160"/>
        <w:rPr>
          <w:color w:val="0070C0"/>
          <w:sz w:val="24"/>
          <w:szCs w:val="24"/>
        </w:rPr>
      </w:pPr>
      <w:r w:rsidRPr="001E4F26">
        <w:rPr>
          <w:color w:val="0070C0"/>
          <w:sz w:val="24"/>
          <w:szCs w:val="24"/>
        </w:rPr>
        <w:t>Deemed Short-Term Debt Rate</w:t>
      </w:r>
      <w:r w:rsidRPr="001E4F26">
        <w:rPr>
          <w:color w:val="0070C0"/>
          <w:sz w:val="24"/>
          <w:szCs w:val="24"/>
        </w:rPr>
        <w:tab/>
      </w:r>
      <w:r w:rsidRPr="001E4F26">
        <w:rPr>
          <w:color w:val="0070C0"/>
          <w:sz w:val="24"/>
          <w:szCs w:val="24"/>
        </w:rPr>
        <w:tab/>
        <w:t>3.91 %</w:t>
      </w:r>
    </w:p>
    <w:p w14:paraId="24818265" w14:textId="77777777" w:rsidR="00EC4F79" w:rsidRPr="001E4F26" w:rsidRDefault="00EC4F79" w:rsidP="00EC4F79">
      <w:pPr>
        <w:spacing w:line="276" w:lineRule="auto"/>
        <w:ind w:left="2160"/>
        <w:rPr>
          <w:color w:val="0070C0"/>
          <w:sz w:val="24"/>
          <w:szCs w:val="24"/>
        </w:rPr>
      </w:pPr>
      <w:r w:rsidRPr="001E4F26">
        <w:rPr>
          <w:color w:val="0070C0"/>
          <w:sz w:val="24"/>
          <w:szCs w:val="24"/>
        </w:rPr>
        <w:t>Weighted Average Cost of Capital (WACC)</w:t>
      </w:r>
      <w:r w:rsidRPr="001E4F26">
        <w:rPr>
          <w:color w:val="0070C0"/>
          <w:sz w:val="24"/>
          <w:szCs w:val="24"/>
        </w:rPr>
        <w:tab/>
        <w:t>6.28 %</w:t>
      </w:r>
    </w:p>
    <w:p w14:paraId="177424ED" w14:textId="77777777" w:rsidR="00EC4F79" w:rsidRPr="001E4F26" w:rsidRDefault="00EC4F79" w:rsidP="00EC4F79">
      <w:pPr>
        <w:spacing w:line="276" w:lineRule="auto"/>
        <w:rPr>
          <w:color w:val="0070C0"/>
          <w:sz w:val="24"/>
          <w:szCs w:val="24"/>
        </w:rPr>
      </w:pPr>
    </w:p>
    <w:p w14:paraId="5DB94F78" w14:textId="77777777" w:rsidR="00EC4F79" w:rsidRPr="001E4F26" w:rsidRDefault="00EC4F79" w:rsidP="00EC4F79">
      <w:pPr>
        <w:spacing w:line="276" w:lineRule="auto"/>
        <w:ind w:left="720"/>
        <w:rPr>
          <w:color w:val="0070C0"/>
          <w:sz w:val="24"/>
          <w:szCs w:val="24"/>
        </w:rPr>
      </w:pPr>
      <w:r w:rsidRPr="001E4F26">
        <w:rPr>
          <w:color w:val="0070C0"/>
          <w:sz w:val="24"/>
          <w:szCs w:val="24"/>
        </w:rPr>
        <w:t>The recalculation was performed within a worksheet based on the RRWF framework.</w:t>
      </w:r>
    </w:p>
    <w:p w14:paraId="292A915A" w14:textId="77777777" w:rsidR="00EC4F79" w:rsidRPr="001E4F26" w:rsidRDefault="00EC4F79" w:rsidP="00EC4F79">
      <w:pPr>
        <w:spacing w:line="276" w:lineRule="auto"/>
        <w:ind w:left="720"/>
        <w:rPr>
          <w:color w:val="0070C0"/>
          <w:sz w:val="24"/>
          <w:szCs w:val="24"/>
        </w:rPr>
      </w:pPr>
      <w:r w:rsidRPr="001E4F26">
        <w:rPr>
          <w:color w:val="0070C0"/>
          <w:sz w:val="24"/>
          <w:szCs w:val="24"/>
        </w:rPr>
        <w:t xml:space="preserve">The return-on-equity and debt rates were updated, which automatically adjusted the overall revenue requirement while preserving the Board-approved revenue-to-cost ratios and fixed-to-variable splits from the 2025 Cost Allocation and Rate </w:t>
      </w:r>
      <w:r w:rsidRPr="001E4F26">
        <w:rPr>
          <w:color w:val="0070C0"/>
          <w:sz w:val="24"/>
          <w:szCs w:val="24"/>
        </w:rPr>
        <w:lastRenderedPageBreak/>
        <w:t>Design models.</w:t>
      </w:r>
    </w:p>
    <w:p w14:paraId="6116EC9B" w14:textId="77777777" w:rsidR="00EC4F79" w:rsidRPr="001E4F26" w:rsidRDefault="00EC4F79" w:rsidP="00EC4F79">
      <w:pPr>
        <w:spacing w:line="276" w:lineRule="auto"/>
        <w:ind w:left="720"/>
        <w:rPr>
          <w:color w:val="0070C0"/>
          <w:sz w:val="24"/>
          <w:szCs w:val="24"/>
        </w:rPr>
      </w:pPr>
      <w:r w:rsidRPr="001E4F26">
        <w:rPr>
          <w:color w:val="0070C0"/>
          <w:sz w:val="24"/>
          <w:szCs w:val="24"/>
        </w:rPr>
        <w:t>All related models (RRWF, ACM, and IRM) have been updated to reflect the revised revenue requirement and base rates.</w:t>
      </w:r>
    </w:p>
    <w:p w14:paraId="477FD804" w14:textId="77777777" w:rsidR="00EC4F79" w:rsidRPr="001E4F26" w:rsidRDefault="00EC4F79" w:rsidP="00EC4F79">
      <w:pPr>
        <w:spacing w:line="276" w:lineRule="auto"/>
        <w:rPr>
          <w:color w:val="0070C0"/>
          <w:sz w:val="24"/>
          <w:szCs w:val="24"/>
        </w:rPr>
      </w:pPr>
    </w:p>
    <w:p w14:paraId="0E8EE5E7" w14:textId="4B4C2697" w:rsidR="00EC4F79" w:rsidRPr="001E4F26" w:rsidRDefault="00EC4F79" w:rsidP="00EC4F79">
      <w:pPr>
        <w:spacing w:line="276" w:lineRule="auto"/>
        <w:ind w:left="720"/>
        <w:rPr>
          <w:color w:val="0070C0"/>
          <w:sz w:val="24"/>
          <w:szCs w:val="24"/>
        </w:rPr>
      </w:pPr>
      <w:r w:rsidRPr="001E4F26">
        <w:rPr>
          <w:color w:val="0070C0"/>
          <w:sz w:val="24"/>
          <w:szCs w:val="24"/>
        </w:rPr>
        <w:t>This approach ensures that the rates effective January 1</w:t>
      </w:r>
      <w:r w:rsidR="004A6668" w:rsidRPr="001E4F26">
        <w:rPr>
          <w:color w:val="0070C0"/>
          <w:sz w:val="24"/>
          <w:szCs w:val="24"/>
        </w:rPr>
        <w:t>, 2026,</w:t>
      </w:r>
      <w:r w:rsidRPr="001E4F26">
        <w:rPr>
          <w:color w:val="0070C0"/>
          <w:sz w:val="24"/>
          <w:szCs w:val="24"/>
        </w:rPr>
        <w:t xml:space="preserve"> fully align with the OEB’s final cost-of-capital decision while disposing of the 2025 balances through the one-time rate rider.</w:t>
      </w:r>
    </w:p>
    <w:p w14:paraId="1B16773B" w14:textId="77777777" w:rsidR="00EC4F79" w:rsidRPr="001E4F26" w:rsidRDefault="00EC4F79" w:rsidP="00EC4F79">
      <w:pPr>
        <w:spacing w:line="276" w:lineRule="auto"/>
        <w:rPr>
          <w:color w:val="0070C0"/>
          <w:sz w:val="24"/>
          <w:szCs w:val="24"/>
        </w:rPr>
      </w:pPr>
    </w:p>
    <w:p w14:paraId="4C24DD77" w14:textId="77777777" w:rsidR="00EC4F79" w:rsidRPr="001E4F26" w:rsidRDefault="00EC4F79" w:rsidP="00EC4F79">
      <w:pPr>
        <w:pStyle w:val="ListParagraph"/>
        <w:numPr>
          <w:ilvl w:val="0"/>
          <w:numId w:val="18"/>
        </w:numPr>
        <w:spacing w:line="276" w:lineRule="auto"/>
        <w:rPr>
          <w:color w:val="0070C0"/>
          <w:sz w:val="24"/>
          <w:szCs w:val="24"/>
        </w:rPr>
      </w:pPr>
      <w:r w:rsidRPr="001E4F26">
        <w:rPr>
          <w:color w:val="0070C0"/>
          <w:sz w:val="24"/>
          <w:szCs w:val="24"/>
        </w:rPr>
        <w:t>By embedding the OEB’s final cost-of-capital parameters directly into the 2025 base rates, HHI has eliminated the need for any future tracking or disposition of cost-of-capital variances.</w:t>
      </w:r>
    </w:p>
    <w:p w14:paraId="3D51015C" w14:textId="77777777" w:rsidR="00EC4F79" w:rsidRPr="001E4F26" w:rsidRDefault="00EC4F79" w:rsidP="00EC4F79">
      <w:pPr>
        <w:spacing w:line="276" w:lineRule="auto"/>
        <w:ind w:left="720"/>
        <w:rPr>
          <w:color w:val="0070C0"/>
          <w:sz w:val="24"/>
          <w:szCs w:val="24"/>
        </w:rPr>
      </w:pPr>
      <w:r w:rsidRPr="001E4F26">
        <w:rPr>
          <w:color w:val="0070C0"/>
          <w:sz w:val="24"/>
          <w:szCs w:val="24"/>
        </w:rPr>
        <w:t>Only the 2025 accumulated balances will be disposed of through this application, after which the DSTDR, DLTDR, and ROE variance accounts will be closed.</w:t>
      </w:r>
    </w:p>
    <w:p w14:paraId="67AE0C2C" w14:textId="77777777" w:rsidR="00EC4F79" w:rsidRPr="001E4F26" w:rsidRDefault="00EC4F79" w:rsidP="00EC4F79">
      <w:pPr>
        <w:spacing w:line="276" w:lineRule="auto"/>
        <w:ind w:left="360"/>
        <w:rPr>
          <w:color w:val="0070C0"/>
          <w:sz w:val="24"/>
          <w:szCs w:val="24"/>
        </w:rPr>
      </w:pPr>
    </w:p>
    <w:p w14:paraId="1B15E774" w14:textId="0EF683FE" w:rsidR="00EC4F79" w:rsidRPr="001E4F26" w:rsidRDefault="00EC4F79" w:rsidP="00EC4F79">
      <w:pPr>
        <w:spacing w:line="276" w:lineRule="auto"/>
        <w:ind w:left="720"/>
        <w:rPr>
          <w:color w:val="0070C0"/>
          <w:sz w:val="24"/>
          <w:szCs w:val="24"/>
        </w:rPr>
      </w:pPr>
      <w:r w:rsidRPr="001E4F26">
        <w:rPr>
          <w:color w:val="0070C0"/>
          <w:sz w:val="24"/>
          <w:szCs w:val="24"/>
        </w:rPr>
        <w:t>The supporting file HHI Base Current Rates vs Revised Rates (20251015) illustrates the comparative rate calculations and revenue-requirement adjustments as well as calculations of the rate riders to dispose of the variance account balances.</w:t>
      </w:r>
    </w:p>
    <w:p w14:paraId="24923466" w14:textId="77777777" w:rsidR="00EC4F79" w:rsidRPr="001E4F26" w:rsidRDefault="00EC4F79" w:rsidP="00EC4F79">
      <w:pPr>
        <w:spacing w:line="276" w:lineRule="auto"/>
        <w:ind w:left="720"/>
        <w:rPr>
          <w:color w:val="0070C0"/>
          <w:sz w:val="24"/>
          <w:szCs w:val="24"/>
        </w:rPr>
      </w:pPr>
    </w:p>
    <w:p w14:paraId="325CFD19" w14:textId="57A83552" w:rsidR="00EC4F79" w:rsidRPr="001E4F26" w:rsidRDefault="00EC4F79" w:rsidP="00EC4F79">
      <w:pPr>
        <w:spacing w:line="276" w:lineRule="auto"/>
        <w:ind w:left="720"/>
        <w:rPr>
          <w:color w:val="0070C0"/>
          <w:sz w:val="24"/>
          <w:szCs w:val="24"/>
        </w:rPr>
      </w:pPr>
      <w:r w:rsidRPr="001E4F26">
        <w:rPr>
          <w:color w:val="0070C0"/>
          <w:sz w:val="24"/>
          <w:szCs w:val="24"/>
        </w:rPr>
        <w:t>All balances have been recorded in accordance with the OEB’s Accounting Orders (July 26 and October 31, 2024) and reconciled to internal financial records.</w:t>
      </w:r>
    </w:p>
    <w:p w14:paraId="0F2D4FB8" w14:textId="77777777" w:rsidR="00EC4F79" w:rsidRPr="001E4F26" w:rsidRDefault="00EC4F79" w:rsidP="00EC4F79">
      <w:pPr>
        <w:spacing w:line="276" w:lineRule="auto"/>
        <w:ind w:left="720"/>
        <w:rPr>
          <w:color w:val="0070C0"/>
          <w:sz w:val="24"/>
          <w:szCs w:val="24"/>
        </w:rPr>
      </w:pPr>
    </w:p>
    <w:p w14:paraId="5AD3D4FB" w14:textId="68CD95B5" w:rsidR="00EC4F79" w:rsidRDefault="00EC4F79" w:rsidP="00EC4F79">
      <w:pPr>
        <w:spacing w:line="276" w:lineRule="auto"/>
        <w:ind w:left="720"/>
        <w:rPr>
          <w:color w:val="0070C0"/>
          <w:sz w:val="24"/>
          <w:szCs w:val="24"/>
        </w:rPr>
      </w:pPr>
      <w:r w:rsidRPr="001E4F26">
        <w:rPr>
          <w:color w:val="0070C0"/>
          <w:sz w:val="24"/>
          <w:szCs w:val="24"/>
        </w:rPr>
        <w:t xml:space="preserve">The revised RRWF, ACM, and IRM models filed with this application demonstrate that both the one-time variance disposition and the base-rate realignment fully comply with the OEB’s March 27, 2025, Decision and related accounting guidance. </w:t>
      </w:r>
    </w:p>
    <w:p w14:paraId="569BEE53" w14:textId="77777777" w:rsidR="001E4F26" w:rsidRDefault="001E4F26">
      <w:pPr>
        <w:rPr>
          <w:color w:val="0070C0"/>
          <w:sz w:val="24"/>
          <w:szCs w:val="24"/>
        </w:rPr>
      </w:pPr>
    </w:p>
    <w:p w14:paraId="159451B9" w14:textId="77777777" w:rsidR="001E4F26" w:rsidRPr="001E4F26" w:rsidRDefault="001E4F26" w:rsidP="001E4F26">
      <w:pPr>
        <w:jc w:val="center"/>
        <w:rPr>
          <w:b/>
          <w:bCs/>
          <w:color w:val="0070C0"/>
          <w:sz w:val="24"/>
          <w:szCs w:val="24"/>
        </w:rPr>
      </w:pPr>
      <w:r w:rsidRPr="001E4F26">
        <w:rPr>
          <w:b/>
          <w:bCs/>
          <w:color w:val="0070C0"/>
          <w:sz w:val="24"/>
          <w:szCs w:val="24"/>
        </w:rPr>
        <w:t>Table 1 – Revised Rates</w:t>
      </w:r>
    </w:p>
    <w:p w14:paraId="173DBFE1" w14:textId="77777777" w:rsidR="001E4F26" w:rsidRDefault="001E4F26">
      <w:pPr>
        <w:rPr>
          <w:color w:val="0070C0"/>
          <w:sz w:val="24"/>
          <w:szCs w:val="24"/>
        </w:rPr>
      </w:pPr>
    </w:p>
    <w:tbl>
      <w:tblPr>
        <w:tblStyle w:val="TableGridLight"/>
        <w:tblW w:w="0" w:type="auto"/>
        <w:jc w:val="center"/>
        <w:tblLook w:val="04A0" w:firstRow="1" w:lastRow="0" w:firstColumn="1" w:lastColumn="0" w:noHBand="0" w:noVBand="1"/>
      </w:tblPr>
      <w:tblGrid>
        <w:gridCol w:w="2729"/>
        <w:gridCol w:w="1539"/>
        <w:gridCol w:w="1139"/>
        <w:gridCol w:w="1006"/>
      </w:tblGrid>
      <w:tr w:rsidR="001E4F26" w:rsidRPr="001E4F26" w14:paraId="298D6F83" w14:textId="77777777" w:rsidTr="001E4F26">
        <w:trPr>
          <w:trHeight w:val="300"/>
          <w:jc w:val="center"/>
        </w:trPr>
        <w:tc>
          <w:tcPr>
            <w:tcW w:w="0" w:type="auto"/>
            <w:noWrap/>
            <w:hideMark/>
          </w:tcPr>
          <w:p w14:paraId="573D6895" w14:textId="77777777" w:rsidR="001E4F26" w:rsidRPr="001E4F26" w:rsidRDefault="001E4F26" w:rsidP="001E4F26">
            <w:pPr>
              <w:widowControl/>
              <w:autoSpaceDE/>
              <w:autoSpaceDN/>
              <w:rPr>
                <w:rFonts w:eastAsia="Times New Roman"/>
                <w:b/>
                <w:bCs/>
                <w:sz w:val="20"/>
                <w:szCs w:val="20"/>
                <w:u w:val="single"/>
                <w:lang w:val="en-CA" w:eastAsia="en-CA"/>
              </w:rPr>
            </w:pPr>
            <w:r w:rsidRPr="001E4F26">
              <w:rPr>
                <w:rFonts w:eastAsia="Times New Roman"/>
                <w:b/>
                <w:bCs/>
                <w:sz w:val="20"/>
                <w:szCs w:val="20"/>
                <w:u w:val="single"/>
                <w:lang w:val="en-CA" w:eastAsia="en-CA"/>
              </w:rPr>
              <w:t>Fixed Rates</w:t>
            </w:r>
          </w:p>
        </w:tc>
        <w:tc>
          <w:tcPr>
            <w:tcW w:w="0" w:type="auto"/>
            <w:noWrap/>
            <w:hideMark/>
          </w:tcPr>
          <w:p w14:paraId="69E1F24B" w14:textId="77777777" w:rsidR="001E4F26" w:rsidRPr="001E4F26" w:rsidRDefault="001E4F26" w:rsidP="001E4F26">
            <w:pPr>
              <w:widowControl/>
              <w:autoSpaceDE/>
              <w:autoSpaceDN/>
              <w:jc w:val="center"/>
              <w:rPr>
                <w:rFonts w:eastAsia="Times New Roman"/>
                <w:b/>
                <w:bCs/>
                <w:sz w:val="20"/>
                <w:szCs w:val="20"/>
                <w:u w:val="single"/>
                <w:lang w:val="en-CA" w:eastAsia="en-CA"/>
              </w:rPr>
            </w:pPr>
            <w:r w:rsidRPr="001E4F26">
              <w:rPr>
                <w:rFonts w:eastAsia="Times New Roman"/>
                <w:b/>
                <w:bCs/>
                <w:sz w:val="20"/>
                <w:szCs w:val="20"/>
                <w:u w:val="single"/>
                <w:lang w:val="en-CA" w:eastAsia="en-CA"/>
              </w:rPr>
              <w:t>Current Rates</w:t>
            </w:r>
          </w:p>
        </w:tc>
        <w:tc>
          <w:tcPr>
            <w:tcW w:w="0" w:type="auto"/>
            <w:noWrap/>
            <w:hideMark/>
          </w:tcPr>
          <w:p w14:paraId="1C19231B" w14:textId="77777777" w:rsidR="001E4F26" w:rsidRPr="001E4F26" w:rsidRDefault="001E4F26" w:rsidP="001E4F26">
            <w:pPr>
              <w:widowControl/>
              <w:autoSpaceDE/>
              <w:autoSpaceDN/>
              <w:jc w:val="center"/>
              <w:rPr>
                <w:rFonts w:eastAsia="Times New Roman"/>
                <w:b/>
                <w:bCs/>
                <w:sz w:val="20"/>
                <w:szCs w:val="20"/>
                <w:u w:val="single"/>
                <w:lang w:val="en-CA" w:eastAsia="en-CA"/>
              </w:rPr>
            </w:pPr>
            <w:r w:rsidRPr="001E4F26">
              <w:rPr>
                <w:rFonts w:eastAsia="Times New Roman"/>
                <w:b/>
                <w:bCs/>
                <w:sz w:val="20"/>
                <w:szCs w:val="20"/>
                <w:u w:val="single"/>
                <w:lang w:val="en-CA" w:eastAsia="en-CA"/>
              </w:rPr>
              <w:t>Proposed</w:t>
            </w:r>
          </w:p>
        </w:tc>
        <w:tc>
          <w:tcPr>
            <w:tcW w:w="0" w:type="auto"/>
            <w:noWrap/>
            <w:hideMark/>
          </w:tcPr>
          <w:p w14:paraId="0B647FF4" w14:textId="77777777" w:rsidR="001E4F26" w:rsidRPr="001E4F26" w:rsidRDefault="001E4F26" w:rsidP="001E4F26">
            <w:pPr>
              <w:widowControl/>
              <w:autoSpaceDE/>
              <w:autoSpaceDN/>
              <w:jc w:val="center"/>
              <w:rPr>
                <w:rFonts w:eastAsia="Times New Roman"/>
                <w:b/>
                <w:bCs/>
                <w:sz w:val="20"/>
                <w:szCs w:val="20"/>
                <w:u w:val="single"/>
                <w:lang w:val="en-CA" w:eastAsia="en-CA"/>
              </w:rPr>
            </w:pPr>
            <w:r w:rsidRPr="001E4F26">
              <w:rPr>
                <w:rFonts w:eastAsia="Times New Roman"/>
                <w:b/>
                <w:bCs/>
                <w:sz w:val="20"/>
                <w:szCs w:val="20"/>
                <w:u w:val="single"/>
                <w:lang w:val="en-CA" w:eastAsia="en-CA"/>
              </w:rPr>
              <w:t>Change</w:t>
            </w:r>
          </w:p>
        </w:tc>
      </w:tr>
      <w:tr w:rsidR="001E4F26" w:rsidRPr="001E4F26" w14:paraId="0E1FB961" w14:textId="77777777" w:rsidTr="001E4F26">
        <w:trPr>
          <w:trHeight w:val="300"/>
          <w:jc w:val="center"/>
        </w:trPr>
        <w:tc>
          <w:tcPr>
            <w:tcW w:w="0" w:type="auto"/>
            <w:noWrap/>
            <w:hideMark/>
          </w:tcPr>
          <w:p w14:paraId="31FBAD16" w14:textId="77777777" w:rsidR="001E4F26" w:rsidRPr="001E4F26" w:rsidRDefault="001E4F26" w:rsidP="001E4F26">
            <w:pPr>
              <w:widowControl/>
              <w:autoSpaceDE/>
              <w:autoSpaceDN/>
              <w:rPr>
                <w:rFonts w:eastAsia="Times New Roman"/>
                <w:sz w:val="20"/>
                <w:szCs w:val="20"/>
                <w:lang w:val="en-CA" w:eastAsia="en-CA"/>
              </w:rPr>
            </w:pPr>
            <w:r w:rsidRPr="001E4F26">
              <w:rPr>
                <w:rFonts w:eastAsia="Times New Roman"/>
                <w:sz w:val="20"/>
                <w:szCs w:val="20"/>
                <w:lang w:val="en-CA" w:eastAsia="en-CA"/>
              </w:rPr>
              <w:t> </w:t>
            </w:r>
          </w:p>
        </w:tc>
        <w:tc>
          <w:tcPr>
            <w:tcW w:w="0" w:type="auto"/>
            <w:noWrap/>
            <w:hideMark/>
          </w:tcPr>
          <w:p w14:paraId="1F2BFD2F"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Fixed</w:t>
            </w:r>
          </w:p>
        </w:tc>
        <w:tc>
          <w:tcPr>
            <w:tcW w:w="0" w:type="auto"/>
            <w:noWrap/>
            <w:hideMark/>
          </w:tcPr>
          <w:p w14:paraId="759CC5E5"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Fixed</w:t>
            </w:r>
          </w:p>
        </w:tc>
        <w:tc>
          <w:tcPr>
            <w:tcW w:w="0" w:type="auto"/>
            <w:noWrap/>
            <w:hideMark/>
          </w:tcPr>
          <w:p w14:paraId="1A60C985"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 xml:space="preserve"> </w:t>
            </w:r>
          </w:p>
        </w:tc>
      </w:tr>
      <w:tr w:rsidR="001E4F26" w:rsidRPr="001E4F26" w14:paraId="2977ADA1" w14:textId="77777777" w:rsidTr="001E4F26">
        <w:trPr>
          <w:trHeight w:val="300"/>
          <w:jc w:val="center"/>
        </w:trPr>
        <w:tc>
          <w:tcPr>
            <w:tcW w:w="0" w:type="auto"/>
            <w:noWrap/>
            <w:hideMark/>
          </w:tcPr>
          <w:p w14:paraId="72176B58" w14:textId="77777777" w:rsidR="001E4F26" w:rsidRPr="001E4F26" w:rsidRDefault="001E4F26" w:rsidP="001E4F26">
            <w:pPr>
              <w:widowControl/>
              <w:autoSpaceDE/>
              <w:autoSpaceDN/>
              <w:rPr>
                <w:rFonts w:eastAsia="Times New Roman"/>
                <w:sz w:val="20"/>
                <w:szCs w:val="20"/>
                <w:lang w:val="en-CA" w:eastAsia="en-CA"/>
              </w:rPr>
            </w:pPr>
            <w:r w:rsidRPr="001E4F26">
              <w:rPr>
                <w:rFonts w:eastAsia="Times New Roman"/>
                <w:sz w:val="20"/>
                <w:szCs w:val="20"/>
                <w:lang w:val="en-CA" w:eastAsia="en-CA"/>
              </w:rPr>
              <w:t>Residential</w:t>
            </w:r>
          </w:p>
        </w:tc>
        <w:tc>
          <w:tcPr>
            <w:tcW w:w="0" w:type="auto"/>
            <w:noWrap/>
            <w:hideMark/>
          </w:tcPr>
          <w:p w14:paraId="077DF626"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$22.51</w:t>
            </w:r>
          </w:p>
        </w:tc>
        <w:tc>
          <w:tcPr>
            <w:tcW w:w="0" w:type="auto"/>
            <w:noWrap/>
            <w:hideMark/>
          </w:tcPr>
          <w:p w14:paraId="0658C7EE"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$22.39</w:t>
            </w:r>
          </w:p>
        </w:tc>
        <w:tc>
          <w:tcPr>
            <w:tcW w:w="0" w:type="auto"/>
            <w:noWrap/>
            <w:hideMark/>
          </w:tcPr>
          <w:p w14:paraId="16FAAAD0"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-$0.1203</w:t>
            </w:r>
          </w:p>
        </w:tc>
      </w:tr>
      <w:tr w:rsidR="001E4F26" w:rsidRPr="001E4F26" w14:paraId="0B909562" w14:textId="77777777" w:rsidTr="001E4F26">
        <w:trPr>
          <w:trHeight w:val="300"/>
          <w:jc w:val="center"/>
        </w:trPr>
        <w:tc>
          <w:tcPr>
            <w:tcW w:w="0" w:type="auto"/>
            <w:noWrap/>
            <w:hideMark/>
          </w:tcPr>
          <w:p w14:paraId="6F4CB893" w14:textId="77777777" w:rsidR="001E4F26" w:rsidRPr="001E4F26" w:rsidRDefault="001E4F26" w:rsidP="001E4F26">
            <w:pPr>
              <w:widowControl/>
              <w:autoSpaceDE/>
              <w:autoSpaceDN/>
              <w:rPr>
                <w:rFonts w:eastAsia="Times New Roman"/>
                <w:sz w:val="20"/>
                <w:szCs w:val="20"/>
                <w:lang w:val="en-CA" w:eastAsia="en-CA"/>
              </w:rPr>
            </w:pPr>
            <w:r w:rsidRPr="001E4F26">
              <w:rPr>
                <w:rFonts w:eastAsia="Times New Roman"/>
                <w:sz w:val="20"/>
                <w:szCs w:val="20"/>
                <w:lang w:val="en-CA" w:eastAsia="en-CA"/>
              </w:rPr>
              <w:t>General Service&lt;50kW</w:t>
            </w:r>
          </w:p>
        </w:tc>
        <w:tc>
          <w:tcPr>
            <w:tcW w:w="0" w:type="auto"/>
            <w:noWrap/>
            <w:hideMark/>
          </w:tcPr>
          <w:p w14:paraId="6D51DD5B"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$20.28</w:t>
            </w:r>
          </w:p>
        </w:tc>
        <w:tc>
          <w:tcPr>
            <w:tcW w:w="0" w:type="auto"/>
            <w:noWrap/>
            <w:hideMark/>
          </w:tcPr>
          <w:p w14:paraId="78A5D2EF"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$20.17</w:t>
            </w:r>
          </w:p>
        </w:tc>
        <w:tc>
          <w:tcPr>
            <w:tcW w:w="0" w:type="auto"/>
            <w:noWrap/>
            <w:hideMark/>
          </w:tcPr>
          <w:p w14:paraId="0C9A03CD"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-$0.1083</w:t>
            </w:r>
          </w:p>
        </w:tc>
      </w:tr>
      <w:tr w:rsidR="001E4F26" w:rsidRPr="001E4F26" w14:paraId="78BDEF07" w14:textId="77777777" w:rsidTr="001E4F26">
        <w:trPr>
          <w:trHeight w:val="300"/>
          <w:jc w:val="center"/>
        </w:trPr>
        <w:tc>
          <w:tcPr>
            <w:tcW w:w="0" w:type="auto"/>
            <w:noWrap/>
            <w:hideMark/>
          </w:tcPr>
          <w:p w14:paraId="44BF9623" w14:textId="77777777" w:rsidR="001E4F26" w:rsidRPr="001E4F26" w:rsidRDefault="001E4F26" w:rsidP="001E4F26">
            <w:pPr>
              <w:widowControl/>
              <w:autoSpaceDE/>
              <w:autoSpaceDN/>
              <w:rPr>
                <w:rFonts w:eastAsia="Times New Roman"/>
                <w:sz w:val="20"/>
                <w:szCs w:val="20"/>
                <w:lang w:val="en-CA" w:eastAsia="en-CA"/>
              </w:rPr>
            </w:pPr>
            <w:r w:rsidRPr="001E4F26">
              <w:rPr>
                <w:rFonts w:eastAsia="Times New Roman"/>
                <w:sz w:val="20"/>
                <w:szCs w:val="20"/>
                <w:lang w:val="en-CA" w:eastAsia="en-CA"/>
              </w:rPr>
              <w:t>General Service 50-4999kW</w:t>
            </w:r>
          </w:p>
        </w:tc>
        <w:tc>
          <w:tcPr>
            <w:tcW w:w="0" w:type="auto"/>
            <w:noWrap/>
            <w:hideMark/>
          </w:tcPr>
          <w:p w14:paraId="04EF85C6"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$112.00</w:t>
            </w:r>
          </w:p>
        </w:tc>
        <w:tc>
          <w:tcPr>
            <w:tcW w:w="0" w:type="auto"/>
            <w:noWrap/>
            <w:hideMark/>
          </w:tcPr>
          <w:p w14:paraId="73EBB439"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$111.40</w:t>
            </w:r>
          </w:p>
        </w:tc>
        <w:tc>
          <w:tcPr>
            <w:tcW w:w="0" w:type="auto"/>
            <w:noWrap/>
            <w:hideMark/>
          </w:tcPr>
          <w:p w14:paraId="346DF0DC"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-$0.5984</w:t>
            </w:r>
          </w:p>
        </w:tc>
      </w:tr>
      <w:tr w:rsidR="001E4F26" w:rsidRPr="001E4F26" w14:paraId="303B73ED" w14:textId="77777777" w:rsidTr="001E4F26">
        <w:trPr>
          <w:trHeight w:val="300"/>
          <w:jc w:val="center"/>
        </w:trPr>
        <w:tc>
          <w:tcPr>
            <w:tcW w:w="0" w:type="auto"/>
            <w:noWrap/>
            <w:hideMark/>
          </w:tcPr>
          <w:p w14:paraId="2987C7D8" w14:textId="77777777" w:rsidR="001E4F26" w:rsidRPr="001E4F26" w:rsidRDefault="001E4F26" w:rsidP="001E4F26">
            <w:pPr>
              <w:widowControl/>
              <w:autoSpaceDE/>
              <w:autoSpaceDN/>
              <w:rPr>
                <w:rFonts w:eastAsia="Times New Roman"/>
                <w:sz w:val="20"/>
                <w:szCs w:val="20"/>
                <w:lang w:val="en-CA" w:eastAsia="en-CA"/>
              </w:rPr>
            </w:pPr>
            <w:r w:rsidRPr="001E4F26">
              <w:rPr>
                <w:rFonts w:eastAsia="Times New Roman"/>
                <w:sz w:val="20"/>
                <w:szCs w:val="20"/>
                <w:lang w:val="en-CA" w:eastAsia="en-CA"/>
              </w:rPr>
              <w:t> </w:t>
            </w:r>
          </w:p>
        </w:tc>
        <w:tc>
          <w:tcPr>
            <w:tcW w:w="0" w:type="auto"/>
            <w:noWrap/>
            <w:hideMark/>
          </w:tcPr>
          <w:p w14:paraId="590A7D50"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 </w:t>
            </w:r>
          </w:p>
        </w:tc>
        <w:tc>
          <w:tcPr>
            <w:tcW w:w="0" w:type="auto"/>
            <w:noWrap/>
            <w:hideMark/>
          </w:tcPr>
          <w:p w14:paraId="027649B9"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 </w:t>
            </w:r>
          </w:p>
        </w:tc>
        <w:tc>
          <w:tcPr>
            <w:tcW w:w="0" w:type="auto"/>
            <w:noWrap/>
            <w:hideMark/>
          </w:tcPr>
          <w:p w14:paraId="0EF6E1A7"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 </w:t>
            </w:r>
          </w:p>
        </w:tc>
      </w:tr>
      <w:tr w:rsidR="001E4F26" w:rsidRPr="001E4F26" w14:paraId="4809E174" w14:textId="77777777" w:rsidTr="001E4F26">
        <w:trPr>
          <w:trHeight w:val="300"/>
          <w:jc w:val="center"/>
        </w:trPr>
        <w:tc>
          <w:tcPr>
            <w:tcW w:w="0" w:type="auto"/>
            <w:noWrap/>
            <w:hideMark/>
          </w:tcPr>
          <w:p w14:paraId="73DB14AD" w14:textId="77777777" w:rsidR="001E4F26" w:rsidRPr="001E4F26" w:rsidRDefault="001E4F26" w:rsidP="001E4F26">
            <w:pPr>
              <w:widowControl/>
              <w:autoSpaceDE/>
              <w:autoSpaceDN/>
              <w:rPr>
                <w:rFonts w:eastAsia="Times New Roman"/>
                <w:sz w:val="20"/>
                <w:szCs w:val="20"/>
                <w:lang w:val="en-CA" w:eastAsia="en-CA"/>
              </w:rPr>
            </w:pPr>
            <w:r w:rsidRPr="001E4F26">
              <w:rPr>
                <w:rFonts w:eastAsia="Times New Roman"/>
                <w:sz w:val="20"/>
                <w:szCs w:val="20"/>
                <w:lang w:val="en-CA" w:eastAsia="en-CA"/>
              </w:rPr>
              <w:t>Unmetered Scattered Load</w:t>
            </w:r>
          </w:p>
        </w:tc>
        <w:tc>
          <w:tcPr>
            <w:tcW w:w="0" w:type="auto"/>
            <w:noWrap/>
            <w:hideMark/>
          </w:tcPr>
          <w:p w14:paraId="36B518ED"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$9.62</w:t>
            </w:r>
          </w:p>
        </w:tc>
        <w:tc>
          <w:tcPr>
            <w:tcW w:w="0" w:type="auto"/>
            <w:noWrap/>
            <w:hideMark/>
          </w:tcPr>
          <w:p w14:paraId="5C89FB1C"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$9.57</w:t>
            </w:r>
          </w:p>
        </w:tc>
        <w:tc>
          <w:tcPr>
            <w:tcW w:w="0" w:type="auto"/>
            <w:noWrap/>
            <w:hideMark/>
          </w:tcPr>
          <w:p w14:paraId="34735829"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-$0.0514</w:t>
            </w:r>
          </w:p>
        </w:tc>
      </w:tr>
      <w:tr w:rsidR="001E4F26" w:rsidRPr="001E4F26" w14:paraId="7E1D379E" w14:textId="77777777" w:rsidTr="001E4F26">
        <w:trPr>
          <w:trHeight w:val="300"/>
          <w:jc w:val="center"/>
        </w:trPr>
        <w:tc>
          <w:tcPr>
            <w:tcW w:w="0" w:type="auto"/>
            <w:noWrap/>
            <w:hideMark/>
          </w:tcPr>
          <w:p w14:paraId="3E1B00B3" w14:textId="77777777" w:rsidR="001E4F26" w:rsidRPr="001E4F26" w:rsidRDefault="001E4F26" w:rsidP="001E4F26">
            <w:pPr>
              <w:widowControl/>
              <w:autoSpaceDE/>
              <w:autoSpaceDN/>
              <w:rPr>
                <w:rFonts w:eastAsia="Times New Roman"/>
                <w:sz w:val="20"/>
                <w:szCs w:val="20"/>
                <w:lang w:val="en-CA" w:eastAsia="en-CA"/>
              </w:rPr>
            </w:pPr>
            <w:r w:rsidRPr="001E4F26">
              <w:rPr>
                <w:rFonts w:eastAsia="Times New Roman"/>
                <w:sz w:val="20"/>
                <w:szCs w:val="20"/>
                <w:lang w:val="en-CA" w:eastAsia="en-CA"/>
              </w:rPr>
              <w:t>Sentinel Lights</w:t>
            </w:r>
          </w:p>
        </w:tc>
        <w:tc>
          <w:tcPr>
            <w:tcW w:w="0" w:type="auto"/>
            <w:noWrap/>
            <w:hideMark/>
          </w:tcPr>
          <w:p w14:paraId="2CF69989"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$1.74</w:t>
            </w:r>
          </w:p>
        </w:tc>
        <w:tc>
          <w:tcPr>
            <w:tcW w:w="0" w:type="auto"/>
            <w:noWrap/>
            <w:hideMark/>
          </w:tcPr>
          <w:p w14:paraId="0B6CF3B1"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$1.73</w:t>
            </w:r>
          </w:p>
        </w:tc>
        <w:tc>
          <w:tcPr>
            <w:tcW w:w="0" w:type="auto"/>
            <w:noWrap/>
            <w:hideMark/>
          </w:tcPr>
          <w:p w14:paraId="6DCD7563"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-$0.0093</w:t>
            </w:r>
          </w:p>
        </w:tc>
      </w:tr>
      <w:tr w:rsidR="001E4F26" w:rsidRPr="001E4F26" w14:paraId="55253324" w14:textId="77777777" w:rsidTr="001E4F26">
        <w:trPr>
          <w:trHeight w:val="300"/>
          <w:jc w:val="center"/>
        </w:trPr>
        <w:tc>
          <w:tcPr>
            <w:tcW w:w="0" w:type="auto"/>
            <w:noWrap/>
            <w:hideMark/>
          </w:tcPr>
          <w:p w14:paraId="41EBB4E4" w14:textId="36F872A4" w:rsidR="001E4F26" w:rsidRPr="001E4F26" w:rsidRDefault="001E4F26" w:rsidP="001E4F26">
            <w:pPr>
              <w:widowControl/>
              <w:autoSpaceDE/>
              <w:autoSpaceDN/>
              <w:rPr>
                <w:rFonts w:eastAsia="Times New Roman"/>
                <w:sz w:val="20"/>
                <w:szCs w:val="20"/>
                <w:lang w:val="en-CA" w:eastAsia="en-CA"/>
              </w:rPr>
            </w:pPr>
            <w:r w:rsidRPr="001E4F26">
              <w:rPr>
                <w:rFonts w:eastAsia="Times New Roman"/>
                <w:sz w:val="20"/>
                <w:szCs w:val="20"/>
                <w:lang w:val="en-CA" w:eastAsia="en-CA"/>
              </w:rPr>
              <w:t>Streetlights</w:t>
            </w:r>
          </w:p>
        </w:tc>
        <w:tc>
          <w:tcPr>
            <w:tcW w:w="0" w:type="auto"/>
            <w:noWrap/>
            <w:hideMark/>
          </w:tcPr>
          <w:p w14:paraId="0A87587C"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$0.58</w:t>
            </w:r>
          </w:p>
        </w:tc>
        <w:tc>
          <w:tcPr>
            <w:tcW w:w="0" w:type="auto"/>
            <w:noWrap/>
            <w:hideMark/>
          </w:tcPr>
          <w:p w14:paraId="055A55BB"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$0.57</w:t>
            </w:r>
          </w:p>
        </w:tc>
        <w:tc>
          <w:tcPr>
            <w:tcW w:w="0" w:type="auto"/>
            <w:noWrap/>
            <w:hideMark/>
          </w:tcPr>
          <w:p w14:paraId="7597A1C0"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-$0.0031</w:t>
            </w:r>
          </w:p>
        </w:tc>
      </w:tr>
      <w:tr w:rsidR="001E4F26" w:rsidRPr="001E4F26" w14:paraId="5794FBA3" w14:textId="77777777" w:rsidTr="001E4F26">
        <w:trPr>
          <w:trHeight w:val="300"/>
          <w:jc w:val="center"/>
        </w:trPr>
        <w:tc>
          <w:tcPr>
            <w:tcW w:w="0" w:type="auto"/>
            <w:noWrap/>
            <w:hideMark/>
          </w:tcPr>
          <w:p w14:paraId="0F27D79B" w14:textId="77777777" w:rsidR="001E4F26" w:rsidRPr="001E4F26" w:rsidRDefault="001E4F26" w:rsidP="001E4F26">
            <w:pPr>
              <w:widowControl/>
              <w:autoSpaceDE/>
              <w:autoSpaceDN/>
              <w:rPr>
                <w:rFonts w:eastAsia="Times New Roman"/>
                <w:sz w:val="20"/>
                <w:szCs w:val="20"/>
                <w:lang w:val="en-CA" w:eastAsia="en-CA"/>
              </w:rPr>
            </w:pPr>
            <w:r w:rsidRPr="001E4F26">
              <w:rPr>
                <w:rFonts w:eastAsia="Times New Roman"/>
                <w:sz w:val="20"/>
                <w:szCs w:val="20"/>
                <w:lang w:val="en-CA" w:eastAsia="en-CA"/>
              </w:rPr>
              <w:lastRenderedPageBreak/>
              <w:t> </w:t>
            </w:r>
          </w:p>
        </w:tc>
        <w:tc>
          <w:tcPr>
            <w:tcW w:w="0" w:type="auto"/>
            <w:noWrap/>
            <w:hideMark/>
          </w:tcPr>
          <w:p w14:paraId="0686FB87"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 </w:t>
            </w:r>
          </w:p>
        </w:tc>
        <w:tc>
          <w:tcPr>
            <w:tcW w:w="0" w:type="auto"/>
            <w:noWrap/>
            <w:hideMark/>
          </w:tcPr>
          <w:p w14:paraId="036C0F96"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 </w:t>
            </w:r>
          </w:p>
        </w:tc>
        <w:tc>
          <w:tcPr>
            <w:tcW w:w="0" w:type="auto"/>
            <w:noWrap/>
            <w:hideMark/>
          </w:tcPr>
          <w:p w14:paraId="639EA10A" w14:textId="77777777" w:rsidR="001E4F26" w:rsidRPr="001E4F26" w:rsidRDefault="001E4F26" w:rsidP="001E4F26">
            <w:pPr>
              <w:widowControl/>
              <w:autoSpaceDE/>
              <w:autoSpaceDN/>
              <w:rPr>
                <w:rFonts w:eastAsia="Times New Roman"/>
                <w:sz w:val="20"/>
                <w:szCs w:val="20"/>
                <w:lang w:val="en-CA" w:eastAsia="en-CA"/>
              </w:rPr>
            </w:pPr>
            <w:r w:rsidRPr="001E4F26">
              <w:rPr>
                <w:rFonts w:eastAsia="Times New Roman"/>
                <w:sz w:val="20"/>
                <w:szCs w:val="20"/>
                <w:lang w:val="en-CA" w:eastAsia="en-CA"/>
              </w:rPr>
              <w:t> </w:t>
            </w:r>
          </w:p>
        </w:tc>
      </w:tr>
      <w:tr w:rsidR="001E4F26" w:rsidRPr="001E4F26" w14:paraId="0507009F" w14:textId="77777777" w:rsidTr="001E4F26">
        <w:trPr>
          <w:trHeight w:val="300"/>
          <w:jc w:val="center"/>
        </w:trPr>
        <w:tc>
          <w:tcPr>
            <w:tcW w:w="0" w:type="auto"/>
            <w:noWrap/>
            <w:hideMark/>
          </w:tcPr>
          <w:p w14:paraId="0986717D" w14:textId="77777777" w:rsidR="001E4F26" w:rsidRPr="001E4F26" w:rsidRDefault="001E4F26" w:rsidP="001E4F26">
            <w:pPr>
              <w:widowControl/>
              <w:autoSpaceDE/>
              <w:autoSpaceDN/>
              <w:rPr>
                <w:rFonts w:eastAsia="Times New Roman"/>
                <w:b/>
                <w:bCs/>
                <w:sz w:val="20"/>
                <w:szCs w:val="20"/>
                <w:u w:val="single"/>
                <w:lang w:val="en-CA" w:eastAsia="en-CA"/>
              </w:rPr>
            </w:pPr>
            <w:r w:rsidRPr="001E4F26">
              <w:rPr>
                <w:rFonts w:eastAsia="Times New Roman"/>
                <w:b/>
                <w:bCs/>
                <w:sz w:val="20"/>
                <w:szCs w:val="20"/>
                <w:u w:val="single"/>
                <w:lang w:val="en-CA" w:eastAsia="en-CA"/>
              </w:rPr>
              <w:t>Variable Rates</w:t>
            </w:r>
          </w:p>
        </w:tc>
        <w:tc>
          <w:tcPr>
            <w:tcW w:w="0" w:type="auto"/>
            <w:noWrap/>
            <w:hideMark/>
          </w:tcPr>
          <w:p w14:paraId="05BC70A7" w14:textId="77777777" w:rsidR="001E4F26" w:rsidRPr="001E4F26" w:rsidRDefault="001E4F26" w:rsidP="001E4F26">
            <w:pPr>
              <w:widowControl/>
              <w:autoSpaceDE/>
              <w:autoSpaceDN/>
              <w:jc w:val="center"/>
              <w:rPr>
                <w:rFonts w:eastAsia="Times New Roman"/>
                <w:b/>
                <w:bCs/>
                <w:sz w:val="20"/>
                <w:szCs w:val="20"/>
                <w:u w:val="single"/>
                <w:lang w:val="en-CA" w:eastAsia="en-CA"/>
              </w:rPr>
            </w:pPr>
            <w:r w:rsidRPr="001E4F26">
              <w:rPr>
                <w:rFonts w:eastAsia="Times New Roman"/>
                <w:b/>
                <w:bCs/>
                <w:sz w:val="20"/>
                <w:szCs w:val="20"/>
                <w:u w:val="single"/>
                <w:lang w:val="en-CA" w:eastAsia="en-CA"/>
              </w:rPr>
              <w:t>Current Rates</w:t>
            </w:r>
          </w:p>
        </w:tc>
        <w:tc>
          <w:tcPr>
            <w:tcW w:w="0" w:type="auto"/>
            <w:noWrap/>
            <w:hideMark/>
          </w:tcPr>
          <w:p w14:paraId="293A588A" w14:textId="77777777" w:rsidR="001E4F26" w:rsidRPr="001E4F26" w:rsidRDefault="001E4F26" w:rsidP="001E4F26">
            <w:pPr>
              <w:widowControl/>
              <w:autoSpaceDE/>
              <w:autoSpaceDN/>
              <w:jc w:val="center"/>
              <w:rPr>
                <w:rFonts w:eastAsia="Times New Roman"/>
                <w:b/>
                <w:bCs/>
                <w:sz w:val="20"/>
                <w:szCs w:val="20"/>
                <w:u w:val="single"/>
                <w:lang w:val="en-CA" w:eastAsia="en-CA"/>
              </w:rPr>
            </w:pPr>
            <w:r w:rsidRPr="001E4F26">
              <w:rPr>
                <w:rFonts w:eastAsia="Times New Roman"/>
                <w:b/>
                <w:bCs/>
                <w:sz w:val="20"/>
                <w:szCs w:val="20"/>
                <w:u w:val="single"/>
                <w:lang w:val="en-CA" w:eastAsia="en-CA"/>
              </w:rPr>
              <w:t>Proposed</w:t>
            </w:r>
          </w:p>
        </w:tc>
        <w:tc>
          <w:tcPr>
            <w:tcW w:w="0" w:type="auto"/>
            <w:noWrap/>
            <w:hideMark/>
          </w:tcPr>
          <w:p w14:paraId="3E635D81" w14:textId="77777777" w:rsidR="001E4F26" w:rsidRPr="001E4F26" w:rsidRDefault="001E4F26" w:rsidP="001E4F26">
            <w:pPr>
              <w:widowControl/>
              <w:autoSpaceDE/>
              <w:autoSpaceDN/>
              <w:jc w:val="center"/>
              <w:rPr>
                <w:rFonts w:eastAsia="Times New Roman"/>
                <w:b/>
                <w:bCs/>
                <w:sz w:val="20"/>
                <w:szCs w:val="20"/>
                <w:u w:val="single"/>
                <w:lang w:val="en-CA" w:eastAsia="en-CA"/>
              </w:rPr>
            </w:pPr>
            <w:r w:rsidRPr="001E4F26">
              <w:rPr>
                <w:rFonts w:eastAsia="Times New Roman"/>
                <w:b/>
                <w:bCs/>
                <w:sz w:val="20"/>
                <w:szCs w:val="20"/>
                <w:u w:val="single"/>
                <w:lang w:val="en-CA" w:eastAsia="en-CA"/>
              </w:rPr>
              <w:t>Change</w:t>
            </w:r>
          </w:p>
        </w:tc>
      </w:tr>
      <w:tr w:rsidR="001E4F26" w:rsidRPr="001E4F26" w14:paraId="5A98A782" w14:textId="77777777" w:rsidTr="001E4F26">
        <w:trPr>
          <w:trHeight w:val="300"/>
          <w:jc w:val="center"/>
        </w:trPr>
        <w:tc>
          <w:tcPr>
            <w:tcW w:w="0" w:type="auto"/>
            <w:noWrap/>
            <w:hideMark/>
          </w:tcPr>
          <w:p w14:paraId="78AF96AB" w14:textId="77777777" w:rsidR="001E4F26" w:rsidRPr="001E4F26" w:rsidRDefault="001E4F26" w:rsidP="001E4F26">
            <w:pPr>
              <w:widowControl/>
              <w:autoSpaceDE/>
              <w:autoSpaceDN/>
              <w:rPr>
                <w:rFonts w:eastAsia="Times New Roman"/>
                <w:sz w:val="20"/>
                <w:szCs w:val="20"/>
                <w:lang w:val="en-CA" w:eastAsia="en-CA"/>
              </w:rPr>
            </w:pPr>
            <w:r w:rsidRPr="001E4F26">
              <w:rPr>
                <w:rFonts w:eastAsia="Times New Roman"/>
                <w:sz w:val="20"/>
                <w:szCs w:val="20"/>
                <w:lang w:val="en-CA" w:eastAsia="en-CA"/>
              </w:rPr>
              <w:t> </w:t>
            </w:r>
          </w:p>
        </w:tc>
        <w:tc>
          <w:tcPr>
            <w:tcW w:w="0" w:type="auto"/>
            <w:noWrap/>
            <w:hideMark/>
          </w:tcPr>
          <w:p w14:paraId="03342632"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Var</w:t>
            </w:r>
          </w:p>
        </w:tc>
        <w:tc>
          <w:tcPr>
            <w:tcW w:w="0" w:type="auto"/>
            <w:noWrap/>
            <w:hideMark/>
          </w:tcPr>
          <w:p w14:paraId="02A9FA40"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Var</w:t>
            </w:r>
          </w:p>
        </w:tc>
        <w:tc>
          <w:tcPr>
            <w:tcW w:w="0" w:type="auto"/>
            <w:noWrap/>
            <w:hideMark/>
          </w:tcPr>
          <w:p w14:paraId="4DF21190"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 xml:space="preserve"> </w:t>
            </w:r>
          </w:p>
        </w:tc>
      </w:tr>
      <w:tr w:rsidR="001E4F26" w:rsidRPr="001E4F26" w14:paraId="6E3ACF1B" w14:textId="77777777" w:rsidTr="001E4F26">
        <w:trPr>
          <w:trHeight w:val="300"/>
          <w:jc w:val="center"/>
        </w:trPr>
        <w:tc>
          <w:tcPr>
            <w:tcW w:w="0" w:type="auto"/>
            <w:noWrap/>
            <w:hideMark/>
          </w:tcPr>
          <w:p w14:paraId="2D5F157F" w14:textId="77777777" w:rsidR="001E4F26" w:rsidRPr="001E4F26" w:rsidRDefault="001E4F26" w:rsidP="001E4F26">
            <w:pPr>
              <w:widowControl/>
              <w:autoSpaceDE/>
              <w:autoSpaceDN/>
              <w:rPr>
                <w:rFonts w:eastAsia="Times New Roman"/>
                <w:sz w:val="20"/>
                <w:szCs w:val="20"/>
                <w:lang w:val="en-CA" w:eastAsia="en-CA"/>
              </w:rPr>
            </w:pPr>
            <w:r w:rsidRPr="001E4F26">
              <w:rPr>
                <w:rFonts w:eastAsia="Times New Roman"/>
                <w:sz w:val="20"/>
                <w:szCs w:val="20"/>
                <w:lang w:val="en-CA" w:eastAsia="en-CA"/>
              </w:rPr>
              <w:t>Residential</w:t>
            </w:r>
          </w:p>
        </w:tc>
        <w:tc>
          <w:tcPr>
            <w:tcW w:w="0" w:type="auto"/>
            <w:noWrap/>
            <w:hideMark/>
          </w:tcPr>
          <w:p w14:paraId="33C878DD"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$0.0000</w:t>
            </w:r>
          </w:p>
        </w:tc>
        <w:tc>
          <w:tcPr>
            <w:tcW w:w="0" w:type="auto"/>
            <w:noWrap/>
            <w:hideMark/>
          </w:tcPr>
          <w:p w14:paraId="2CD173F4"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$0.0000</w:t>
            </w:r>
          </w:p>
        </w:tc>
        <w:tc>
          <w:tcPr>
            <w:tcW w:w="0" w:type="auto"/>
            <w:noWrap/>
            <w:hideMark/>
          </w:tcPr>
          <w:p w14:paraId="7A5A1DEC"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$0.0000</w:t>
            </w:r>
          </w:p>
        </w:tc>
      </w:tr>
      <w:tr w:rsidR="001E4F26" w:rsidRPr="001E4F26" w14:paraId="2D820C98" w14:textId="77777777" w:rsidTr="001E4F26">
        <w:trPr>
          <w:trHeight w:val="300"/>
          <w:jc w:val="center"/>
        </w:trPr>
        <w:tc>
          <w:tcPr>
            <w:tcW w:w="0" w:type="auto"/>
            <w:noWrap/>
            <w:hideMark/>
          </w:tcPr>
          <w:p w14:paraId="6128400F" w14:textId="77777777" w:rsidR="001E4F26" w:rsidRPr="001E4F26" w:rsidRDefault="001E4F26" w:rsidP="001E4F26">
            <w:pPr>
              <w:widowControl/>
              <w:autoSpaceDE/>
              <w:autoSpaceDN/>
              <w:rPr>
                <w:rFonts w:eastAsia="Times New Roman"/>
                <w:sz w:val="20"/>
                <w:szCs w:val="20"/>
                <w:lang w:val="en-CA" w:eastAsia="en-CA"/>
              </w:rPr>
            </w:pPr>
            <w:r w:rsidRPr="001E4F26">
              <w:rPr>
                <w:rFonts w:eastAsia="Times New Roman"/>
                <w:sz w:val="20"/>
                <w:szCs w:val="20"/>
                <w:lang w:val="en-CA" w:eastAsia="en-CA"/>
              </w:rPr>
              <w:t>General Service&lt;50kW</w:t>
            </w:r>
          </w:p>
        </w:tc>
        <w:tc>
          <w:tcPr>
            <w:tcW w:w="0" w:type="auto"/>
            <w:noWrap/>
            <w:hideMark/>
          </w:tcPr>
          <w:p w14:paraId="602E6606"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$0.0092</w:t>
            </w:r>
          </w:p>
        </w:tc>
        <w:tc>
          <w:tcPr>
            <w:tcW w:w="0" w:type="auto"/>
            <w:noWrap/>
            <w:hideMark/>
          </w:tcPr>
          <w:p w14:paraId="6F0CE791"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$0.0092</w:t>
            </w:r>
          </w:p>
        </w:tc>
        <w:tc>
          <w:tcPr>
            <w:tcW w:w="0" w:type="auto"/>
            <w:noWrap/>
            <w:hideMark/>
          </w:tcPr>
          <w:p w14:paraId="5D1C9B63"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$0.0000</w:t>
            </w:r>
          </w:p>
        </w:tc>
      </w:tr>
      <w:tr w:rsidR="001E4F26" w:rsidRPr="001E4F26" w14:paraId="6BA18242" w14:textId="77777777" w:rsidTr="001E4F26">
        <w:trPr>
          <w:trHeight w:val="300"/>
          <w:jc w:val="center"/>
        </w:trPr>
        <w:tc>
          <w:tcPr>
            <w:tcW w:w="0" w:type="auto"/>
            <w:noWrap/>
            <w:hideMark/>
          </w:tcPr>
          <w:p w14:paraId="7129DEB6" w14:textId="77777777" w:rsidR="001E4F26" w:rsidRPr="001E4F26" w:rsidRDefault="001E4F26" w:rsidP="001E4F26">
            <w:pPr>
              <w:widowControl/>
              <w:autoSpaceDE/>
              <w:autoSpaceDN/>
              <w:rPr>
                <w:rFonts w:eastAsia="Times New Roman"/>
                <w:sz w:val="20"/>
                <w:szCs w:val="20"/>
                <w:lang w:val="en-CA" w:eastAsia="en-CA"/>
              </w:rPr>
            </w:pPr>
            <w:r w:rsidRPr="001E4F26">
              <w:rPr>
                <w:rFonts w:eastAsia="Times New Roman"/>
                <w:sz w:val="20"/>
                <w:szCs w:val="20"/>
                <w:lang w:val="en-CA" w:eastAsia="en-CA"/>
              </w:rPr>
              <w:t>General Service 50-4999kW</w:t>
            </w:r>
          </w:p>
        </w:tc>
        <w:tc>
          <w:tcPr>
            <w:tcW w:w="0" w:type="auto"/>
            <w:noWrap/>
            <w:hideMark/>
          </w:tcPr>
          <w:p w14:paraId="6E51CE7F"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$2.1118</w:t>
            </w:r>
          </w:p>
        </w:tc>
        <w:tc>
          <w:tcPr>
            <w:tcW w:w="0" w:type="auto"/>
            <w:noWrap/>
            <w:hideMark/>
          </w:tcPr>
          <w:p w14:paraId="536BCB02"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$2.7005</w:t>
            </w:r>
          </w:p>
        </w:tc>
        <w:tc>
          <w:tcPr>
            <w:tcW w:w="0" w:type="auto"/>
            <w:noWrap/>
            <w:hideMark/>
          </w:tcPr>
          <w:p w14:paraId="6957E2B7"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$0.5887</w:t>
            </w:r>
          </w:p>
        </w:tc>
      </w:tr>
      <w:tr w:rsidR="001E4F26" w:rsidRPr="001E4F26" w14:paraId="6E7B0DBD" w14:textId="77777777" w:rsidTr="001E4F26">
        <w:trPr>
          <w:trHeight w:val="300"/>
          <w:jc w:val="center"/>
        </w:trPr>
        <w:tc>
          <w:tcPr>
            <w:tcW w:w="0" w:type="auto"/>
            <w:noWrap/>
            <w:hideMark/>
          </w:tcPr>
          <w:p w14:paraId="2E0F20E1" w14:textId="77777777" w:rsidR="001E4F26" w:rsidRPr="001E4F26" w:rsidRDefault="001E4F26" w:rsidP="001E4F26">
            <w:pPr>
              <w:widowControl/>
              <w:autoSpaceDE/>
              <w:autoSpaceDN/>
              <w:rPr>
                <w:rFonts w:eastAsia="Times New Roman"/>
                <w:sz w:val="20"/>
                <w:szCs w:val="20"/>
                <w:lang w:val="en-CA" w:eastAsia="en-CA"/>
              </w:rPr>
            </w:pPr>
            <w:r w:rsidRPr="001E4F26">
              <w:rPr>
                <w:rFonts w:eastAsia="Times New Roman"/>
                <w:sz w:val="20"/>
                <w:szCs w:val="20"/>
                <w:lang w:val="en-CA" w:eastAsia="en-CA"/>
              </w:rPr>
              <w:t> </w:t>
            </w:r>
          </w:p>
        </w:tc>
        <w:tc>
          <w:tcPr>
            <w:tcW w:w="0" w:type="auto"/>
            <w:noWrap/>
            <w:hideMark/>
          </w:tcPr>
          <w:p w14:paraId="156D17CE"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 </w:t>
            </w:r>
          </w:p>
        </w:tc>
        <w:tc>
          <w:tcPr>
            <w:tcW w:w="0" w:type="auto"/>
            <w:noWrap/>
            <w:hideMark/>
          </w:tcPr>
          <w:p w14:paraId="1536F8EE"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 </w:t>
            </w:r>
          </w:p>
        </w:tc>
        <w:tc>
          <w:tcPr>
            <w:tcW w:w="0" w:type="auto"/>
            <w:noWrap/>
            <w:hideMark/>
          </w:tcPr>
          <w:p w14:paraId="78F873B0"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 </w:t>
            </w:r>
          </w:p>
        </w:tc>
      </w:tr>
      <w:tr w:rsidR="001E4F26" w:rsidRPr="001E4F26" w14:paraId="7BE9D08C" w14:textId="77777777" w:rsidTr="001E4F26">
        <w:trPr>
          <w:trHeight w:val="300"/>
          <w:jc w:val="center"/>
        </w:trPr>
        <w:tc>
          <w:tcPr>
            <w:tcW w:w="0" w:type="auto"/>
            <w:noWrap/>
            <w:hideMark/>
          </w:tcPr>
          <w:p w14:paraId="01CAED98" w14:textId="77777777" w:rsidR="001E4F26" w:rsidRPr="001E4F26" w:rsidRDefault="001E4F26" w:rsidP="001E4F26">
            <w:pPr>
              <w:widowControl/>
              <w:autoSpaceDE/>
              <w:autoSpaceDN/>
              <w:rPr>
                <w:rFonts w:eastAsia="Times New Roman"/>
                <w:sz w:val="20"/>
                <w:szCs w:val="20"/>
                <w:lang w:val="en-CA" w:eastAsia="en-CA"/>
              </w:rPr>
            </w:pPr>
            <w:r w:rsidRPr="001E4F26">
              <w:rPr>
                <w:rFonts w:eastAsia="Times New Roman"/>
                <w:sz w:val="20"/>
                <w:szCs w:val="20"/>
                <w:lang w:val="en-CA" w:eastAsia="en-CA"/>
              </w:rPr>
              <w:t>Unmetered Scattered Load</w:t>
            </w:r>
          </w:p>
        </w:tc>
        <w:tc>
          <w:tcPr>
            <w:tcW w:w="0" w:type="auto"/>
            <w:noWrap/>
            <w:hideMark/>
          </w:tcPr>
          <w:p w14:paraId="6109A347"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$0.0057</w:t>
            </w:r>
          </w:p>
        </w:tc>
        <w:tc>
          <w:tcPr>
            <w:tcW w:w="0" w:type="auto"/>
            <w:noWrap/>
            <w:hideMark/>
          </w:tcPr>
          <w:p w14:paraId="49C9CA70"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$0.0057</w:t>
            </w:r>
          </w:p>
        </w:tc>
        <w:tc>
          <w:tcPr>
            <w:tcW w:w="0" w:type="auto"/>
            <w:noWrap/>
            <w:hideMark/>
          </w:tcPr>
          <w:p w14:paraId="5D680DE4"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$0.0000</w:t>
            </w:r>
          </w:p>
        </w:tc>
      </w:tr>
      <w:tr w:rsidR="001E4F26" w:rsidRPr="001E4F26" w14:paraId="5C869D37" w14:textId="77777777" w:rsidTr="001E4F26">
        <w:trPr>
          <w:trHeight w:val="300"/>
          <w:jc w:val="center"/>
        </w:trPr>
        <w:tc>
          <w:tcPr>
            <w:tcW w:w="0" w:type="auto"/>
            <w:noWrap/>
            <w:hideMark/>
          </w:tcPr>
          <w:p w14:paraId="53F27A34" w14:textId="77777777" w:rsidR="001E4F26" w:rsidRPr="001E4F26" w:rsidRDefault="001E4F26" w:rsidP="001E4F26">
            <w:pPr>
              <w:widowControl/>
              <w:autoSpaceDE/>
              <w:autoSpaceDN/>
              <w:rPr>
                <w:rFonts w:eastAsia="Times New Roman"/>
                <w:sz w:val="20"/>
                <w:szCs w:val="20"/>
                <w:lang w:val="en-CA" w:eastAsia="en-CA"/>
              </w:rPr>
            </w:pPr>
            <w:r w:rsidRPr="001E4F26">
              <w:rPr>
                <w:rFonts w:eastAsia="Times New Roman"/>
                <w:sz w:val="20"/>
                <w:szCs w:val="20"/>
                <w:lang w:val="en-CA" w:eastAsia="en-CA"/>
              </w:rPr>
              <w:t>Sentinel Lights</w:t>
            </w:r>
          </w:p>
        </w:tc>
        <w:tc>
          <w:tcPr>
            <w:tcW w:w="0" w:type="auto"/>
            <w:noWrap/>
            <w:hideMark/>
          </w:tcPr>
          <w:p w14:paraId="1846F3BC"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$4.0790</w:t>
            </w:r>
          </w:p>
        </w:tc>
        <w:tc>
          <w:tcPr>
            <w:tcW w:w="0" w:type="auto"/>
            <w:noWrap/>
            <w:hideMark/>
          </w:tcPr>
          <w:p w14:paraId="75013AC7"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$4.0572</w:t>
            </w:r>
          </w:p>
        </w:tc>
        <w:tc>
          <w:tcPr>
            <w:tcW w:w="0" w:type="auto"/>
            <w:noWrap/>
            <w:hideMark/>
          </w:tcPr>
          <w:p w14:paraId="4B38C912"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-$0.0218</w:t>
            </w:r>
          </w:p>
        </w:tc>
      </w:tr>
      <w:tr w:rsidR="001E4F26" w:rsidRPr="001E4F26" w14:paraId="78BF1305" w14:textId="77777777" w:rsidTr="001E4F26">
        <w:trPr>
          <w:trHeight w:val="300"/>
          <w:jc w:val="center"/>
        </w:trPr>
        <w:tc>
          <w:tcPr>
            <w:tcW w:w="0" w:type="auto"/>
            <w:noWrap/>
            <w:hideMark/>
          </w:tcPr>
          <w:p w14:paraId="334A337A" w14:textId="2A41487C" w:rsidR="001E4F26" w:rsidRPr="001E4F26" w:rsidRDefault="001E4F26" w:rsidP="001E4F26">
            <w:pPr>
              <w:widowControl/>
              <w:autoSpaceDE/>
              <w:autoSpaceDN/>
              <w:rPr>
                <w:rFonts w:eastAsia="Times New Roman"/>
                <w:sz w:val="20"/>
                <w:szCs w:val="20"/>
                <w:lang w:val="en-CA" w:eastAsia="en-CA"/>
              </w:rPr>
            </w:pPr>
            <w:r w:rsidRPr="001E4F26">
              <w:rPr>
                <w:rFonts w:eastAsia="Times New Roman"/>
                <w:sz w:val="20"/>
                <w:szCs w:val="20"/>
                <w:lang w:val="en-CA" w:eastAsia="en-CA"/>
              </w:rPr>
              <w:t>Streetlights</w:t>
            </w:r>
          </w:p>
        </w:tc>
        <w:tc>
          <w:tcPr>
            <w:tcW w:w="0" w:type="auto"/>
            <w:noWrap/>
            <w:hideMark/>
          </w:tcPr>
          <w:p w14:paraId="40A5A9C2"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$6.3099</w:t>
            </w:r>
          </w:p>
        </w:tc>
        <w:tc>
          <w:tcPr>
            <w:tcW w:w="0" w:type="auto"/>
            <w:noWrap/>
            <w:hideMark/>
          </w:tcPr>
          <w:p w14:paraId="2E6E5A88"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$6.2761</w:t>
            </w:r>
          </w:p>
        </w:tc>
        <w:tc>
          <w:tcPr>
            <w:tcW w:w="0" w:type="auto"/>
            <w:noWrap/>
            <w:hideMark/>
          </w:tcPr>
          <w:p w14:paraId="5A93F230" w14:textId="77777777" w:rsidR="001E4F26" w:rsidRPr="001E4F26" w:rsidRDefault="001E4F26" w:rsidP="001E4F26">
            <w:pPr>
              <w:widowControl/>
              <w:autoSpaceDE/>
              <w:autoSpaceDN/>
              <w:jc w:val="center"/>
              <w:rPr>
                <w:rFonts w:eastAsia="Times New Roman"/>
                <w:sz w:val="20"/>
                <w:szCs w:val="20"/>
                <w:lang w:val="en-CA" w:eastAsia="en-CA"/>
              </w:rPr>
            </w:pPr>
            <w:r w:rsidRPr="001E4F26">
              <w:rPr>
                <w:rFonts w:eastAsia="Times New Roman"/>
                <w:sz w:val="20"/>
                <w:szCs w:val="20"/>
                <w:lang w:val="en-CA" w:eastAsia="en-CA"/>
              </w:rPr>
              <w:t>-$0.0337</w:t>
            </w:r>
          </w:p>
        </w:tc>
      </w:tr>
    </w:tbl>
    <w:p w14:paraId="32668D0B" w14:textId="77777777" w:rsidR="001E4F26" w:rsidRDefault="001E4F26">
      <w:pPr>
        <w:rPr>
          <w:color w:val="0070C0"/>
          <w:sz w:val="24"/>
          <w:szCs w:val="24"/>
        </w:rPr>
      </w:pPr>
    </w:p>
    <w:p w14:paraId="14DB7C57" w14:textId="77777777" w:rsidR="001E4F26" w:rsidRDefault="001E4F26" w:rsidP="001E4F26">
      <w:pPr>
        <w:jc w:val="center"/>
        <w:rPr>
          <w:b/>
          <w:bCs/>
          <w:color w:val="0070C0"/>
          <w:sz w:val="24"/>
          <w:szCs w:val="24"/>
        </w:rPr>
      </w:pPr>
    </w:p>
    <w:p w14:paraId="0D9EACD2" w14:textId="39A37CAB" w:rsidR="001E4F26" w:rsidRDefault="001E4F26" w:rsidP="001E4F26">
      <w:pPr>
        <w:jc w:val="center"/>
        <w:rPr>
          <w:color w:val="0070C0"/>
          <w:sz w:val="24"/>
          <w:szCs w:val="24"/>
        </w:rPr>
      </w:pPr>
      <w:r>
        <w:rPr>
          <w:b/>
          <w:bCs/>
          <w:color w:val="0070C0"/>
          <w:sz w:val="24"/>
          <w:szCs w:val="24"/>
        </w:rPr>
        <w:t xml:space="preserve">Table 2 - </w:t>
      </w:r>
      <w:r w:rsidRPr="001E4F26">
        <w:rPr>
          <w:b/>
          <w:bCs/>
          <w:color w:val="0070C0"/>
          <w:sz w:val="24"/>
          <w:szCs w:val="24"/>
        </w:rPr>
        <w:t>2025 DSTDR, DLTDR, and ROE Rate Rider</w:t>
      </w:r>
    </w:p>
    <w:p w14:paraId="334B5A53" w14:textId="77777777" w:rsidR="001E4F26" w:rsidRDefault="001E4F26">
      <w:pPr>
        <w:rPr>
          <w:color w:val="0070C0"/>
          <w:sz w:val="24"/>
          <w:szCs w:val="24"/>
        </w:rPr>
      </w:pPr>
    </w:p>
    <w:tbl>
      <w:tblPr>
        <w:tblW w:w="5755" w:type="pct"/>
        <w:jc w:val="center"/>
        <w:tblLook w:val="04A0" w:firstRow="1" w:lastRow="0" w:firstColumn="1" w:lastColumn="0" w:noHBand="0" w:noVBand="1"/>
      </w:tblPr>
      <w:tblGrid>
        <w:gridCol w:w="3187"/>
        <w:gridCol w:w="1301"/>
        <w:gridCol w:w="1017"/>
        <w:gridCol w:w="1240"/>
        <w:gridCol w:w="990"/>
        <w:gridCol w:w="1762"/>
        <w:gridCol w:w="1276"/>
      </w:tblGrid>
      <w:tr w:rsidR="001E4F26" w:rsidRPr="001E4F26" w14:paraId="324CCEB8" w14:textId="77777777" w:rsidTr="001E4F26">
        <w:trPr>
          <w:trHeight w:val="282"/>
          <w:jc w:val="center"/>
        </w:trPr>
        <w:tc>
          <w:tcPr>
            <w:tcW w:w="1479" w:type="pct"/>
            <w:tcBorders>
              <w:top w:val="nil"/>
              <w:left w:val="nil"/>
              <w:bottom w:val="nil"/>
              <w:right w:val="nil"/>
            </w:tcBorders>
            <w:noWrap/>
            <w:vAlign w:val="center"/>
            <w:hideMark/>
          </w:tcPr>
          <w:p w14:paraId="3C547D12" w14:textId="77777777" w:rsidR="001E4F26" w:rsidRPr="001E4F26" w:rsidRDefault="001E4F26" w:rsidP="001E4F26">
            <w:pPr>
              <w:widowControl/>
              <w:autoSpaceDE/>
              <w:autoSpaceDN/>
              <w:jc w:val="center"/>
              <w:rPr>
                <w:rFonts w:ascii="Times New Roman" w:eastAsia="Times New Roman" w:hAnsi="Times New Roman" w:cs="Times New Roman"/>
                <w:sz w:val="16"/>
                <w:szCs w:val="16"/>
                <w:lang w:val="en-CA" w:eastAsia="en-CA"/>
              </w:rPr>
            </w:pPr>
          </w:p>
        </w:tc>
        <w:tc>
          <w:tcPr>
            <w:tcW w:w="604" w:type="pct"/>
            <w:tcBorders>
              <w:top w:val="single" w:sz="4" w:space="0" w:color="auto"/>
              <w:left w:val="single" w:sz="4" w:space="0" w:color="auto"/>
              <w:bottom w:val="single" w:sz="4" w:space="0" w:color="auto"/>
              <w:right w:val="single" w:sz="4" w:space="0" w:color="auto"/>
            </w:tcBorders>
            <w:noWrap/>
            <w:vAlign w:val="center"/>
            <w:hideMark/>
          </w:tcPr>
          <w:p w14:paraId="104EF562" w14:textId="77777777" w:rsidR="001E4F26" w:rsidRPr="001E4F26" w:rsidRDefault="001E4F26" w:rsidP="001E4F26">
            <w:pPr>
              <w:widowControl/>
              <w:autoSpaceDE/>
              <w:autoSpaceDN/>
              <w:jc w:val="center"/>
              <w:rPr>
                <w:rFonts w:eastAsia="Times New Roman"/>
                <w:color w:val="606060"/>
                <w:sz w:val="16"/>
                <w:szCs w:val="16"/>
                <w:lang w:val="en-CA" w:eastAsia="en-CA"/>
              </w:rPr>
            </w:pPr>
            <w:r w:rsidRPr="001E4F26">
              <w:rPr>
                <w:rFonts w:eastAsia="Times New Roman"/>
                <w:color w:val="606060"/>
                <w:sz w:val="16"/>
                <w:szCs w:val="16"/>
                <w:lang w:val="en-CA" w:eastAsia="en-CA"/>
              </w:rPr>
              <w:t># Months</w:t>
            </w:r>
          </w:p>
        </w:tc>
        <w:tc>
          <w:tcPr>
            <w:tcW w:w="472" w:type="pct"/>
            <w:tcBorders>
              <w:top w:val="single" w:sz="4" w:space="0" w:color="auto"/>
              <w:left w:val="nil"/>
              <w:bottom w:val="single" w:sz="4" w:space="0" w:color="auto"/>
              <w:right w:val="single" w:sz="4" w:space="0" w:color="auto"/>
            </w:tcBorders>
            <w:noWrap/>
            <w:vAlign w:val="center"/>
            <w:hideMark/>
          </w:tcPr>
          <w:p w14:paraId="40285BE9" w14:textId="77777777" w:rsidR="001E4F26" w:rsidRPr="001E4F26" w:rsidRDefault="001E4F26" w:rsidP="001E4F26">
            <w:pPr>
              <w:widowControl/>
              <w:autoSpaceDE/>
              <w:autoSpaceDN/>
              <w:jc w:val="center"/>
              <w:rPr>
                <w:rFonts w:eastAsia="Times New Roman"/>
                <w:color w:val="606060"/>
                <w:sz w:val="16"/>
                <w:szCs w:val="16"/>
                <w:lang w:val="en-CA" w:eastAsia="en-CA"/>
              </w:rPr>
            </w:pPr>
            <w:r w:rsidRPr="001E4F26">
              <w:rPr>
                <w:rFonts w:eastAsia="Times New Roman"/>
                <w:color w:val="606060"/>
                <w:sz w:val="16"/>
                <w:szCs w:val="16"/>
                <w:lang w:val="en-CA" w:eastAsia="en-CA"/>
              </w:rPr>
              <w:t>12</w:t>
            </w:r>
          </w:p>
        </w:tc>
        <w:tc>
          <w:tcPr>
            <w:tcW w:w="576" w:type="pct"/>
            <w:tcBorders>
              <w:top w:val="nil"/>
              <w:left w:val="nil"/>
              <w:bottom w:val="nil"/>
              <w:right w:val="nil"/>
            </w:tcBorders>
            <w:noWrap/>
            <w:vAlign w:val="center"/>
            <w:hideMark/>
          </w:tcPr>
          <w:p w14:paraId="675AD308" w14:textId="77777777" w:rsidR="001E4F26" w:rsidRPr="001E4F26" w:rsidRDefault="001E4F26" w:rsidP="001E4F26">
            <w:pPr>
              <w:widowControl/>
              <w:autoSpaceDE/>
              <w:autoSpaceDN/>
              <w:jc w:val="center"/>
              <w:rPr>
                <w:rFonts w:eastAsia="Times New Roman"/>
                <w:color w:val="606060"/>
                <w:sz w:val="16"/>
                <w:szCs w:val="16"/>
                <w:lang w:val="en-CA" w:eastAsia="en-CA"/>
              </w:rPr>
            </w:pPr>
          </w:p>
        </w:tc>
        <w:tc>
          <w:tcPr>
            <w:tcW w:w="459" w:type="pct"/>
            <w:tcBorders>
              <w:top w:val="nil"/>
              <w:left w:val="nil"/>
              <w:bottom w:val="nil"/>
              <w:right w:val="nil"/>
            </w:tcBorders>
            <w:noWrap/>
            <w:vAlign w:val="center"/>
            <w:hideMark/>
          </w:tcPr>
          <w:p w14:paraId="225ECE7F" w14:textId="77777777" w:rsidR="001E4F26" w:rsidRPr="001E4F26" w:rsidRDefault="001E4F26" w:rsidP="001E4F26">
            <w:pPr>
              <w:widowControl/>
              <w:autoSpaceDE/>
              <w:autoSpaceDN/>
              <w:jc w:val="center"/>
              <w:rPr>
                <w:rFonts w:ascii="Times New Roman" w:eastAsia="Times New Roman" w:hAnsi="Times New Roman" w:cs="Times New Roman"/>
                <w:sz w:val="16"/>
                <w:szCs w:val="16"/>
                <w:lang w:val="en-CA" w:eastAsia="en-CA"/>
              </w:rPr>
            </w:pPr>
          </w:p>
        </w:tc>
        <w:tc>
          <w:tcPr>
            <w:tcW w:w="818" w:type="pct"/>
            <w:tcBorders>
              <w:top w:val="nil"/>
              <w:left w:val="nil"/>
              <w:bottom w:val="nil"/>
              <w:right w:val="nil"/>
            </w:tcBorders>
            <w:noWrap/>
            <w:vAlign w:val="center"/>
            <w:hideMark/>
          </w:tcPr>
          <w:p w14:paraId="2A24A9E4" w14:textId="77777777" w:rsidR="001E4F26" w:rsidRPr="001E4F26" w:rsidRDefault="001E4F26" w:rsidP="001E4F26">
            <w:pPr>
              <w:widowControl/>
              <w:autoSpaceDE/>
              <w:autoSpaceDN/>
              <w:jc w:val="center"/>
              <w:rPr>
                <w:rFonts w:ascii="Times New Roman" w:eastAsia="Times New Roman" w:hAnsi="Times New Roman" w:cs="Times New Roman"/>
                <w:sz w:val="16"/>
                <w:szCs w:val="16"/>
                <w:lang w:val="en-CA" w:eastAsia="en-CA"/>
              </w:rPr>
            </w:pPr>
          </w:p>
        </w:tc>
        <w:tc>
          <w:tcPr>
            <w:tcW w:w="592" w:type="pct"/>
            <w:tcBorders>
              <w:top w:val="nil"/>
              <w:left w:val="nil"/>
              <w:bottom w:val="nil"/>
              <w:right w:val="nil"/>
            </w:tcBorders>
            <w:noWrap/>
            <w:vAlign w:val="center"/>
            <w:hideMark/>
          </w:tcPr>
          <w:p w14:paraId="5B965BCE" w14:textId="77777777" w:rsidR="001E4F26" w:rsidRPr="001E4F26" w:rsidRDefault="001E4F26" w:rsidP="001E4F26">
            <w:pPr>
              <w:widowControl/>
              <w:autoSpaceDE/>
              <w:autoSpaceDN/>
              <w:jc w:val="center"/>
              <w:rPr>
                <w:rFonts w:ascii="Times New Roman" w:eastAsia="Times New Roman" w:hAnsi="Times New Roman" w:cs="Times New Roman"/>
                <w:sz w:val="16"/>
                <w:szCs w:val="16"/>
                <w:lang w:val="en-CA" w:eastAsia="en-CA"/>
              </w:rPr>
            </w:pPr>
          </w:p>
        </w:tc>
      </w:tr>
      <w:tr w:rsidR="001E4F26" w:rsidRPr="001E4F26" w14:paraId="290FB139" w14:textId="77777777" w:rsidTr="001E4F26">
        <w:trPr>
          <w:trHeight w:val="282"/>
          <w:jc w:val="center"/>
        </w:trPr>
        <w:tc>
          <w:tcPr>
            <w:tcW w:w="1479" w:type="pct"/>
            <w:tcBorders>
              <w:top w:val="nil"/>
              <w:left w:val="nil"/>
              <w:bottom w:val="nil"/>
              <w:right w:val="nil"/>
            </w:tcBorders>
            <w:noWrap/>
            <w:vAlign w:val="center"/>
            <w:hideMark/>
          </w:tcPr>
          <w:p w14:paraId="47A33D5D" w14:textId="77777777" w:rsidR="001E4F26" w:rsidRPr="001E4F26" w:rsidRDefault="001E4F26" w:rsidP="001E4F26">
            <w:pPr>
              <w:widowControl/>
              <w:autoSpaceDE/>
              <w:autoSpaceDN/>
              <w:jc w:val="center"/>
              <w:rPr>
                <w:rFonts w:ascii="Times New Roman" w:eastAsia="Times New Roman" w:hAnsi="Times New Roman" w:cs="Times New Roman"/>
                <w:sz w:val="16"/>
                <w:szCs w:val="16"/>
                <w:lang w:val="en-CA" w:eastAsia="en-CA"/>
              </w:rPr>
            </w:pPr>
          </w:p>
        </w:tc>
        <w:tc>
          <w:tcPr>
            <w:tcW w:w="604" w:type="pct"/>
            <w:tcBorders>
              <w:top w:val="nil"/>
              <w:left w:val="nil"/>
              <w:bottom w:val="nil"/>
              <w:right w:val="nil"/>
            </w:tcBorders>
            <w:noWrap/>
            <w:vAlign w:val="center"/>
            <w:hideMark/>
          </w:tcPr>
          <w:p w14:paraId="5C75EE6D" w14:textId="77777777" w:rsidR="001E4F26" w:rsidRPr="001E4F26" w:rsidRDefault="001E4F26" w:rsidP="001E4F26">
            <w:pPr>
              <w:widowControl/>
              <w:autoSpaceDE/>
              <w:autoSpaceDN/>
              <w:jc w:val="center"/>
              <w:rPr>
                <w:rFonts w:ascii="Times New Roman" w:eastAsia="Times New Roman" w:hAnsi="Times New Roman" w:cs="Times New Roman"/>
                <w:sz w:val="16"/>
                <w:szCs w:val="16"/>
                <w:lang w:val="en-CA" w:eastAsia="en-CA"/>
              </w:rPr>
            </w:pPr>
          </w:p>
        </w:tc>
        <w:tc>
          <w:tcPr>
            <w:tcW w:w="472" w:type="pct"/>
            <w:tcBorders>
              <w:top w:val="nil"/>
              <w:left w:val="nil"/>
              <w:bottom w:val="nil"/>
              <w:right w:val="nil"/>
            </w:tcBorders>
            <w:noWrap/>
            <w:vAlign w:val="center"/>
            <w:hideMark/>
          </w:tcPr>
          <w:p w14:paraId="3348BD0A" w14:textId="77777777" w:rsidR="001E4F26" w:rsidRPr="001E4F26" w:rsidRDefault="001E4F26" w:rsidP="001E4F26">
            <w:pPr>
              <w:widowControl/>
              <w:autoSpaceDE/>
              <w:autoSpaceDN/>
              <w:jc w:val="center"/>
              <w:rPr>
                <w:rFonts w:ascii="Times New Roman" w:eastAsia="Times New Roman" w:hAnsi="Times New Roman" w:cs="Times New Roman"/>
                <w:sz w:val="16"/>
                <w:szCs w:val="16"/>
                <w:lang w:val="en-CA" w:eastAsia="en-CA"/>
              </w:rPr>
            </w:pPr>
          </w:p>
        </w:tc>
        <w:tc>
          <w:tcPr>
            <w:tcW w:w="576" w:type="pct"/>
            <w:tcBorders>
              <w:top w:val="nil"/>
              <w:left w:val="nil"/>
              <w:bottom w:val="nil"/>
              <w:right w:val="nil"/>
            </w:tcBorders>
            <w:noWrap/>
            <w:vAlign w:val="center"/>
            <w:hideMark/>
          </w:tcPr>
          <w:p w14:paraId="088902A0" w14:textId="77777777" w:rsidR="001E4F26" w:rsidRPr="001E4F26" w:rsidRDefault="001E4F26" w:rsidP="001E4F26">
            <w:pPr>
              <w:widowControl/>
              <w:autoSpaceDE/>
              <w:autoSpaceDN/>
              <w:jc w:val="center"/>
              <w:rPr>
                <w:rFonts w:ascii="Times New Roman" w:eastAsia="Times New Roman" w:hAnsi="Times New Roman" w:cs="Times New Roman"/>
                <w:sz w:val="16"/>
                <w:szCs w:val="16"/>
                <w:lang w:val="en-CA" w:eastAsia="en-CA"/>
              </w:rPr>
            </w:pPr>
          </w:p>
        </w:tc>
        <w:tc>
          <w:tcPr>
            <w:tcW w:w="459" w:type="pct"/>
            <w:tcBorders>
              <w:top w:val="nil"/>
              <w:left w:val="nil"/>
              <w:bottom w:val="nil"/>
              <w:right w:val="nil"/>
            </w:tcBorders>
            <w:noWrap/>
            <w:vAlign w:val="center"/>
            <w:hideMark/>
          </w:tcPr>
          <w:p w14:paraId="0B366D60" w14:textId="77777777" w:rsidR="001E4F26" w:rsidRPr="001E4F26" w:rsidRDefault="001E4F26" w:rsidP="001E4F26">
            <w:pPr>
              <w:widowControl/>
              <w:autoSpaceDE/>
              <w:autoSpaceDN/>
              <w:jc w:val="center"/>
              <w:rPr>
                <w:rFonts w:ascii="Times New Roman" w:eastAsia="Times New Roman" w:hAnsi="Times New Roman" w:cs="Times New Roman"/>
                <w:sz w:val="16"/>
                <w:szCs w:val="16"/>
                <w:lang w:val="en-CA" w:eastAsia="en-CA"/>
              </w:rPr>
            </w:pPr>
          </w:p>
        </w:tc>
        <w:tc>
          <w:tcPr>
            <w:tcW w:w="818" w:type="pct"/>
            <w:tcBorders>
              <w:top w:val="nil"/>
              <w:left w:val="nil"/>
              <w:bottom w:val="nil"/>
              <w:right w:val="nil"/>
            </w:tcBorders>
            <w:noWrap/>
            <w:vAlign w:val="center"/>
            <w:hideMark/>
          </w:tcPr>
          <w:p w14:paraId="420EA6A9" w14:textId="77777777" w:rsidR="001E4F26" w:rsidRPr="001E4F26" w:rsidRDefault="001E4F26" w:rsidP="001E4F26">
            <w:pPr>
              <w:widowControl/>
              <w:autoSpaceDE/>
              <w:autoSpaceDN/>
              <w:jc w:val="center"/>
              <w:rPr>
                <w:rFonts w:ascii="Times New Roman" w:eastAsia="Times New Roman" w:hAnsi="Times New Roman" w:cs="Times New Roman"/>
                <w:sz w:val="16"/>
                <w:szCs w:val="16"/>
                <w:lang w:val="en-CA" w:eastAsia="en-CA"/>
              </w:rPr>
            </w:pPr>
          </w:p>
        </w:tc>
        <w:tc>
          <w:tcPr>
            <w:tcW w:w="592" w:type="pct"/>
            <w:tcBorders>
              <w:top w:val="nil"/>
              <w:left w:val="nil"/>
              <w:bottom w:val="nil"/>
              <w:right w:val="nil"/>
            </w:tcBorders>
            <w:noWrap/>
            <w:vAlign w:val="center"/>
            <w:hideMark/>
          </w:tcPr>
          <w:p w14:paraId="471C705E" w14:textId="77777777" w:rsidR="001E4F26" w:rsidRPr="001E4F26" w:rsidRDefault="001E4F26" w:rsidP="001E4F26">
            <w:pPr>
              <w:widowControl/>
              <w:autoSpaceDE/>
              <w:autoSpaceDN/>
              <w:jc w:val="center"/>
              <w:rPr>
                <w:rFonts w:ascii="Times New Roman" w:eastAsia="Times New Roman" w:hAnsi="Times New Roman" w:cs="Times New Roman"/>
                <w:sz w:val="16"/>
                <w:szCs w:val="16"/>
                <w:lang w:val="en-CA" w:eastAsia="en-CA"/>
              </w:rPr>
            </w:pPr>
          </w:p>
        </w:tc>
      </w:tr>
      <w:tr w:rsidR="001E4F26" w:rsidRPr="001E4F26" w14:paraId="2288FEC7" w14:textId="77777777" w:rsidTr="001E4F26">
        <w:trPr>
          <w:trHeight w:val="282"/>
          <w:jc w:val="center"/>
        </w:trPr>
        <w:tc>
          <w:tcPr>
            <w:tcW w:w="1479" w:type="pct"/>
            <w:vMerge w:val="restart"/>
            <w:tcBorders>
              <w:top w:val="single" w:sz="4" w:space="0" w:color="auto"/>
              <w:left w:val="single" w:sz="4" w:space="0" w:color="auto"/>
              <w:bottom w:val="single" w:sz="4" w:space="0" w:color="auto"/>
              <w:right w:val="single" w:sz="4" w:space="0" w:color="auto"/>
            </w:tcBorders>
            <w:vAlign w:val="center"/>
            <w:hideMark/>
          </w:tcPr>
          <w:p w14:paraId="5A0EA0D6" w14:textId="77777777" w:rsidR="001E4F26" w:rsidRPr="001E4F26" w:rsidRDefault="001E4F26" w:rsidP="001E4F26">
            <w:pPr>
              <w:widowControl/>
              <w:autoSpaceDE/>
              <w:autoSpaceDN/>
              <w:rPr>
                <w:rFonts w:eastAsia="Times New Roman"/>
                <w:b/>
                <w:bCs/>
                <w:sz w:val="16"/>
                <w:szCs w:val="16"/>
                <w:lang w:val="en-CA" w:eastAsia="en-CA"/>
              </w:rPr>
            </w:pPr>
            <w:r w:rsidRPr="001E4F26">
              <w:rPr>
                <w:rFonts w:eastAsia="Times New Roman"/>
                <w:b/>
                <w:bCs/>
                <w:sz w:val="16"/>
                <w:szCs w:val="16"/>
                <w:lang w:val="en-CA" w:eastAsia="en-CA"/>
              </w:rPr>
              <w:t xml:space="preserve">Rate Class </w:t>
            </w:r>
            <w:r w:rsidRPr="001E4F26">
              <w:rPr>
                <w:rFonts w:eastAsia="Times New Roman"/>
                <w:b/>
                <w:bCs/>
                <w:sz w:val="16"/>
                <w:szCs w:val="16"/>
                <w:lang w:val="en-CA" w:eastAsia="en-CA"/>
              </w:rPr>
              <w:br/>
              <w:t>(Enter Rate Classes in cells below)</w:t>
            </w:r>
          </w:p>
        </w:tc>
        <w:tc>
          <w:tcPr>
            <w:tcW w:w="60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3D165E" w14:textId="77777777" w:rsidR="001E4F26" w:rsidRPr="001E4F26" w:rsidRDefault="001E4F26" w:rsidP="001E4F26">
            <w:pPr>
              <w:widowControl/>
              <w:autoSpaceDE/>
              <w:autoSpaceDN/>
              <w:jc w:val="center"/>
              <w:rPr>
                <w:rFonts w:eastAsia="Times New Roman"/>
                <w:b/>
                <w:bCs/>
                <w:sz w:val="16"/>
                <w:szCs w:val="16"/>
                <w:lang w:val="en-CA" w:eastAsia="en-CA"/>
              </w:rPr>
            </w:pPr>
            <w:r w:rsidRPr="001E4F26">
              <w:rPr>
                <w:rFonts w:eastAsia="Times New Roman"/>
                <w:b/>
                <w:bCs/>
                <w:sz w:val="16"/>
                <w:szCs w:val="16"/>
                <w:lang w:val="en-CA" w:eastAsia="en-CA"/>
              </w:rPr>
              <w:t>Units</w:t>
            </w:r>
          </w:p>
        </w:tc>
        <w:tc>
          <w:tcPr>
            <w:tcW w:w="47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890122E" w14:textId="2D76B879" w:rsidR="001E4F26" w:rsidRPr="001E4F26" w:rsidRDefault="001E4F26" w:rsidP="001E4F26">
            <w:pPr>
              <w:widowControl/>
              <w:autoSpaceDE/>
              <w:autoSpaceDN/>
              <w:jc w:val="center"/>
              <w:rPr>
                <w:rFonts w:eastAsia="Times New Roman"/>
                <w:b/>
                <w:bCs/>
                <w:sz w:val="16"/>
                <w:szCs w:val="16"/>
                <w:lang w:val="en-CA" w:eastAsia="en-CA"/>
              </w:rPr>
            </w:pPr>
            <w:r>
              <w:rPr>
                <w:rFonts w:eastAsia="Times New Roman"/>
                <w:b/>
                <w:bCs/>
                <w:sz w:val="16"/>
                <w:szCs w:val="16"/>
                <w:lang w:val="en-CA" w:eastAsia="en-CA"/>
              </w:rPr>
              <w:t>Billing Unit</w:t>
            </w:r>
          </w:p>
        </w:tc>
        <w:tc>
          <w:tcPr>
            <w:tcW w:w="576" w:type="pct"/>
            <w:tcBorders>
              <w:top w:val="single" w:sz="4" w:space="0" w:color="auto"/>
              <w:left w:val="nil"/>
              <w:bottom w:val="nil"/>
              <w:right w:val="single" w:sz="4" w:space="0" w:color="auto"/>
            </w:tcBorders>
            <w:shd w:val="clear" w:color="000000" w:fill="FFFFFF"/>
            <w:vAlign w:val="center"/>
            <w:hideMark/>
          </w:tcPr>
          <w:p w14:paraId="1A163645" w14:textId="09E7D54F" w:rsidR="001E4F26" w:rsidRPr="001E4F26" w:rsidRDefault="001E4F26" w:rsidP="001E4F26">
            <w:pPr>
              <w:widowControl/>
              <w:autoSpaceDE/>
              <w:autoSpaceDN/>
              <w:jc w:val="center"/>
              <w:rPr>
                <w:rFonts w:eastAsia="Times New Roman"/>
                <w:b/>
                <w:bCs/>
                <w:sz w:val="16"/>
                <w:szCs w:val="16"/>
                <w:lang w:val="en-CA" w:eastAsia="en-CA"/>
              </w:rPr>
            </w:pPr>
          </w:p>
        </w:tc>
        <w:tc>
          <w:tcPr>
            <w:tcW w:w="459" w:type="pct"/>
            <w:tcBorders>
              <w:top w:val="single" w:sz="4" w:space="0" w:color="auto"/>
              <w:left w:val="nil"/>
              <w:bottom w:val="nil"/>
              <w:right w:val="single" w:sz="4" w:space="0" w:color="auto"/>
            </w:tcBorders>
            <w:shd w:val="clear" w:color="000000" w:fill="FFFFFF"/>
            <w:vAlign w:val="center"/>
            <w:hideMark/>
          </w:tcPr>
          <w:p w14:paraId="612CBA73" w14:textId="1DEEFC00" w:rsidR="001E4F26" w:rsidRPr="001E4F26" w:rsidRDefault="001E4F26" w:rsidP="001E4F26">
            <w:pPr>
              <w:widowControl/>
              <w:autoSpaceDE/>
              <w:autoSpaceDN/>
              <w:jc w:val="center"/>
              <w:rPr>
                <w:rFonts w:eastAsia="Times New Roman"/>
                <w:b/>
                <w:bCs/>
                <w:sz w:val="16"/>
                <w:szCs w:val="16"/>
                <w:lang w:val="en-CA" w:eastAsia="en-CA"/>
              </w:rPr>
            </w:pPr>
          </w:p>
        </w:tc>
        <w:tc>
          <w:tcPr>
            <w:tcW w:w="81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B382D88" w14:textId="77777777" w:rsidR="001E4F26" w:rsidRDefault="001E4F26" w:rsidP="001E4F26">
            <w:pPr>
              <w:widowControl/>
              <w:autoSpaceDE/>
              <w:autoSpaceDN/>
              <w:jc w:val="center"/>
              <w:rPr>
                <w:rFonts w:eastAsia="Times New Roman"/>
                <w:b/>
                <w:bCs/>
                <w:sz w:val="16"/>
                <w:szCs w:val="16"/>
                <w:lang w:val="en-CA" w:eastAsia="en-CA"/>
              </w:rPr>
            </w:pPr>
            <w:r w:rsidRPr="001E4F26">
              <w:rPr>
                <w:rFonts w:eastAsia="Times New Roman"/>
                <w:b/>
                <w:bCs/>
                <w:sz w:val="16"/>
                <w:szCs w:val="16"/>
                <w:lang w:val="en-CA" w:eastAsia="en-CA"/>
              </w:rPr>
              <w:t xml:space="preserve">Balance of </w:t>
            </w:r>
          </w:p>
          <w:p w14:paraId="393A7763" w14:textId="77777777" w:rsidR="001E4F26" w:rsidRDefault="001E4F26" w:rsidP="001E4F26">
            <w:pPr>
              <w:widowControl/>
              <w:autoSpaceDE/>
              <w:autoSpaceDN/>
              <w:jc w:val="center"/>
              <w:rPr>
                <w:rFonts w:eastAsia="Times New Roman"/>
                <w:b/>
                <w:bCs/>
                <w:sz w:val="16"/>
                <w:szCs w:val="16"/>
                <w:lang w:val="en-CA" w:eastAsia="en-CA"/>
              </w:rPr>
            </w:pPr>
            <w:r w:rsidRPr="001E4F26">
              <w:rPr>
                <w:rFonts w:eastAsia="Times New Roman"/>
                <w:b/>
                <w:bCs/>
                <w:sz w:val="16"/>
                <w:szCs w:val="16"/>
                <w:lang w:val="en-CA" w:eastAsia="en-CA"/>
              </w:rPr>
              <w:t xml:space="preserve">Group 2 </w:t>
            </w:r>
          </w:p>
          <w:p w14:paraId="0BF9AF43" w14:textId="0537656B" w:rsidR="001E4F26" w:rsidRPr="001E4F26" w:rsidRDefault="001E4F26" w:rsidP="001E4F26">
            <w:pPr>
              <w:widowControl/>
              <w:autoSpaceDE/>
              <w:autoSpaceDN/>
              <w:jc w:val="center"/>
              <w:rPr>
                <w:rFonts w:eastAsia="Times New Roman"/>
                <w:b/>
                <w:bCs/>
                <w:sz w:val="16"/>
                <w:szCs w:val="16"/>
                <w:lang w:val="en-CA" w:eastAsia="en-CA"/>
              </w:rPr>
            </w:pPr>
            <w:r w:rsidRPr="001E4F26">
              <w:rPr>
                <w:rFonts w:eastAsia="Times New Roman"/>
                <w:b/>
                <w:bCs/>
                <w:sz w:val="16"/>
                <w:szCs w:val="16"/>
                <w:lang w:val="en-CA" w:eastAsia="en-CA"/>
              </w:rPr>
              <w:t>Accounts</w:t>
            </w:r>
          </w:p>
        </w:tc>
        <w:tc>
          <w:tcPr>
            <w:tcW w:w="59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C55CE2" w14:textId="77777777" w:rsidR="001E4F26" w:rsidRPr="001E4F26" w:rsidRDefault="001E4F26" w:rsidP="001E4F26">
            <w:pPr>
              <w:widowControl/>
              <w:autoSpaceDE/>
              <w:autoSpaceDN/>
              <w:jc w:val="center"/>
              <w:rPr>
                <w:rFonts w:eastAsia="Times New Roman"/>
                <w:b/>
                <w:bCs/>
                <w:sz w:val="16"/>
                <w:szCs w:val="16"/>
                <w:lang w:val="en-CA" w:eastAsia="en-CA"/>
              </w:rPr>
            </w:pPr>
            <w:r w:rsidRPr="001E4F26">
              <w:rPr>
                <w:rFonts w:eastAsia="Times New Roman"/>
                <w:b/>
                <w:bCs/>
                <w:sz w:val="16"/>
                <w:szCs w:val="16"/>
                <w:lang w:val="en-CA" w:eastAsia="en-CA"/>
              </w:rPr>
              <w:t>1508 Cost of Capital 2025 Var Rider</w:t>
            </w:r>
          </w:p>
        </w:tc>
      </w:tr>
      <w:tr w:rsidR="001E4F26" w:rsidRPr="001E4F26" w14:paraId="1ECFBE2D" w14:textId="77777777" w:rsidTr="001E4F26">
        <w:trPr>
          <w:trHeight w:val="506"/>
          <w:jc w:val="center"/>
        </w:trPr>
        <w:tc>
          <w:tcPr>
            <w:tcW w:w="1479" w:type="pct"/>
            <w:vMerge/>
            <w:tcBorders>
              <w:top w:val="single" w:sz="4" w:space="0" w:color="auto"/>
              <w:left w:val="single" w:sz="4" w:space="0" w:color="auto"/>
              <w:bottom w:val="single" w:sz="4" w:space="0" w:color="auto"/>
              <w:right w:val="single" w:sz="4" w:space="0" w:color="auto"/>
            </w:tcBorders>
            <w:vAlign w:val="center"/>
            <w:hideMark/>
          </w:tcPr>
          <w:p w14:paraId="7CA2E65D" w14:textId="77777777" w:rsidR="001E4F26" w:rsidRPr="001E4F26" w:rsidRDefault="001E4F26" w:rsidP="001E4F26">
            <w:pPr>
              <w:widowControl/>
              <w:autoSpaceDE/>
              <w:autoSpaceDN/>
              <w:rPr>
                <w:rFonts w:eastAsia="Times New Roman"/>
                <w:b/>
                <w:bCs/>
                <w:sz w:val="16"/>
                <w:szCs w:val="16"/>
                <w:lang w:val="en-CA" w:eastAsia="en-CA"/>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14:paraId="106C8855" w14:textId="77777777" w:rsidR="001E4F26" w:rsidRPr="001E4F26" w:rsidRDefault="001E4F26" w:rsidP="001E4F26">
            <w:pPr>
              <w:widowControl/>
              <w:autoSpaceDE/>
              <w:autoSpaceDN/>
              <w:jc w:val="center"/>
              <w:rPr>
                <w:rFonts w:eastAsia="Times New Roman"/>
                <w:b/>
                <w:bCs/>
                <w:sz w:val="16"/>
                <w:szCs w:val="16"/>
                <w:lang w:val="en-CA" w:eastAsia="en-CA"/>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2EB6D2D0" w14:textId="77777777" w:rsidR="001E4F26" w:rsidRPr="001E4F26" w:rsidRDefault="001E4F26" w:rsidP="001E4F26">
            <w:pPr>
              <w:widowControl/>
              <w:autoSpaceDE/>
              <w:autoSpaceDN/>
              <w:jc w:val="center"/>
              <w:rPr>
                <w:rFonts w:eastAsia="Times New Roman"/>
                <w:b/>
                <w:bCs/>
                <w:sz w:val="16"/>
                <w:szCs w:val="16"/>
                <w:lang w:val="en-CA" w:eastAsia="en-CA"/>
              </w:rPr>
            </w:pPr>
          </w:p>
        </w:tc>
        <w:tc>
          <w:tcPr>
            <w:tcW w:w="576" w:type="pct"/>
            <w:tcBorders>
              <w:top w:val="nil"/>
              <w:left w:val="nil"/>
              <w:bottom w:val="single" w:sz="4" w:space="0" w:color="auto"/>
              <w:right w:val="single" w:sz="4" w:space="0" w:color="auto"/>
            </w:tcBorders>
            <w:shd w:val="clear" w:color="000000" w:fill="FFFFFF"/>
            <w:vAlign w:val="center"/>
            <w:hideMark/>
          </w:tcPr>
          <w:p w14:paraId="36C2364D" w14:textId="77777777" w:rsidR="001E4F26" w:rsidRPr="001E4F26" w:rsidRDefault="001E4F26" w:rsidP="001E4F26">
            <w:pPr>
              <w:widowControl/>
              <w:autoSpaceDE/>
              <w:autoSpaceDN/>
              <w:jc w:val="center"/>
              <w:rPr>
                <w:rFonts w:eastAsia="Times New Roman"/>
                <w:b/>
                <w:bCs/>
                <w:sz w:val="16"/>
                <w:szCs w:val="16"/>
                <w:lang w:val="en-CA" w:eastAsia="en-CA"/>
              </w:rPr>
            </w:pPr>
            <w:r w:rsidRPr="001E4F26">
              <w:rPr>
                <w:rFonts w:eastAsia="Times New Roman"/>
                <w:b/>
                <w:bCs/>
                <w:sz w:val="16"/>
                <w:szCs w:val="16"/>
                <w:lang w:val="en-CA" w:eastAsia="en-CA"/>
              </w:rPr>
              <w:t>Rev Reqt Allocation</w:t>
            </w:r>
          </w:p>
        </w:tc>
        <w:tc>
          <w:tcPr>
            <w:tcW w:w="459" w:type="pct"/>
            <w:tcBorders>
              <w:top w:val="nil"/>
              <w:left w:val="nil"/>
              <w:bottom w:val="single" w:sz="4" w:space="0" w:color="auto"/>
              <w:right w:val="single" w:sz="4" w:space="0" w:color="auto"/>
            </w:tcBorders>
            <w:shd w:val="clear" w:color="000000" w:fill="FFFFFF"/>
            <w:vAlign w:val="center"/>
            <w:hideMark/>
          </w:tcPr>
          <w:p w14:paraId="53A9FF6A" w14:textId="77777777" w:rsidR="001E4F26" w:rsidRPr="001E4F26" w:rsidRDefault="001E4F26" w:rsidP="001E4F26">
            <w:pPr>
              <w:widowControl/>
              <w:autoSpaceDE/>
              <w:autoSpaceDN/>
              <w:jc w:val="center"/>
              <w:rPr>
                <w:rFonts w:eastAsia="Times New Roman"/>
                <w:b/>
                <w:bCs/>
                <w:sz w:val="16"/>
                <w:szCs w:val="16"/>
                <w:lang w:val="en-CA" w:eastAsia="en-CA"/>
              </w:rPr>
            </w:pPr>
            <w:r w:rsidRPr="001E4F26">
              <w:rPr>
                <w:rFonts w:eastAsia="Times New Roman"/>
                <w:b/>
                <w:bCs/>
                <w:sz w:val="16"/>
                <w:szCs w:val="16"/>
                <w:lang w:val="en-CA" w:eastAsia="en-CA"/>
              </w:rPr>
              <w:t>% Allocation</w:t>
            </w:r>
          </w:p>
        </w:tc>
        <w:tc>
          <w:tcPr>
            <w:tcW w:w="818" w:type="pct"/>
            <w:vMerge/>
            <w:tcBorders>
              <w:top w:val="single" w:sz="4" w:space="0" w:color="auto"/>
              <w:left w:val="single" w:sz="4" w:space="0" w:color="auto"/>
              <w:bottom w:val="single" w:sz="4" w:space="0" w:color="000000"/>
              <w:right w:val="single" w:sz="4" w:space="0" w:color="auto"/>
            </w:tcBorders>
            <w:vAlign w:val="center"/>
            <w:hideMark/>
          </w:tcPr>
          <w:p w14:paraId="3BB85E60" w14:textId="77777777" w:rsidR="001E4F26" w:rsidRPr="001E4F26" w:rsidRDefault="001E4F26" w:rsidP="001E4F26">
            <w:pPr>
              <w:widowControl/>
              <w:autoSpaceDE/>
              <w:autoSpaceDN/>
              <w:jc w:val="center"/>
              <w:rPr>
                <w:rFonts w:eastAsia="Times New Roman"/>
                <w:b/>
                <w:bCs/>
                <w:sz w:val="16"/>
                <w:szCs w:val="16"/>
                <w:lang w:val="en-CA" w:eastAsia="en-CA"/>
              </w:rPr>
            </w:pPr>
          </w:p>
        </w:tc>
        <w:tc>
          <w:tcPr>
            <w:tcW w:w="592" w:type="pct"/>
            <w:vMerge/>
            <w:tcBorders>
              <w:top w:val="single" w:sz="4" w:space="0" w:color="auto"/>
              <w:left w:val="single" w:sz="4" w:space="0" w:color="auto"/>
              <w:bottom w:val="single" w:sz="4" w:space="0" w:color="auto"/>
              <w:right w:val="single" w:sz="4" w:space="0" w:color="auto"/>
            </w:tcBorders>
            <w:vAlign w:val="center"/>
            <w:hideMark/>
          </w:tcPr>
          <w:p w14:paraId="2B094CB0" w14:textId="77777777" w:rsidR="001E4F26" w:rsidRPr="001E4F26" w:rsidRDefault="001E4F26" w:rsidP="001E4F26">
            <w:pPr>
              <w:widowControl/>
              <w:autoSpaceDE/>
              <w:autoSpaceDN/>
              <w:jc w:val="center"/>
              <w:rPr>
                <w:rFonts w:eastAsia="Times New Roman"/>
                <w:b/>
                <w:bCs/>
                <w:sz w:val="16"/>
                <w:szCs w:val="16"/>
                <w:lang w:val="en-CA" w:eastAsia="en-CA"/>
              </w:rPr>
            </w:pPr>
          </w:p>
        </w:tc>
      </w:tr>
      <w:tr w:rsidR="001E4F26" w:rsidRPr="001E4F26" w14:paraId="1C005C43" w14:textId="77777777" w:rsidTr="001E4F26">
        <w:trPr>
          <w:trHeight w:val="282"/>
          <w:jc w:val="center"/>
        </w:trPr>
        <w:tc>
          <w:tcPr>
            <w:tcW w:w="1479" w:type="pct"/>
            <w:tcBorders>
              <w:top w:val="nil"/>
              <w:left w:val="single" w:sz="4" w:space="0" w:color="auto"/>
              <w:bottom w:val="single" w:sz="4" w:space="0" w:color="auto"/>
              <w:right w:val="single" w:sz="4" w:space="0" w:color="auto"/>
            </w:tcBorders>
            <w:shd w:val="clear" w:color="000000" w:fill="FFFFFF"/>
            <w:noWrap/>
            <w:vAlign w:val="center"/>
            <w:hideMark/>
          </w:tcPr>
          <w:p w14:paraId="22BF8DB4" w14:textId="77777777" w:rsidR="001E4F26" w:rsidRPr="001E4F26" w:rsidRDefault="001E4F26" w:rsidP="001E4F26">
            <w:pPr>
              <w:widowControl/>
              <w:autoSpaceDE/>
              <w:autoSpaceDN/>
              <w:rPr>
                <w:rFonts w:eastAsia="Times New Roman"/>
                <w:sz w:val="16"/>
                <w:szCs w:val="16"/>
                <w:lang w:val="en-CA" w:eastAsia="en-CA"/>
              </w:rPr>
            </w:pPr>
            <w:r w:rsidRPr="001E4F26">
              <w:rPr>
                <w:rFonts w:eastAsia="Times New Roman"/>
                <w:sz w:val="16"/>
                <w:szCs w:val="16"/>
                <w:lang w:val="en-CA" w:eastAsia="en-CA"/>
              </w:rPr>
              <w:t>RESIDENTIAL</w:t>
            </w:r>
          </w:p>
        </w:tc>
        <w:tc>
          <w:tcPr>
            <w:tcW w:w="604" w:type="pct"/>
            <w:tcBorders>
              <w:top w:val="nil"/>
              <w:left w:val="nil"/>
              <w:bottom w:val="single" w:sz="4" w:space="0" w:color="auto"/>
              <w:right w:val="single" w:sz="4" w:space="0" w:color="auto"/>
            </w:tcBorders>
            <w:shd w:val="clear" w:color="000000" w:fill="DAE7DF"/>
            <w:noWrap/>
            <w:vAlign w:val="center"/>
            <w:hideMark/>
          </w:tcPr>
          <w:p w14:paraId="29AC0590" w14:textId="77777777"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 of Customers</w:t>
            </w:r>
          </w:p>
        </w:tc>
        <w:tc>
          <w:tcPr>
            <w:tcW w:w="472" w:type="pct"/>
            <w:tcBorders>
              <w:top w:val="nil"/>
              <w:left w:val="nil"/>
              <w:bottom w:val="single" w:sz="4" w:space="0" w:color="auto"/>
              <w:right w:val="single" w:sz="4" w:space="0" w:color="auto"/>
            </w:tcBorders>
            <w:noWrap/>
            <w:vAlign w:val="center"/>
            <w:hideMark/>
          </w:tcPr>
          <w:p w14:paraId="475E309E" w14:textId="465E48A9"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4,972</w:t>
            </w:r>
          </w:p>
        </w:tc>
        <w:tc>
          <w:tcPr>
            <w:tcW w:w="576" w:type="pct"/>
            <w:tcBorders>
              <w:top w:val="nil"/>
              <w:left w:val="nil"/>
              <w:bottom w:val="single" w:sz="4" w:space="0" w:color="auto"/>
              <w:right w:val="single" w:sz="4" w:space="0" w:color="auto"/>
            </w:tcBorders>
            <w:noWrap/>
            <w:vAlign w:val="center"/>
            <w:hideMark/>
          </w:tcPr>
          <w:p w14:paraId="037BE5EF" w14:textId="77777777"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$1,336,056.71</w:t>
            </w:r>
          </w:p>
        </w:tc>
        <w:tc>
          <w:tcPr>
            <w:tcW w:w="459" w:type="pct"/>
            <w:tcBorders>
              <w:top w:val="nil"/>
              <w:left w:val="nil"/>
              <w:bottom w:val="single" w:sz="4" w:space="0" w:color="auto"/>
              <w:right w:val="single" w:sz="4" w:space="0" w:color="auto"/>
            </w:tcBorders>
            <w:noWrap/>
            <w:vAlign w:val="center"/>
            <w:hideMark/>
          </w:tcPr>
          <w:p w14:paraId="4330AEB5" w14:textId="77777777"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60.93%</w:t>
            </w:r>
          </w:p>
        </w:tc>
        <w:tc>
          <w:tcPr>
            <w:tcW w:w="818" w:type="pct"/>
            <w:tcBorders>
              <w:top w:val="nil"/>
              <w:left w:val="nil"/>
              <w:bottom w:val="single" w:sz="4" w:space="0" w:color="auto"/>
              <w:right w:val="single" w:sz="4" w:space="0" w:color="auto"/>
            </w:tcBorders>
            <w:noWrap/>
            <w:vAlign w:val="center"/>
            <w:hideMark/>
          </w:tcPr>
          <w:p w14:paraId="3DAB2807" w14:textId="77777777"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-$7,175.95</w:t>
            </w:r>
          </w:p>
        </w:tc>
        <w:tc>
          <w:tcPr>
            <w:tcW w:w="592" w:type="pct"/>
            <w:tcBorders>
              <w:top w:val="nil"/>
              <w:left w:val="nil"/>
              <w:bottom w:val="single" w:sz="4" w:space="0" w:color="auto"/>
              <w:right w:val="single" w:sz="4" w:space="0" w:color="auto"/>
            </w:tcBorders>
            <w:noWrap/>
            <w:vAlign w:val="center"/>
            <w:hideMark/>
          </w:tcPr>
          <w:p w14:paraId="6A2B58F3" w14:textId="77777777" w:rsidR="001E4F26" w:rsidRPr="001E4F26" w:rsidRDefault="001E4F26" w:rsidP="001E4F26">
            <w:pPr>
              <w:widowControl/>
              <w:autoSpaceDE/>
              <w:autoSpaceDN/>
              <w:jc w:val="center"/>
              <w:rPr>
                <w:rFonts w:eastAsia="Times New Roman"/>
                <w:b/>
                <w:bCs/>
                <w:sz w:val="16"/>
                <w:szCs w:val="16"/>
                <w:lang w:val="en-CA" w:eastAsia="en-CA"/>
              </w:rPr>
            </w:pPr>
            <w:r w:rsidRPr="001E4F26">
              <w:rPr>
                <w:rFonts w:eastAsia="Times New Roman"/>
                <w:b/>
                <w:bCs/>
                <w:sz w:val="16"/>
                <w:szCs w:val="16"/>
                <w:lang w:val="en-CA" w:eastAsia="en-CA"/>
              </w:rPr>
              <w:t>-$0.01</w:t>
            </w:r>
          </w:p>
        </w:tc>
      </w:tr>
      <w:tr w:rsidR="001E4F26" w:rsidRPr="001E4F26" w14:paraId="1904FAA3" w14:textId="77777777" w:rsidTr="001E4F26">
        <w:trPr>
          <w:trHeight w:val="282"/>
          <w:jc w:val="center"/>
        </w:trPr>
        <w:tc>
          <w:tcPr>
            <w:tcW w:w="1479" w:type="pct"/>
            <w:tcBorders>
              <w:top w:val="nil"/>
              <w:left w:val="single" w:sz="4" w:space="0" w:color="auto"/>
              <w:bottom w:val="single" w:sz="4" w:space="0" w:color="auto"/>
              <w:right w:val="single" w:sz="4" w:space="0" w:color="auto"/>
            </w:tcBorders>
            <w:shd w:val="clear" w:color="000000" w:fill="FFFFFF"/>
            <w:noWrap/>
            <w:vAlign w:val="center"/>
            <w:hideMark/>
          </w:tcPr>
          <w:p w14:paraId="54E04517" w14:textId="77777777" w:rsidR="001E4F26" w:rsidRPr="001E4F26" w:rsidRDefault="001E4F26" w:rsidP="001E4F26">
            <w:pPr>
              <w:widowControl/>
              <w:autoSpaceDE/>
              <w:autoSpaceDN/>
              <w:rPr>
                <w:rFonts w:eastAsia="Times New Roman"/>
                <w:sz w:val="16"/>
                <w:szCs w:val="16"/>
                <w:lang w:val="en-CA" w:eastAsia="en-CA"/>
              </w:rPr>
            </w:pPr>
            <w:r w:rsidRPr="001E4F26">
              <w:rPr>
                <w:rFonts w:eastAsia="Times New Roman"/>
                <w:sz w:val="16"/>
                <w:szCs w:val="16"/>
                <w:lang w:val="en-CA" w:eastAsia="en-CA"/>
              </w:rPr>
              <w:t>GENERAL SERVICE LESS THAN 50 KW</w:t>
            </w:r>
          </w:p>
        </w:tc>
        <w:tc>
          <w:tcPr>
            <w:tcW w:w="604" w:type="pct"/>
            <w:tcBorders>
              <w:top w:val="nil"/>
              <w:left w:val="nil"/>
              <w:bottom w:val="single" w:sz="4" w:space="0" w:color="auto"/>
              <w:right w:val="single" w:sz="4" w:space="0" w:color="auto"/>
            </w:tcBorders>
            <w:shd w:val="clear" w:color="000000" w:fill="DAE7DF"/>
            <w:noWrap/>
            <w:vAlign w:val="center"/>
            <w:hideMark/>
          </w:tcPr>
          <w:p w14:paraId="3AC75986" w14:textId="77777777"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kWh</w:t>
            </w:r>
          </w:p>
        </w:tc>
        <w:tc>
          <w:tcPr>
            <w:tcW w:w="472" w:type="pct"/>
            <w:tcBorders>
              <w:top w:val="nil"/>
              <w:left w:val="nil"/>
              <w:bottom w:val="single" w:sz="4" w:space="0" w:color="auto"/>
              <w:right w:val="single" w:sz="4" w:space="0" w:color="auto"/>
            </w:tcBorders>
            <w:noWrap/>
            <w:vAlign w:val="center"/>
            <w:hideMark/>
          </w:tcPr>
          <w:p w14:paraId="0CC23F2D" w14:textId="352FB7B6"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18,064,851</w:t>
            </w:r>
          </w:p>
        </w:tc>
        <w:tc>
          <w:tcPr>
            <w:tcW w:w="576" w:type="pct"/>
            <w:tcBorders>
              <w:top w:val="nil"/>
              <w:left w:val="nil"/>
              <w:bottom w:val="single" w:sz="4" w:space="0" w:color="auto"/>
              <w:right w:val="single" w:sz="4" w:space="0" w:color="auto"/>
            </w:tcBorders>
            <w:noWrap/>
            <w:vAlign w:val="center"/>
            <w:hideMark/>
          </w:tcPr>
          <w:p w14:paraId="12FE5E7E" w14:textId="77777777"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$313,152.76</w:t>
            </w:r>
          </w:p>
        </w:tc>
        <w:tc>
          <w:tcPr>
            <w:tcW w:w="459" w:type="pct"/>
            <w:tcBorders>
              <w:top w:val="nil"/>
              <w:left w:val="nil"/>
              <w:bottom w:val="single" w:sz="4" w:space="0" w:color="auto"/>
              <w:right w:val="single" w:sz="4" w:space="0" w:color="auto"/>
            </w:tcBorders>
            <w:noWrap/>
            <w:vAlign w:val="center"/>
            <w:hideMark/>
          </w:tcPr>
          <w:p w14:paraId="437BC3A4" w14:textId="77777777"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14.28%</w:t>
            </w:r>
          </w:p>
        </w:tc>
        <w:tc>
          <w:tcPr>
            <w:tcW w:w="818" w:type="pct"/>
            <w:tcBorders>
              <w:top w:val="nil"/>
              <w:left w:val="nil"/>
              <w:bottom w:val="single" w:sz="4" w:space="0" w:color="auto"/>
              <w:right w:val="single" w:sz="4" w:space="0" w:color="auto"/>
            </w:tcBorders>
            <w:noWrap/>
            <w:vAlign w:val="center"/>
            <w:hideMark/>
          </w:tcPr>
          <w:p w14:paraId="7E0D496F" w14:textId="77777777"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-$1,681.94</w:t>
            </w:r>
          </w:p>
        </w:tc>
        <w:tc>
          <w:tcPr>
            <w:tcW w:w="592" w:type="pct"/>
            <w:tcBorders>
              <w:top w:val="nil"/>
              <w:left w:val="nil"/>
              <w:bottom w:val="single" w:sz="4" w:space="0" w:color="auto"/>
              <w:right w:val="single" w:sz="4" w:space="0" w:color="auto"/>
            </w:tcBorders>
            <w:noWrap/>
            <w:vAlign w:val="center"/>
            <w:hideMark/>
          </w:tcPr>
          <w:p w14:paraId="5EC725E0" w14:textId="77777777" w:rsidR="001E4F26" w:rsidRPr="001E4F26" w:rsidRDefault="001E4F26" w:rsidP="001E4F26">
            <w:pPr>
              <w:widowControl/>
              <w:autoSpaceDE/>
              <w:autoSpaceDN/>
              <w:jc w:val="center"/>
              <w:rPr>
                <w:rFonts w:eastAsia="Times New Roman"/>
                <w:b/>
                <w:bCs/>
                <w:sz w:val="16"/>
                <w:szCs w:val="16"/>
                <w:lang w:val="en-CA" w:eastAsia="en-CA"/>
              </w:rPr>
            </w:pPr>
            <w:r w:rsidRPr="001E4F26">
              <w:rPr>
                <w:rFonts w:eastAsia="Times New Roman"/>
                <w:b/>
                <w:bCs/>
                <w:sz w:val="16"/>
                <w:szCs w:val="16"/>
                <w:lang w:val="en-CA" w:eastAsia="en-CA"/>
              </w:rPr>
              <w:t>$0.0000</w:t>
            </w:r>
          </w:p>
        </w:tc>
      </w:tr>
      <w:tr w:rsidR="001E4F26" w:rsidRPr="001E4F26" w14:paraId="6E5FBFFC" w14:textId="77777777" w:rsidTr="001E4F26">
        <w:trPr>
          <w:trHeight w:val="282"/>
          <w:jc w:val="center"/>
        </w:trPr>
        <w:tc>
          <w:tcPr>
            <w:tcW w:w="1479" w:type="pct"/>
            <w:tcBorders>
              <w:top w:val="nil"/>
              <w:left w:val="single" w:sz="4" w:space="0" w:color="auto"/>
              <w:bottom w:val="single" w:sz="4" w:space="0" w:color="auto"/>
              <w:right w:val="single" w:sz="4" w:space="0" w:color="auto"/>
            </w:tcBorders>
            <w:shd w:val="clear" w:color="000000" w:fill="FFFFFF"/>
            <w:noWrap/>
            <w:vAlign w:val="center"/>
            <w:hideMark/>
          </w:tcPr>
          <w:p w14:paraId="6F100725" w14:textId="77777777" w:rsidR="001E4F26" w:rsidRPr="001E4F26" w:rsidRDefault="001E4F26" w:rsidP="001E4F26">
            <w:pPr>
              <w:widowControl/>
              <w:autoSpaceDE/>
              <w:autoSpaceDN/>
              <w:rPr>
                <w:rFonts w:eastAsia="Times New Roman"/>
                <w:sz w:val="16"/>
                <w:szCs w:val="16"/>
                <w:lang w:val="en-CA" w:eastAsia="en-CA"/>
              </w:rPr>
            </w:pPr>
            <w:r w:rsidRPr="001E4F26">
              <w:rPr>
                <w:rFonts w:eastAsia="Times New Roman"/>
                <w:sz w:val="16"/>
                <w:szCs w:val="16"/>
                <w:lang w:val="en-CA" w:eastAsia="en-CA"/>
              </w:rPr>
              <w:t>GENERAL SERVICE 3,000 TO 4,999 KW</w:t>
            </w:r>
          </w:p>
        </w:tc>
        <w:tc>
          <w:tcPr>
            <w:tcW w:w="604" w:type="pct"/>
            <w:tcBorders>
              <w:top w:val="single" w:sz="4" w:space="0" w:color="auto"/>
              <w:left w:val="single" w:sz="4" w:space="0" w:color="auto"/>
              <w:bottom w:val="single" w:sz="4" w:space="0" w:color="auto"/>
              <w:right w:val="single" w:sz="4" w:space="0" w:color="auto"/>
            </w:tcBorders>
            <w:shd w:val="clear" w:color="000000" w:fill="DAE7DF"/>
            <w:noWrap/>
            <w:vAlign w:val="center"/>
            <w:hideMark/>
          </w:tcPr>
          <w:p w14:paraId="54EEFEAA" w14:textId="77777777" w:rsidR="001E4F26" w:rsidRPr="001E4F26" w:rsidRDefault="001E4F26" w:rsidP="001E4F26">
            <w:pPr>
              <w:widowControl/>
              <w:autoSpaceDE/>
              <w:autoSpaceDN/>
              <w:jc w:val="center"/>
              <w:rPr>
                <w:rFonts w:eastAsia="Times New Roman"/>
                <w:b/>
                <w:bCs/>
                <w:color w:val="FF0000"/>
                <w:sz w:val="16"/>
                <w:szCs w:val="16"/>
                <w:lang w:val="en-CA" w:eastAsia="en-CA"/>
              </w:rPr>
            </w:pPr>
            <w:r w:rsidRPr="001E4F26">
              <w:rPr>
                <w:rFonts w:eastAsia="Times New Roman"/>
                <w:b/>
                <w:bCs/>
                <w:color w:val="FF0000"/>
                <w:sz w:val="16"/>
                <w:szCs w:val="16"/>
                <w:lang w:val="en-CA" w:eastAsia="en-CA"/>
              </w:rPr>
              <w:t>kW</w:t>
            </w:r>
          </w:p>
        </w:tc>
        <w:tc>
          <w:tcPr>
            <w:tcW w:w="472" w:type="pct"/>
            <w:tcBorders>
              <w:top w:val="nil"/>
              <w:left w:val="nil"/>
              <w:bottom w:val="single" w:sz="4" w:space="0" w:color="auto"/>
              <w:right w:val="single" w:sz="4" w:space="0" w:color="auto"/>
            </w:tcBorders>
            <w:noWrap/>
            <w:vAlign w:val="center"/>
            <w:hideMark/>
          </w:tcPr>
          <w:p w14:paraId="6FACB312" w14:textId="72F63A6A"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188,790</w:t>
            </w:r>
          </w:p>
        </w:tc>
        <w:tc>
          <w:tcPr>
            <w:tcW w:w="576" w:type="pct"/>
            <w:tcBorders>
              <w:top w:val="nil"/>
              <w:left w:val="nil"/>
              <w:bottom w:val="single" w:sz="4" w:space="0" w:color="auto"/>
              <w:right w:val="single" w:sz="4" w:space="0" w:color="auto"/>
            </w:tcBorders>
            <w:noWrap/>
            <w:vAlign w:val="center"/>
            <w:hideMark/>
          </w:tcPr>
          <w:p w14:paraId="4F5EA848" w14:textId="77777777"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$518,211.21</w:t>
            </w:r>
          </w:p>
        </w:tc>
        <w:tc>
          <w:tcPr>
            <w:tcW w:w="459" w:type="pct"/>
            <w:tcBorders>
              <w:top w:val="nil"/>
              <w:left w:val="nil"/>
              <w:bottom w:val="single" w:sz="4" w:space="0" w:color="auto"/>
              <w:right w:val="single" w:sz="4" w:space="0" w:color="auto"/>
            </w:tcBorders>
            <w:noWrap/>
            <w:vAlign w:val="center"/>
            <w:hideMark/>
          </w:tcPr>
          <w:p w14:paraId="7D6ABDFA" w14:textId="77777777"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23.63%</w:t>
            </w:r>
          </w:p>
        </w:tc>
        <w:tc>
          <w:tcPr>
            <w:tcW w:w="818" w:type="pct"/>
            <w:tcBorders>
              <w:top w:val="nil"/>
              <w:left w:val="nil"/>
              <w:bottom w:val="single" w:sz="4" w:space="0" w:color="auto"/>
              <w:right w:val="single" w:sz="4" w:space="0" w:color="auto"/>
            </w:tcBorders>
            <w:noWrap/>
            <w:vAlign w:val="center"/>
            <w:hideMark/>
          </w:tcPr>
          <w:p w14:paraId="03070846" w14:textId="77777777"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-$2,783.31</w:t>
            </w:r>
          </w:p>
        </w:tc>
        <w:tc>
          <w:tcPr>
            <w:tcW w:w="592" w:type="pct"/>
            <w:tcBorders>
              <w:top w:val="nil"/>
              <w:left w:val="nil"/>
              <w:bottom w:val="single" w:sz="4" w:space="0" w:color="auto"/>
              <w:right w:val="single" w:sz="4" w:space="0" w:color="auto"/>
            </w:tcBorders>
            <w:noWrap/>
            <w:vAlign w:val="center"/>
            <w:hideMark/>
          </w:tcPr>
          <w:p w14:paraId="3FD520FF" w14:textId="77777777" w:rsidR="001E4F26" w:rsidRPr="001E4F26" w:rsidRDefault="001E4F26" w:rsidP="001E4F26">
            <w:pPr>
              <w:widowControl/>
              <w:autoSpaceDE/>
              <w:autoSpaceDN/>
              <w:jc w:val="center"/>
              <w:rPr>
                <w:rFonts w:eastAsia="Times New Roman"/>
                <w:b/>
                <w:bCs/>
                <w:sz w:val="16"/>
                <w:szCs w:val="16"/>
                <w:lang w:val="en-CA" w:eastAsia="en-CA"/>
              </w:rPr>
            </w:pPr>
            <w:r w:rsidRPr="001E4F26">
              <w:rPr>
                <w:rFonts w:eastAsia="Times New Roman"/>
                <w:b/>
                <w:bCs/>
                <w:sz w:val="16"/>
                <w:szCs w:val="16"/>
                <w:lang w:val="en-CA" w:eastAsia="en-CA"/>
              </w:rPr>
              <w:t>-$0.0012</w:t>
            </w:r>
          </w:p>
        </w:tc>
      </w:tr>
      <w:tr w:rsidR="001E4F26" w:rsidRPr="001E4F26" w14:paraId="6C73E0D7" w14:textId="77777777" w:rsidTr="001E4F26">
        <w:trPr>
          <w:trHeight w:val="282"/>
          <w:jc w:val="center"/>
        </w:trPr>
        <w:tc>
          <w:tcPr>
            <w:tcW w:w="1479" w:type="pct"/>
            <w:tcBorders>
              <w:top w:val="nil"/>
              <w:left w:val="single" w:sz="4" w:space="0" w:color="auto"/>
              <w:bottom w:val="single" w:sz="4" w:space="0" w:color="auto"/>
              <w:right w:val="single" w:sz="4" w:space="0" w:color="auto"/>
            </w:tcBorders>
            <w:shd w:val="clear" w:color="000000" w:fill="FFFFFF"/>
            <w:noWrap/>
            <w:vAlign w:val="center"/>
            <w:hideMark/>
          </w:tcPr>
          <w:p w14:paraId="6A552639" w14:textId="77777777" w:rsidR="001E4F26" w:rsidRPr="001E4F26" w:rsidRDefault="001E4F26" w:rsidP="001E4F26">
            <w:pPr>
              <w:widowControl/>
              <w:autoSpaceDE/>
              <w:autoSpaceDN/>
              <w:rPr>
                <w:rFonts w:eastAsia="Times New Roman"/>
                <w:sz w:val="16"/>
                <w:szCs w:val="16"/>
                <w:lang w:val="en-CA" w:eastAsia="en-CA"/>
              </w:rPr>
            </w:pPr>
            <w:r w:rsidRPr="001E4F26">
              <w:rPr>
                <w:rFonts w:eastAsia="Times New Roman"/>
                <w:sz w:val="16"/>
                <w:szCs w:val="16"/>
                <w:lang w:val="en-CA" w:eastAsia="en-CA"/>
              </w:rPr>
              <w:t>UNMETERED SCATTERED LOAD</w:t>
            </w:r>
          </w:p>
        </w:tc>
        <w:tc>
          <w:tcPr>
            <w:tcW w:w="604" w:type="pct"/>
            <w:tcBorders>
              <w:top w:val="nil"/>
              <w:left w:val="nil"/>
              <w:bottom w:val="single" w:sz="4" w:space="0" w:color="auto"/>
              <w:right w:val="single" w:sz="4" w:space="0" w:color="auto"/>
            </w:tcBorders>
            <w:shd w:val="clear" w:color="000000" w:fill="DAE7DF"/>
            <w:noWrap/>
            <w:vAlign w:val="center"/>
            <w:hideMark/>
          </w:tcPr>
          <w:p w14:paraId="5FA84653" w14:textId="77777777"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kWh</w:t>
            </w:r>
          </w:p>
        </w:tc>
        <w:tc>
          <w:tcPr>
            <w:tcW w:w="472" w:type="pct"/>
            <w:tcBorders>
              <w:top w:val="nil"/>
              <w:left w:val="nil"/>
              <w:bottom w:val="single" w:sz="4" w:space="0" w:color="auto"/>
              <w:right w:val="single" w:sz="4" w:space="0" w:color="auto"/>
            </w:tcBorders>
            <w:noWrap/>
            <w:vAlign w:val="center"/>
            <w:hideMark/>
          </w:tcPr>
          <w:p w14:paraId="559ED463" w14:textId="0F0A61CC"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412,999</w:t>
            </w:r>
          </w:p>
        </w:tc>
        <w:tc>
          <w:tcPr>
            <w:tcW w:w="576" w:type="pct"/>
            <w:tcBorders>
              <w:top w:val="nil"/>
              <w:left w:val="nil"/>
              <w:bottom w:val="single" w:sz="4" w:space="0" w:color="auto"/>
              <w:right w:val="single" w:sz="4" w:space="0" w:color="auto"/>
            </w:tcBorders>
            <w:noWrap/>
            <w:vAlign w:val="center"/>
            <w:hideMark/>
          </w:tcPr>
          <w:p w14:paraId="4946CBEE" w14:textId="77777777"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$4,077.14</w:t>
            </w:r>
          </w:p>
        </w:tc>
        <w:tc>
          <w:tcPr>
            <w:tcW w:w="459" w:type="pct"/>
            <w:tcBorders>
              <w:top w:val="nil"/>
              <w:left w:val="nil"/>
              <w:bottom w:val="single" w:sz="4" w:space="0" w:color="auto"/>
              <w:right w:val="single" w:sz="4" w:space="0" w:color="auto"/>
            </w:tcBorders>
            <w:noWrap/>
            <w:vAlign w:val="center"/>
            <w:hideMark/>
          </w:tcPr>
          <w:p w14:paraId="3C0A4DDE" w14:textId="77777777"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0.19%</w:t>
            </w:r>
          </w:p>
        </w:tc>
        <w:tc>
          <w:tcPr>
            <w:tcW w:w="818" w:type="pct"/>
            <w:tcBorders>
              <w:top w:val="nil"/>
              <w:left w:val="nil"/>
              <w:bottom w:val="single" w:sz="4" w:space="0" w:color="auto"/>
              <w:right w:val="single" w:sz="4" w:space="0" w:color="auto"/>
            </w:tcBorders>
            <w:noWrap/>
            <w:vAlign w:val="center"/>
            <w:hideMark/>
          </w:tcPr>
          <w:p w14:paraId="725A0068" w14:textId="77777777"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-$21.90</w:t>
            </w:r>
          </w:p>
        </w:tc>
        <w:tc>
          <w:tcPr>
            <w:tcW w:w="592" w:type="pct"/>
            <w:tcBorders>
              <w:top w:val="nil"/>
              <w:left w:val="nil"/>
              <w:bottom w:val="single" w:sz="4" w:space="0" w:color="auto"/>
              <w:right w:val="single" w:sz="4" w:space="0" w:color="auto"/>
            </w:tcBorders>
            <w:noWrap/>
            <w:vAlign w:val="center"/>
            <w:hideMark/>
          </w:tcPr>
          <w:p w14:paraId="01CE8FEB" w14:textId="77777777" w:rsidR="001E4F26" w:rsidRPr="001E4F26" w:rsidRDefault="001E4F26" w:rsidP="001E4F26">
            <w:pPr>
              <w:widowControl/>
              <w:autoSpaceDE/>
              <w:autoSpaceDN/>
              <w:jc w:val="center"/>
              <w:rPr>
                <w:rFonts w:eastAsia="Times New Roman"/>
                <w:b/>
                <w:bCs/>
                <w:sz w:val="16"/>
                <w:szCs w:val="16"/>
                <w:lang w:val="en-CA" w:eastAsia="en-CA"/>
              </w:rPr>
            </w:pPr>
            <w:r w:rsidRPr="001E4F26">
              <w:rPr>
                <w:rFonts w:eastAsia="Times New Roman"/>
                <w:b/>
                <w:bCs/>
                <w:sz w:val="16"/>
                <w:szCs w:val="16"/>
                <w:lang w:val="en-CA" w:eastAsia="en-CA"/>
              </w:rPr>
              <w:t>$0.0000</w:t>
            </w:r>
          </w:p>
        </w:tc>
      </w:tr>
      <w:tr w:rsidR="001E4F26" w:rsidRPr="001E4F26" w14:paraId="0D914D2B" w14:textId="77777777" w:rsidTr="001E4F26">
        <w:trPr>
          <w:trHeight w:val="282"/>
          <w:jc w:val="center"/>
        </w:trPr>
        <w:tc>
          <w:tcPr>
            <w:tcW w:w="1479" w:type="pct"/>
            <w:tcBorders>
              <w:top w:val="nil"/>
              <w:left w:val="single" w:sz="4" w:space="0" w:color="auto"/>
              <w:bottom w:val="single" w:sz="4" w:space="0" w:color="auto"/>
              <w:right w:val="single" w:sz="4" w:space="0" w:color="auto"/>
            </w:tcBorders>
            <w:shd w:val="clear" w:color="000000" w:fill="FFFFFF"/>
            <w:noWrap/>
            <w:vAlign w:val="center"/>
            <w:hideMark/>
          </w:tcPr>
          <w:p w14:paraId="34859A56" w14:textId="77777777" w:rsidR="001E4F26" w:rsidRPr="001E4F26" w:rsidRDefault="001E4F26" w:rsidP="001E4F26">
            <w:pPr>
              <w:widowControl/>
              <w:autoSpaceDE/>
              <w:autoSpaceDN/>
              <w:rPr>
                <w:rFonts w:eastAsia="Times New Roman"/>
                <w:sz w:val="16"/>
                <w:szCs w:val="16"/>
                <w:lang w:val="en-CA" w:eastAsia="en-CA"/>
              </w:rPr>
            </w:pPr>
            <w:r w:rsidRPr="001E4F26">
              <w:rPr>
                <w:rFonts w:eastAsia="Times New Roman"/>
                <w:sz w:val="16"/>
                <w:szCs w:val="16"/>
                <w:lang w:val="en-CA" w:eastAsia="en-CA"/>
              </w:rPr>
              <w:t>SENTINEL LIGHTING</w:t>
            </w:r>
          </w:p>
        </w:tc>
        <w:tc>
          <w:tcPr>
            <w:tcW w:w="604" w:type="pct"/>
            <w:tcBorders>
              <w:top w:val="single" w:sz="4" w:space="0" w:color="auto"/>
              <w:left w:val="single" w:sz="4" w:space="0" w:color="auto"/>
              <w:bottom w:val="single" w:sz="4" w:space="0" w:color="auto"/>
              <w:right w:val="single" w:sz="4" w:space="0" w:color="auto"/>
            </w:tcBorders>
            <w:shd w:val="clear" w:color="000000" w:fill="DAE7DF"/>
            <w:noWrap/>
            <w:vAlign w:val="center"/>
            <w:hideMark/>
          </w:tcPr>
          <w:p w14:paraId="047E93F6" w14:textId="77777777" w:rsidR="001E4F26" w:rsidRPr="001E4F26" w:rsidRDefault="001E4F26" w:rsidP="001E4F26">
            <w:pPr>
              <w:widowControl/>
              <w:autoSpaceDE/>
              <w:autoSpaceDN/>
              <w:jc w:val="center"/>
              <w:rPr>
                <w:rFonts w:eastAsia="Times New Roman"/>
                <w:b/>
                <w:bCs/>
                <w:color w:val="FF0000"/>
                <w:sz w:val="16"/>
                <w:szCs w:val="16"/>
                <w:lang w:val="en-CA" w:eastAsia="en-CA"/>
              </w:rPr>
            </w:pPr>
            <w:r w:rsidRPr="001E4F26">
              <w:rPr>
                <w:rFonts w:eastAsia="Times New Roman"/>
                <w:b/>
                <w:bCs/>
                <w:color w:val="FF0000"/>
                <w:sz w:val="16"/>
                <w:szCs w:val="16"/>
                <w:lang w:val="en-CA" w:eastAsia="en-CA"/>
              </w:rPr>
              <w:t>kW</w:t>
            </w:r>
          </w:p>
        </w:tc>
        <w:tc>
          <w:tcPr>
            <w:tcW w:w="472" w:type="pct"/>
            <w:tcBorders>
              <w:top w:val="nil"/>
              <w:left w:val="nil"/>
              <w:bottom w:val="single" w:sz="4" w:space="0" w:color="auto"/>
              <w:right w:val="single" w:sz="4" w:space="0" w:color="auto"/>
            </w:tcBorders>
            <w:noWrap/>
            <w:vAlign w:val="center"/>
            <w:hideMark/>
          </w:tcPr>
          <w:p w14:paraId="06FEF91F" w14:textId="3F18B7F0"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704</w:t>
            </w:r>
          </w:p>
        </w:tc>
        <w:tc>
          <w:tcPr>
            <w:tcW w:w="576" w:type="pct"/>
            <w:tcBorders>
              <w:top w:val="nil"/>
              <w:left w:val="nil"/>
              <w:bottom w:val="single" w:sz="4" w:space="0" w:color="auto"/>
              <w:right w:val="single" w:sz="4" w:space="0" w:color="auto"/>
            </w:tcBorders>
            <w:noWrap/>
            <w:vAlign w:val="center"/>
            <w:hideMark/>
          </w:tcPr>
          <w:p w14:paraId="7EA7C8F0" w14:textId="77777777"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$3,789.60</w:t>
            </w:r>
          </w:p>
        </w:tc>
        <w:tc>
          <w:tcPr>
            <w:tcW w:w="459" w:type="pct"/>
            <w:tcBorders>
              <w:top w:val="nil"/>
              <w:left w:val="nil"/>
              <w:bottom w:val="single" w:sz="4" w:space="0" w:color="auto"/>
              <w:right w:val="single" w:sz="4" w:space="0" w:color="auto"/>
            </w:tcBorders>
            <w:noWrap/>
            <w:vAlign w:val="center"/>
            <w:hideMark/>
          </w:tcPr>
          <w:p w14:paraId="05D4A59D" w14:textId="77777777"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0.17%</w:t>
            </w:r>
          </w:p>
        </w:tc>
        <w:tc>
          <w:tcPr>
            <w:tcW w:w="818" w:type="pct"/>
            <w:tcBorders>
              <w:top w:val="nil"/>
              <w:left w:val="nil"/>
              <w:bottom w:val="single" w:sz="4" w:space="0" w:color="auto"/>
              <w:right w:val="single" w:sz="4" w:space="0" w:color="auto"/>
            </w:tcBorders>
            <w:noWrap/>
            <w:vAlign w:val="center"/>
            <w:hideMark/>
          </w:tcPr>
          <w:p w14:paraId="49E2266A" w14:textId="77777777"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-$20.35</w:t>
            </w:r>
          </w:p>
        </w:tc>
        <w:tc>
          <w:tcPr>
            <w:tcW w:w="592" w:type="pct"/>
            <w:tcBorders>
              <w:top w:val="nil"/>
              <w:left w:val="nil"/>
              <w:bottom w:val="single" w:sz="4" w:space="0" w:color="auto"/>
              <w:right w:val="single" w:sz="4" w:space="0" w:color="auto"/>
            </w:tcBorders>
            <w:noWrap/>
            <w:vAlign w:val="center"/>
            <w:hideMark/>
          </w:tcPr>
          <w:p w14:paraId="03E89B0F" w14:textId="77777777" w:rsidR="001E4F26" w:rsidRPr="001E4F26" w:rsidRDefault="001E4F26" w:rsidP="001E4F26">
            <w:pPr>
              <w:widowControl/>
              <w:autoSpaceDE/>
              <w:autoSpaceDN/>
              <w:jc w:val="center"/>
              <w:rPr>
                <w:rFonts w:eastAsia="Times New Roman"/>
                <w:b/>
                <w:bCs/>
                <w:sz w:val="16"/>
                <w:szCs w:val="16"/>
                <w:lang w:val="en-CA" w:eastAsia="en-CA"/>
              </w:rPr>
            </w:pPr>
            <w:r w:rsidRPr="001E4F26">
              <w:rPr>
                <w:rFonts w:eastAsia="Times New Roman"/>
                <w:b/>
                <w:bCs/>
                <w:sz w:val="16"/>
                <w:szCs w:val="16"/>
                <w:lang w:val="en-CA" w:eastAsia="en-CA"/>
              </w:rPr>
              <w:t>-$0.0024</w:t>
            </w:r>
          </w:p>
        </w:tc>
      </w:tr>
      <w:tr w:rsidR="001E4F26" w:rsidRPr="001E4F26" w14:paraId="5C6B9DB5" w14:textId="77777777" w:rsidTr="001E4F26">
        <w:trPr>
          <w:trHeight w:val="282"/>
          <w:jc w:val="center"/>
        </w:trPr>
        <w:tc>
          <w:tcPr>
            <w:tcW w:w="1479" w:type="pct"/>
            <w:tcBorders>
              <w:top w:val="nil"/>
              <w:left w:val="single" w:sz="4" w:space="0" w:color="auto"/>
              <w:bottom w:val="single" w:sz="4" w:space="0" w:color="auto"/>
              <w:right w:val="single" w:sz="4" w:space="0" w:color="auto"/>
            </w:tcBorders>
            <w:shd w:val="clear" w:color="000000" w:fill="FFFFFF"/>
            <w:noWrap/>
            <w:vAlign w:val="center"/>
            <w:hideMark/>
          </w:tcPr>
          <w:p w14:paraId="1A4A1F60" w14:textId="77777777" w:rsidR="001E4F26" w:rsidRPr="001E4F26" w:rsidRDefault="001E4F26" w:rsidP="001E4F26">
            <w:pPr>
              <w:widowControl/>
              <w:autoSpaceDE/>
              <w:autoSpaceDN/>
              <w:rPr>
                <w:rFonts w:eastAsia="Times New Roman"/>
                <w:sz w:val="16"/>
                <w:szCs w:val="16"/>
                <w:lang w:val="en-CA" w:eastAsia="en-CA"/>
              </w:rPr>
            </w:pPr>
            <w:r w:rsidRPr="001E4F26">
              <w:rPr>
                <w:rFonts w:eastAsia="Times New Roman"/>
                <w:sz w:val="16"/>
                <w:szCs w:val="16"/>
                <w:lang w:val="en-CA" w:eastAsia="en-CA"/>
              </w:rPr>
              <w:t>STREET LIGHTING</w:t>
            </w:r>
          </w:p>
        </w:tc>
        <w:tc>
          <w:tcPr>
            <w:tcW w:w="604" w:type="pct"/>
            <w:tcBorders>
              <w:top w:val="single" w:sz="4" w:space="0" w:color="auto"/>
              <w:left w:val="single" w:sz="4" w:space="0" w:color="auto"/>
              <w:bottom w:val="single" w:sz="4" w:space="0" w:color="auto"/>
              <w:right w:val="single" w:sz="4" w:space="0" w:color="auto"/>
            </w:tcBorders>
            <w:shd w:val="clear" w:color="000000" w:fill="DAE7DF"/>
            <w:noWrap/>
            <w:vAlign w:val="center"/>
            <w:hideMark/>
          </w:tcPr>
          <w:p w14:paraId="28A2548F" w14:textId="77777777" w:rsidR="001E4F26" w:rsidRPr="001E4F26" w:rsidRDefault="001E4F26" w:rsidP="001E4F26">
            <w:pPr>
              <w:widowControl/>
              <w:autoSpaceDE/>
              <w:autoSpaceDN/>
              <w:jc w:val="center"/>
              <w:rPr>
                <w:rFonts w:eastAsia="Times New Roman"/>
                <w:b/>
                <w:bCs/>
                <w:color w:val="FF0000"/>
                <w:sz w:val="16"/>
                <w:szCs w:val="16"/>
                <w:lang w:val="en-CA" w:eastAsia="en-CA"/>
              </w:rPr>
            </w:pPr>
            <w:r w:rsidRPr="001E4F26">
              <w:rPr>
                <w:rFonts w:eastAsia="Times New Roman"/>
                <w:b/>
                <w:bCs/>
                <w:color w:val="FF0000"/>
                <w:sz w:val="16"/>
                <w:szCs w:val="16"/>
                <w:lang w:val="en-CA" w:eastAsia="en-CA"/>
              </w:rPr>
              <w:t>kW</w:t>
            </w:r>
          </w:p>
        </w:tc>
        <w:tc>
          <w:tcPr>
            <w:tcW w:w="472" w:type="pct"/>
            <w:tcBorders>
              <w:top w:val="nil"/>
              <w:left w:val="nil"/>
              <w:bottom w:val="single" w:sz="4" w:space="0" w:color="auto"/>
              <w:right w:val="single" w:sz="4" w:space="0" w:color="auto"/>
            </w:tcBorders>
            <w:noWrap/>
            <w:vAlign w:val="center"/>
            <w:hideMark/>
          </w:tcPr>
          <w:p w14:paraId="7692ABA4" w14:textId="0E4F6ED6"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1,431</w:t>
            </w:r>
          </w:p>
        </w:tc>
        <w:tc>
          <w:tcPr>
            <w:tcW w:w="576" w:type="pct"/>
            <w:tcBorders>
              <w:top w:val="nil"/>
              <w:left w:val="nil"/>
              <w:bottom w:val="single" w:sz="4" w:space="0" w:color="auto"/>
              <w:right w:val="single" w:sz="4" w:space="0" w:color="auto"/>
            </w:tcBorders>
            <w:noWrap/>
            <w:vAlign w:val="center"/>
            <w:hideMark/>
          </w:tcPr>
          <w:p w14:paraId="73CFAD88" w14:textId="77777777"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$17,640.24</w:t>
            </w:r>
          </w:p>
        </w:tc>
        <w:tc>
          <w:tcPr>
            <w:tcW w:w="459" w:type="pct"/>
            <w:tcBorders>
              <w:top w:val="nil"/>
              <w:left w:val="nil"/>
              <w:bottom w:val="single" w:sz="4" w:space="0" w:color="auto"/>
              <w:right w:val="single" w:sz="4" w:space="0" w:color="auto"/>
            </w:tcBorders>
            <w:noWrap/>
            <w:vAlign w:val="center"/>
            <w:hideMark/>
          </w:tcPr>
          <w:p w14:paraId="01413D76" w14:textId="77777777"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0.80%</w:t>
            </w:r>
          </w:p>
        </w:tc>
        <w:tc>
          <w:tcPr>
            <w:tcW w:w="818" w:type="pct"/>
            <w:tcBorders>
              <w:top w:val="nil"/>
              <w:left w:val="nil"/>
              <w:bottom w:val="single" w:sz="4" w:space="0" w:color="auto"/>
              <w:right w:val="single" w:sz="4" w:space="0" w:color="auto"/>
            </w:tcBorders>
            <w:noWrap/>
            <w:vAlign w:val="center"/>
            <w:hideMark/>
          </w:tcPr>
          <w:p w14:paraId="3EDF7F81" w14:textId="77777777" w:rsidR="001E4F26" w:rsidRPr="001E4F26" w:rsidRDefault="001E4F26" w:rsidP="001E4F26">
            <w:pPr>
              <w:widowControl/>
              <w:autoSpaceDE/>
              <w:autoSpaceDN/>
              <w:jc w:val="center"/>
              <w:rPr>
                <w:rFonts w:eastAsia="Times New Roman"/>
                <w:sz w:val="16"/>
                <w:szCs w:val="16"/>
                <w:lang w:val="en-CA" w:eastAsia="en-CA"/>
              </w:rPr>
            </w:pPr>
            <w:r w:rsidRPr="001E4F26">
              <w:rPr>
                <w:rFonts w:eastAsia="Times New Roman"/>
                <w:sz w:val="16"/>
                <w:szCs w:val="16"/>
                <w:lang w:val="en-CA" w:eastAsia="en-CA"/>
              </w:rPr>
              <w:t>-$94.75</w:t>
            </w:r>
          </w:p>
        </w:tc>
        <w:tc>
          <w:tcPr>
            <w:tcW w:w="592" w:type="pct"/>
            <w:tcBorders>
              <w:top w:val="nil"/>
              <w:left w:val="nil"/>
              <w:bottom w:val="single" w:sz="4" w:space="0" w:color="auto"/>
              <w:right w:val="single" w:sz="4" w:space="0" w:color="auto"/>
            </w:tcBorders>
            <w:noWrap/>
            <w:vAlign w:val="center"/>
            <w:hideMark/>
          </w:tcPr>
          <w:p w14:paraId="1F2B5514" w14:textId="77777777" w:rsidR="001E4F26" w:rsidRPr="001E4F26" w:rsidRDefault="001E4F26" w:rsidP="001E4F26">
            <w:pPr>
              <w:widowControl/>
              <w:autoSpaceDE/>
              <w:autoSpaceDN/>
              <w:jc w:val="center"/>
              <w:rPr>
                <w:rFonts w:eastAsia="Times New Roman"/>
                <w:b/>
                <w:bCs/>
                <w:sz w:val="16"/>
                <w:szCs w:val="16"/>
                <w:lang w:val="en-CA" w:eastAsia="en-CA"/>
              </w:rPr>
            </w:pPr>
            <w:r w:rsidRPr="001E4F26">
              <w:rPr>
                <w:rFonts w:eastAsia="Times New Roman"/>
                <w:b/>
                <w:bCs/>
                <w:sz w:val="16"/>
                <w:szCs w:val="16"/>
                <w:lang w:val="en-CA" w:eastAsia="en-CA"/>
              </w:rPr>
              <w:t>-$0.0055</w:t>
            </w:r>
          </w:p>
        </w:tc>
      </w:tr>
      <w:tr w:rsidR="001E4F26" w:rsidRPr="001E4F26" w14:paraId="47F2CBEB" w14:textId="77777777" w:rsidTr="001E4F26">
        <w:trPr>
          <w:trHeight w:val="282"/>
          <w:jc w:val="center"/>
        </w:trPr>
        <w:tc>
          <w:tcPr>
            <w:tcW w:w="1479" w:type="pct"/>
            <w:tcBorders>
              <w:top w:val="nil"/>
              <w:left w:val="single" w:sz="4" w:space="0" w:color="auto"/>
              <w:bottom w:val="single" w:sz="4" w:space="0" w:color="auto"/>
              <w:right w:val="single" w:sz="4" w:space="0" w:color="auto"/>
            </w:tcBorders>
            <w:shd w:val="clear" w:color="000000" w:fill="FFFFFF"/>
            <w:noWrap/>
            <w:vAlign w:val="center"/>
            <w:hideMark/>
          </w:tcPr>
          <w:p w14:paraId="278E007F" w14:textId="185BCFC0" w:rsidR="001E4F26" w:rsidRPr="001E4F26" w:rsidRDefault="001E4F26" w:rsidP="001E4F26">
            <w:pPr>
              <w:widowControl/>
              <w:autoSpaceDE/>
              <w:autoSpaceDN/>
              <w:rPr>
                <w:rFonts w:eastAsia="Times New Roman"/>
                <w:sz w:val="16"/>
                <w:szCs w:val="16"/>
                <w:lang w:val="en-CA" w:eastAsia="en-CA"/>
              </w:rPr>
            </w:pPr>
          </w:p>
        </w:tc>
        <w:tc>
          <w:tcPr>
            <w:tcW w:w="604" w:type="pct"/>
            <w:tcBorders>
              <w:top w:val="nil"/>
              <w:left w:val="nil"/>
              <w:bottom w:val="single" w:sz="4" w:space="0" w:color="auto"/>
              <w:right w:val="single" w:sz="4" w:space="0" w:color="auto"/>
            </w:tcBorders>
            <w:shd w:val="clear" w:color="000000" w:fill="DAE7DF"/>
            <w:noWrap/>
            <w:vAlign w:val="center"/>
            <w:hideMark/>
          </w:tcPr>
          <w:p w14:paraId="0DB5D684" w14:textId="153DC195" w:rsidR="001E4F26" w:rsidRPr="001E4F26" w:rsidRDefault="001E4F26" w:rsidP="001E4F26">
            <w:pPr>
              <w:widowControl/>
              <w:autoSpaceDE/>
              <w:autoSpaceDN/>
              <w:jc w:val="center"/>
              <w:rPr>
                <w:rFonts w:eastAsia="Times New Roman"/>
                <w:sz w:val="16"/>
                <w:szCs w:val="16"/>
                <w:lang w:val="en-CA" w:eastAsia="en-CA"/>
              </w:rPr>
            </w:pPr>
          </w:p>
        </w:tc>
        <w:tc>
          <w:tcPr>
            <w:tcW w:w="472" w:type="pct"/>
            <w:tcBorders>
              <w:top w:val="nil"/>
              <w:left w:val="nil"/>
              <w:bottom w:val="single" w:sz="4" w:space="0" w:color="auto"/>
              <w:right w:val="single" w:sz="4" w:space="0" w:color="auto"/>
            </w:tcBorders>
            <w:noWrap/>
            <w:vAlign w:val="center"/>
            <w:hideMark/>
          </w:tcPr>
          <w:p w14:paraId="13F33948" w14:textId="7D3839E2" w:rsidR="001E4F26" w:rsidRPr="001E4F26" w:rsidRDefault="001E4F26" w:rsidP="001E4F26">
            <w:pPr>
              <w:widowControl/>
              <w:autoSpaceDE/>
              <w:autoSpaceDN/>
              <w:jc w:val="center"/>
              <w:rPr>
                <w:rFonts w:eastAsia="Times New Roman"/>
                <w:sz w:val="16"/>
                <w:szCs w:val="16"/>
                <w:lang w:val="en-CA" w:eastAsia="en-CA"/>
              </w:rPr>
            </w:pPr>
          </w:p>
        </w:tc>
        <w:tc>
          <w:tcPr>
            <w:tcW w:w="576" w:type="pct"/>
            <w:tcBorders>
              <w:top w:val="nil"/>
              <w:left w:val="nil"/>
              <w:bottom w:val="single" w:sz="4" w:space="0" w:color="auto"/>
              <w:right w:val="single" w:sz="4" w:space="0" w:color="auto"/>
            </w:tcBorders>
            <w:noWrap/>
            <w:vAlign w:val="center"/>
            <w:hideMark/>
          </w:tcPr>
          <w:p w14:paraId="74E942E3" w14:textId="71117B40" w:rsidR="001E4F26" w:rsidRPr="001E4F26" w:rsidRDefault="001E4F26" w:rsidP="001E4F26">
            <w:pPr>
              <w:widowControl/>
              <w:autoSpaceDE/>
              <w:autoSpaceDN/>
              <w:jc w:val="center"/>
              <w:rPr>
                <w:rFonts w:eastAsia="Times New Roman"/>
                <w:sz w:val="16"/>
                <w:szCs w:val="16"/>
                <w:lang w:val="en-CA" w:eastAsia="en-CA"/>
              </w:rPr>
            </w:pPr>
          </w:p>
        </w:tc>
        <w:tc>
          <w:tcPr>
            <w:tcW w:w="459" w:type="pct"/>
            <w:tcBorders>
              <w:top w:val="nil"/>
              <w:left w:val="nil"/>
              <w:bottom w:val="single" w:sz="4" w:space="0" w:color="auto"/>
              <w:right w:val="single" w:sz="4" w:space="0" w:color="auto"/>
            </w:tcBorders>
            <w:noWrap/>
            <w:vAlign w:val="center"/>
            <w:hideMark/>
          </w:tcPr>
          <w:p w14:paraId="33B80676" w14:textId="46B232AC" w:rsidR="001E4F26" w:rsidRPr="001E4F26" w:rsidRDefault="001E4F26" w:rsidP="001E4F26">
            <w:pPr>
              <w:widowControl/>
              <w:autoSpaceDE/>
              <w:autoSpaceDN/>
              <w:jc w:val="center"/>
              <w:rPr>
                <w:rFonts w:eastAsia="Times New Roman"/>
                <w:sz w:val="16"/>
                <w:szCs w:val="16"/>
                <w:lang w:val="en-CA" w:eastAsia="en-CA"/>
              </w:rPr>
            </w:pPr>
          </w:p>
        </w:tc>
        <w:tc>
          <w:tcPr>
            <w:tcW w:w="818" w:type="pct"/>
            <w:tcBorders>
              <w:top w:val="nil"/>
              <w:left w:val="nil"/>
              <w:bottom w:val="single" w:sz="4" w:space="0" w:color="auto"/>
              <w:right w:val="single" w:sz="4" w:space="0" w:color="auto"/>
            </w:tcBorders>
            <w:noWrap/>
            <w:vAlign w:val="center"/>
            <w:hideMark/>
          </w:tcPr>
          <w:p w14:paraId="35DCAA6B" w14:textId="3D4EC408" w:rsidR="001E4F26" w:rsidRPr="001E4F26" w:rsidRDefault="001E4F26" w:rsidP="001E4F26">
            <w:pPr>
              <w:widowControl/>
              <w:autoSpaceDE/>
              <w:autoSpaceDN/>
              <w:jc w:val="center"/>
              <w:rPr>
                <w:rFonts w:eastAsia="Times New Roman"/>
                <w:sz w:val="16"/>
                <w:szCs w:val="16"/>
                <w:lang w:val="en-CA" w:eastAsia="en-CA"/>
              </w:rPr>
            </w:pPr>
          </w:p>
        </w:tc>
        <w:tc>
          <w:tcPr>
            <w:tcW w:w="592" w:type="pct"/>
            <w:tcBorders>
              <w:top w:val="nil"/>
              <w:left w:val="nil"/>
              <w:bottom w:val="single" w:sz="4" w:space="0" w:color="auto"/>
              <w:right w:val="single" w:sz="4" w:space="0" w:color="auto"/>
            </w:tcBorders>
            <w:noWrap/>
            <w:vAlign w:val="center"/>
            <w:hideMark/>
          </w:tcPr>
          <w:p w14:paraId="6D82A4A2" w14:textId="11C32EB1" w:rsidR="001E4F26" w:rsidRPr="001E4F26" w:rsidRDefault="001E4F26" w:rsidP="001E4F26">
            <w:pPr>
              <w:widowControl/>
              <w:autoSpaceDE/>
              <w:autoSpaceDN/>
              <w:jc w:val="center"/>
              <w:rPr>
                <w:rFonts w:eastAsia="Times New Roman"/>
                <w:b/>
                <w:bCs/>
                <w:sz w:val="16"/>
                <w:szCs w:val="16"/>
                <w:lang w:val="en-CA" w:eastAsia="en-CA"/>
              </w:rPr>
            </w:pPr>
          </w:p>
        </w:tc>
      </w:tr>
      <w:tr w:rsidR="001E4F26" w:rsidRPr="001E4F26" w14:paraId="21733036" w14:textId="77777777" w:rsidTr="001E4F26">
        <w:trPr>
          <w:trHeight w:val="282"/>
          <w:jc w:val="center"/>
        </w:trPr>
        <w:tc>
          <w:tcPr>
            <w:tcW w:w="1479" w:type="pct"/>
            <w:tcBorders>
              <w:top w:val="nil"/>
              <w:left w:val="single" w:sz="4" w:space="0" w:color="auto"/>
              <w:bottom w:val="single" w:sz="4" w:space="0" w:color="auto"/>
              <w:right w:val="single" w:sz="4" w:space="0" w:color="auto"/>
            </w:tcBorders>
            <w:shd w:val="clear" w:color="000000" w:fill="F5F9FC"/>
            <w:noWrap/>
            <w:vAlign w:val="center"/>
            <w:hideMark/>
          </w:tcPr>
          <w:p w14:paraId="4885D3F5" w14:textId="77777777" w:rsidR="001E4F26" w:rsidRPr="001E4F26" w:rsidRDefault="001E4F26" w:rsidP="001E4F26">
            <w:pPr>
              <w:widowControl/>
              <w:autoSpaceDE/>
              <w:autoSpaceDN/>
              <w:rPr>
                <w:rFonts w:eastAsia="Times New Roman"/>
                <w:b/>
                <w:bCs/>
                <w:sz w:val="16"/>
                <w:szCs w:val="16"/>
                <w:lang w:val="en-CA" w:eastAsia="en-CA"/>
              </w:rPr>
            </w:pPr>
            <w:r w:rsidRPr="001E4F26">
              <w:rPr>
                <w:rFonts w:eastAsia="Times New Roman"/>
                <w:b/>
                <w:bCs/>
                <w:sz w:val="16"/>
                <w:szCs w:val="16"/>
                <w:lang w:val="en-CA" w:eastAsia="en-CA"/>
              </w:rPr>
              <w:t>Total</w:t>
            </w:r>
          </w:p>
        </w:tc>
        <w:tc>
          <w:tcPr>
            <w:tcW w:w="604" w:type="pct"/>
            <w:tcBorders>
              <w:top w:val="nil"/>
              <w:left w:val="nil"/>
              <w:bottom w:val="single" w:sz="4" w:space="0" w:color="auto"/>
              <w:right w:val="single" w:sz="4" w:space="0" w:color="auto"/>
            </w:tcBorders>
            <w:shd w:val="clear" w:color="000000" w:fill="F5F9FC"/>
            <w:noWrap/>
            <w:vAlign w:val="center"/>
            <w:hideMark/>
          </w:tcPr>
          <w:p w14:paraId="512132D2" w14:textId="07E2F03B" w:rsidR="001E4F26" w:rsidRPr="001E4F26" w:rsidRDefault="001E4F26" w:rsidP="001E4F26">
            <w:pPr>
              <w:widowControl/>
              <w:autoSpaceDE/>
              <w:autoSpaceDN/>
              <w:jc w:val="center"/>
              <w:rPr>
                <w:rFonts w:eastAsia="Times New Roman"/>
                <w:b/>
                <w:bCs/>
                <w:sz w:val="16"/>
                <w:szCs w:val="16"/>
                <w:lang w:val="en-CA" w:eastAsia="en-CA"/>
              </w:rPr>
            </w:pPr>
          </w:p>
        </w:tc>
        <w:tc>
          <w:tcPr>
            <w:tcW w:w="472" w:type="pct"/>
            <w:tcBorders>
              <w:top w:val="nil"/>
              <w:left w:val="nil"/>
              <w:bottom w:val="single" w:sz="4" w:space="0" w:color="auto"/>
              <w:right w:val="single" w:sz="4" w:space="0" w:color="auto"/>
            </w:tcBorders>
            <w:shd w:val="clear" w:color="000000" w:fill="F5F9FC"/>
            <w:noWrap/>
            <w:vAlign w:val="center"/>
            <w:hideMark/>
          </w:tcPr>
          <w:p w14:paraId="01A793CF" w14:textId="2826B631" w:rsidR="001E4F26" w:rsidRPr="001E4F26" w:rsidRDefault="001E4F26" w:rsidP="001E4F26">
            <w:pPr>
              <w:widowControl/>
              <w:autoSpaceDE/>
              <w:autoSpaceDN/>
              <w:jc w:val="center"/>
              <w:rPr>
                <w:rFonts w:eastAsia="Times New Roman"/>
                <w:b/>
                <w:bCs/>
                <w:sz w:val="16"/>
                <w:szCs w:val="16"/>
                <w:lang w:val="en-CA" w:eastAsia="en-CA"/>
              </w:rPr>
            </w:pPr>
          </w:p>
        </w:tc>
        <w:tc>
          <w:tcPr>
            <w:tcW w:w="576" w:type="pct"/>
            <w:tcBorders>
              <w:top w:val="nil"/>
              <w:left w:val="nil"/>
              <w:bottom w:val="single" w:sz="4" w:space="0" w:color="auto"/>
              <w:right w:val="single" w:sz="4" w:space="0" w:color="auto"/>
            </w:tcBorders>
            <w:shd w:val="clear" w:color="000000" w:fill="F5F9FC"/>
            <w:noWrap/>
            <w:vAlign w:val="center"/>
            <w:hideMark/>
          </w:tcPr>
          <w:p w14:paraId="14DE26CC" w14:textId="77777777" w:rsidR="001E4F26" w:rsidRPr="001E4F26" w:rsidRDefault="001E4F26" w:rsidP="001E4F26">
            <w:pPr>
              <w:widowControl/>
              <w:autoSpaceDE/>
              <w:autoSpaceDN/>
              <w:jc w:val="center"/>
              <w:rPr>
                <w:rFonts w:eastAsia="Times New Roman"/>
                <w:b/>
                <w:bCs/>
                <w:sz w:val="16"/>
                <w:szCs w:val="16"/>
                <w:lang w:val="en-CA" w:eastAsia="en-CA"/>
              </w:rPr>
            </w:pPr>
            <w:r w:rsidRPr="001E4F26">
              <w:rPr>
                <w:rFonts w:eastAsia="Times New Roman"/>
                <w:b/>
                <w:bCs/>
                <w:sz w:val="16"/>
                <w:szCs w:val="16"/>
                <w:lang w:val="en-CA" w:eastAsia="en-CA"/>
              </w:rPr>
              <w:t>$2,192,927.67</w:t>
            </w:r>
          </w:p>
        </w:tc>
        <w:tc>
          <w:tcPr>
            <w:tcW w:w="459" w:type="pct"/>
            <w:tcBorders>
              <w:top w:val="nil"/>
              <w:left w:val="nil"/>
              <w:bottom w:val="single" w:sz="4" w:space="0" w:color="auto"/>
              <w:right w:val="single" w:sz="4" w:space="0" w:color="auto"/>
            </w:tcBorders>
            <w:shd w:val="clear" w:color="000000" w:fill="F5F9FC"/>
            <w:noWrap/>
            <w:vAlign w:val="center"/>
            <w:hideMark/>
          </w:tcPr>
          <w:p w14:paraId="2983153D" w14:textId="77777777" w:rsidR="001E4F26" w:rsidRPr="001E4F26" w:rsidRDefault="001E4F26" w:rsidP="001E4F26">
            <w:pPr>
              <w:widowControl/>
              <w:autoSpaceDE/>
              <w:autoSpaceDN/>
              <w:jc w:val="center"/>
              <w:rPr>
                <w:rFonts w:eastAsia="Times New Roman"/>
                <w:b/>
                <w:bCs/>
                <w:sz w:val="16"/>
                <w:szCs w:val="16"/>
                <w:lang w:val="en-CA" w:eastAsia="en-CA"/>
              </w:rPr>
            </w:pPr>
            <w:r w:rsidRPr="001E4F26">
              <w:rPr>
                <w:rFonts w:eastAsia="Times New Roman"/>
                <w:b/>
                <w:bCs/>
                <w:sz w:val="16"/>
                <w:szCs w:val="16"/>
                <w:lang w:val="en-CA" w:eastAsia="en-CA"/>
              </w:rPr>
              <w:t>100.00%</w:t>
            </w:r>
          </w:p>
        </w:tc>
        <w:tc>
          <w:tcPr>
            <w:tcW w:w="818" w:type="pct"/>
            <w:tcBorders>
              <w:top w:val="nil"/>
              <w:left w:val="nil"/>
              <w:bottom w:val="single" w:sz="4" w:space="0" w:color="auto"/>
              <w:right w:val="single" w:sz="4" w:space="0" w:color="auto"/>
            </w:tcBorders>
            <w:shd w:val="clear" w:color="000000" w:fill="F5F9FC"/>
            <w:noWrap/>
            <w:vAlign w:val="center"/>
            <w:hideMark/>
          </w:tcPr>
          <w:p w14:paraId="24D27BD3" w14:textId="77777777" w:rsidR="001E4F26" w:rsidRPr="001E4F26" w:rsidRDefault="001E4F26" w:rsidP="001E4F26">
            <w:pPr>
              <w:widowControl/>
              <w:autoSpaceDE/>
              <w:autoSpaceDN/>
              <w:jc w:val="center"/>
              <w:rPr>
                <w:rFonts w:eastAsia="Times New Roman"/>
                <w:b/>
                <w:bCs/>
                <w:sz w:val="16"/>
                <w:szCs w:val="16"/>
                <w:lang w:val="en-CA" w:eastAsia="en-CA"/>
              </w:rPr>
            </w:pPr>
            <w:r w:rsidRPr="001E4F26">
              <w:rPr>
                <w:rFonts w:eastAsia="Times New Roman"/>
                <w:b/>
                <w:bCs/>
                <w:sz w:val="16"/>
                <w:szCs w:val="16"/>
                <w:lang w:val="en-CA" w:eastAsia="en-CA"/>
              </w:rPr>
              <w:t>-$11,778.20</w:t>
            </w:r>
          </w:p>
        </w:tc>
        <w:tc>
          <w:tcPr>
            <w:tcW w:w="592" w:type="pct"/>
            <w:tcBorders>
              <w:top w:val="nil"/>
              <w:left w:val="nil"/>
              <w:bottom w:val="single" w:sz="4" w:space="0" w:color="auto"/>
              <w:right w:val="single" w:sz="4" w:space="0" w:color="auto"/>
            </w:tcBorders>
            <w:shd w:val="clear" w:color="000000" w:fill="F5F9FC"/>
            <w:noWrap/>
            <w:vAlign w:val="center"/>
            <w:hideMark/>
          </w:tcPr>
          <w:p w14:paraId="39E50164" w14:textId="70283676" w:rsidR="001E4F26" w:rsidRPr="001E4F26" w:rsidRDefault="001E4F26" w:rsidP="001E4F26">
            <w:pPr>
              <w:widowControl/>
              <w:autoSpaceDE/>
              <w:autoSpaceDN/>
              <w:jc w:val="center"/>
              <w:rPr>
                <w:rFonts w:eastAsia="Times New Roman"/>
                <w:b/>
                <w:bCs/>
                <w:sz w:val="16"/>
                <w:szCs w:val="16"/>
                <w:lang w:val="en-CA" w:eastAsia="en-CA"/>
              </w:rPr>
            </w:pPr>
          </w:p>
        </w:tc>
      </w:tr>
      <w:tr w:rsidR="001E4F26" w:rsidRPr="001E4F26" w14:paraId="01C2CEDE" w14:textId="77777777" w:rsidTr="001E4F26">
        <w:trPr>
          <w:trHeight w:val="282"/>
          <w:jc w:val="center"/>
        </w:trPr>
        <w:tc>
          <w:tcPr>
            <w:tcW w:w="1479" w:type="pct"/>
            <w:tcBorders>
              <w:top w:val="nil"/>
              <w:left w:val="nil"/>
              <w:bottom w:val="nil"/>
              <w:right w:val="nil"/>
            </w:tcBorders>
            <w:noWrap/>
            <w:vAlign w:val="center"/>
            <w:hideMark/>
          </w:tcPr>
          <w:p w14:paraId="5B0D3F5D" w14:textId="77777777" w:rsidR="001E4F26" w:rsidRPr="001E4F26" w:rsidRDefault="001E4F26" w:rsidP="001E4F26">
            <w:pPr>
              <w:widowControl/>
              <w:autoSpaceDE/>
              <w:autoSpaceDN/>
              <w:jc w:val="center"/>
              <w:rPr>
                <w:rFonts w:eastAsia="Times New Roman"/>
                <w:b/>
                <w:bCs/>
                <w:sz w:val="16"/>
                <w:szCs w:val="16"/>
                <w:lang w:val="en-CA" w:eastAsia="en-CA"/>
              </w:rPr>
            </w:pPr>
          </w:p>
        </w:tc>
        <w:tc>
          <w:tcPr>
            <w:tcW w:w="604" w:type="pct"/>
            <w:tcBorders>
              <w:top w:val="nil"/>
              <w:left w:val="nil"/>
              <w:bottom w:val="nil"/>
              <w:right w:val="nil"/>
            </w:tcBorders>
            <w:noWrap/>
            <w:vAlign w:val="center"/>
            <w:hideMark/>
          </w:tcPr>
          <w:p w14:paraId="2644B205" w14:textId="77777777" w:rsidR="001E4F26" w:rsidRPr="001E4F26" w:rsidRDefault="001E4F26" w:rsidP="001E4F26">
            <w:pPr>
              <w:widowControl/>
              <w:autoSpaceDE/>
              <w:autoSpaceDN/>
              <w:jc w:val="center"/>
              <w:rPr>
                <w:rFonts w:ascii="Times New Roman" w:eastAsia="Times New Roman" w:hAnsi="Times New Roman" w:cs="Times New Roman"/>
                <w:sz w:val="16"/>
                <w:szCs w:val="16"/>
                <w:lang w:val="en-CA" w:eastAsia="en-CA"/>
              </w:rPr>
            </w:pPr>
          </w:p>
        </w:tc>
        <w:tc>
          <w:tcPr>
            <w:tcW w:w="472" w:type="pct"/>
            <w:tcBorders>
              <w:top w:val="nil"/>
              <w:left w:val="nil"/>
              <w:bottom w:val="nil"/>
              <w:right w:val="nil"/>
            </w:tcBorders>
            <w:noWrap/>
            <w:vAlign w:val="center"/>
            <w:hideMark/>
          </w:tcPr>
          <w:p w14:paraId="346E3E7D" w14:textId="77777777" w:rsidR="001E4F26" w:rsidRPr="001E4F26" w:rsidRDefault="001E4F26" w:rsidP="001E4F26">
            <w:pPr>
              <w:widowControl/>
              <w:autoSpaceDE/>
              <w:autoSpaceDN/>
              <w:jc w:val="center"/>
              <w:rPr>
                <w:rFonts w:ascii="Times New Roman" w:eastAsia="Times New Roman" w:hAnsi="Times New Roman" w:cs="Times New Roman"/>
                <w:sz w:val="16"/>
                <w:szCs w:val="16"/>
                <w:lang w:val="en-CA" w:eastAsia="en-CA"/>
              </w:rPr>
            </w:pPr>
          </w:p>
        </w:tc>
        <w:tc>
          <w:tcPr>
            <w:tcW w:w="576" w:type="pct"/>
            <w:tcBorders>
              <w:top w:val="nil"/>
              <w:left w:val="nil"/>
              <w:bottom w:val="nil"/>
              <w:right w:val="nil"/>
            </w:tcBorders>
            <w:noWrap/>
            <w:vAlign w:val="center"/>
            <w:hideMark/>
          </w:tcPr>
          <w:p w14:paraId="045FFEA1" w14:textId="77777777" w:rsidR="001E4F26" w:rsidRPr="001E4F26" w:rsidRDefault="001E4F26" w:rsidP="001E4F26">
            <w:pPr>
              <w:widowControl/>
              <w:autoSpaceDE/>
              <w:autoSpaceDN/>
              <w:jc w:val="center"/>
              <w:rPr>
                <w:rFonts w:ascii="Times New Roman" w:eastAsia="Times New Roman" w:hAnsi="Times New Roman" w:cs="Times New Roman"/>
                <w:sz w:val="16"/>
                <w:szCs w:val="16"/>
                <w:lang w:val="en-CA" w:eastAsia="en-CA"/>
              </w:rPr>
            </w:pPr>
          </w:p>
        </w:tc>
        <w:tc>
          <w:tcPr>
            <w:tcW w:w="459" w:type="pct"/>
            <w:tcBorders>
              <w:top w:val="nil"/>
              <w:left w:val="nil"/>
              <w:bottom w:val="nil"/>
              <w:right w:val="nil"/>
            </w:tcBorders>
            <w:noWrap/>
            <w:vAlign w:val="center"/>
            <w:hideMark/>
          </w:tcPr>
          <w:p w14:paraId="71B82952" w14:textId="77777777" w:rsidR="001E4F26" w:rsidRPr="001E4F26" w:rsidRDefault="001E4F26" w:rsidP="001E4F26">
            <w:pPr>
              <w:widowControl/>
              <w:autoSpaceDE/>
              <w:autoSpaceDN/>
              <w:jc w:val="center"/>
              <w:rPr>
                <w:rFonts w:ascii="Times New Roman" w:eastAsia="Times New Roman" w:hAnsi="Times New Roman" w:cs="Times New Roman"/>
                <w:sz w:val="16"/>
                <w:szCs w:val="16"/>
                <w:lang w:val="en-CA" w:eastAsia="en-CA"/>
              </w:rPr>
            </w:pPr>
          </w:p>
        </w:tc>
        <w:tc>
          <w:tcPr>
            <w:tcW w:w="818" w:type="pct"/>
            <w:tcBorders>
              <w:top w:val="nil"/>
              <w:left w:val="nil"/>
              <w:bottom w:val="nil"/>
              <w:right w:val="nil"/>
            </w:tcBorders>
            <w:noWrap/>
            <w:vAlign w:val="center"/>
            <w:hideMark/>
          </w:tcPr>
          <w:p w14:paraId="000C495A" w14:textId="77777777" w:rsidR="001E4F26" w:rsidRDefault="001E4F26" w:rsidP="001E4F26">
            <w:pPr>
              <w:widowControl/>
              <w:autoSpaceDE/>
              <w:autoSpaceDN/>
              <w:jc w:val="center"/>
              <w:rPr>
                <w:rFonts w:eastAsia="Times New Roman"/>
                <w:i/>
                <w:iCs/>
                <w:color w:val="517C61"/>
                <w:sz w:val="16"/>
                <w:szCs w:val="16"/>
                <w:lang w:val="en-CA" w:eastAsia="en-CA"/>
              </w:rPr>
            </w:pPr>
            <w:r w:rsidRPr="001E4F26">
              <w:rPr>
                <w:rFonts w:eastAsia="Times New Roman"/>
                <w:i/>
                <w:iCs/>
                <w:color w:val="517C61"/>
                <w:sz w:val="16"/>
                <w:szCs w:val="16"/>
                <w:lang w:val="en-CA" w:eastAsia="en-CA"/>
              </w:rPr>
              <w:t xml:space="preserve">Difference in </w:t>
            </w:r>
          </w:p>
          <w:p w14:paraId="41162FE4" w14:textId="21CE3D24" w:rsidR="001E4F26" w:rsidRPr="001E4F26" w:rsidRDefault="001E4F26" w:rsidP="001E4F26">
            <w:pPr>
              <w:widowControl/>
              <w:autoSpaceDE/>
              <w:autoSpaceDN/>
              <w:jc w:val="center"/>
              <w:rPr>
                <w:rFonts w:eastAsia="Times New Roman"/>
                <w:i/>
                <w:iCs/>
                <w:color w:val="517C61"/>
                <w:sz w:val="16"/>
                <w:szCs w:val="16"/>
                <w:lang w:val="en-CA" w:eastAsia="en-CA"/>
              </w:rPr>
            </w:pPr>
            <w:r w:rsidRPr="001E4F26">
              <w:rPr>
                <w:rFonts w:eastAsia="Times New Roman"/>
                <w:i/>
                <w:iCs/>
                <w:color w:val="517C61"/>
                <w:sz w:val="16"/>
                <w:szCs w:val="16"/>
                <w:lang w:val="en-CA" w:eastAsia="en-CA"/>
              </w:rPr>
              <w:t>Base Rev Req</w:t>
            </w:r>
          </w:p>
        </w:tc>
        <w:tc>
          <w:tcPr>
            <w:tcW w:w="592" w:type="pct"/>
            <w:tcBorders>
              <w:top w:val="nil"/>
              <w:left w:val="nil"/>
              <w:bottom w:val="nil"/>
              <w:right w:val="nil"/>
            </w:tcBorders>
            <w:noWrap/>
            <w:vAlign w:val="center"/>
            <w:hideMark/>
          </w:tcPr>
          <w:p w14:paraId="0B381679" w14:textId="77777777" w:rsidR="001E4F26" w:rsidRPr="001E4F26" w:rsidRDefault="001E4F26" w:rsidP="001E4F26">
            <w:pPr>
              <w:widowControl/>
              <w:autoSpaceDE/>
              <w:autoSpaceDN/>
              <w:jc w:val="center"/>
              <w:rPr>
                <w:rFonts w:eastAsia="Times New Roman"/>
                <w:i/>
                <w:iCs/>
                <w:color w:val="517C61"/>
                <w:sz w:val="16"/>
                <w:szCs w:val="16"/>
                <w:lang w:val="en-CA" w:eastAsia="en-CA"/>
              </w:rPr>
            </w:pPr>
          </w:p>
        </w:tc>
      </w:tr>
    </w:tbl>
    <w:p w14:paraId="3C14474B" w14:textId="1B58A8AB" w:rsidR="001E4F26" w:rsidRDefault="001E4F26">
      <w:pPr>
        <w:rPr>
          <w:color w:val="0070C0"/>
          <w:sz w:val="24"/>
          <w:szCs w:val="24"/>
        </w:rPr>
      </w:pPr>
      <w:r>
        <w:rPr>
          <w:color w:val="0070C0"/>
          <w:sz w:val="24"/>
          <w:szCs w:val="24"/>
        </w:rPr>
        <w:br w:type="page"/>
      </w:r>
    </w:p>
    <w:p w14:paraId="3D1AB2A8" w14:textId="0B9E78A1" w:rsidR="00BB0628" w:rsidRPr="00EC4F79" w:rsidRDefault="00EC4F79" w:rsidP="00EC4F79">
      <w:pPr>
        <w:pStyle w:val="Heading1"/>
        <w:jc w:val="both"/>
      </w:pPr>
      <w:r w:rsidRPr="00EC4F79">
        <w:lastRenderedPageBreak/>
        <w:t>Staff</w:t>
      </w:r>
      <w:r w:rsidR="00084610" w:rsidRPr="00EC4F79">
        <w:t xml:space="preserve"> Question-3</w:t>
      </w:r>
    </w:p>
    <w:p w14:paraId="4444AEFF" w14:textId="77777777" w:rsidR="00BB0628" w:rsidRDefault="00BB0628" w:rsidP="00E419D3">
      <w:pPr>
        <w:pStyle w:val="BodyText"/>
        <w:jc w:val="both"/>
        <w:rPr>
          <w:b/>
          <w:sz w:val="31"/>
        </w:rPr>
      </w:pPr>
    </w:p>
    <w:p w14:paraId="19FA4FEB" w14:textId="77777777" w:rsidR="00BB0628" w:rsidRDefault="00084610" w:rsidP="00E419D3">
      <w:pPr>
        <w:pStyle w:val="BodyText"/>
        <w:spacing w:before="1" w:line="276" w:lineRule="auto"/>
        <w:ind w:left="660" w:right="277" w:hanging="540"/>
        <w:jc w:val="both"/>
      </w:pPr>
      <w:r>
        <w:rPr>
          <w:b/>
        </w:rPr>
        <w:t xml:space="preserve">Ref: </w:t>
      </w:r>
      <w:r>
        <w:t>EB-2025-0031, HHI_2026 IRM Rate Generator_20250814, Tab 4, Billing Det. For Def-Var, Cell J4</w:t>
      </w:r>
    </w:p>
    <w:p w14:paraId="32D8B7B3" w14:textId="77777777" w:rsidR="00BB0628" w:rsidRDefault="00BB0628" w:rsidP="00E419D3">
      <w:pPr>
        <w:pStyle w:val="BodyText"/>
        <w:spacing w:before="9"/>
        <w:jc w:val="both"/>
        <w:rPr>
          <w:sz w:val="27"/>
        </w:rPr>
      </w:pPr>
    </w:p>
    <w:p w14:paraId="3F0C12E3" w14:textId="77777777" w:rsidR="00BB0628" w:rsidRDefault="00084610" w:rsidP="00E419D3">
      <w:pPr>
        <w:pStyle w:val="Heading1"/>
        <w:jc w:val="both"/>
      </w:pPr>
      <w:r>
        <w:t>Preamble:</w:t>
      </w:r>
    </w:p>
    <w:p w14:paraId="4D3D6588" w14:textId="77777777" w:rsidR="00BB0628" w:rsidRDefault="00084610" w:rsidP="00E419D3">
      <w:pPr>
        <w:pStyle w:val="BodyText"/>
        <w:spacing w:before="40" w:line="276" w:lineRule="auto"/>
        <w:ind w:left="119" w:right="449"/>
        <w:jc w:val="both"/>
      </w:pPr>
      <w:r>
        <w:t>The checkbox on top of Tab 4 in the 2026 IRM Rate Generator Model relating to distributor validation of volumetric data has not been checked by Hydro Hawkesbury.</w:t>
      </w:r>
    </w:p>
    <w:p w14:paraId="476CEECB" w14:textId="77777777" w:rsidR="00BB0628" w:rsidRDefault="00BB0628" w:rsidP="00E419D3">
      <w:pPr>
        <w:pStyle w:val="BodyText"/>
        <w:spacing w:before="9"/>
        <w:jc w:val="both"/>
        <w:rPr>
          <w:sz w:val="27"/>
        </w:rPr>
      </w:pPr>
    </w:p>
    <w:p w14:paraId="3911BA2A" w14:textId="77777777" w:rsidR="00BB0628" w:rsidRDefault="00084610" w:rsidP="00E419D3">
      <w:pPr>
        <w:pStyle w:val="Heading1"/>
        <w:jc w:val="both"/>
      </w:pPr>
      <w:r>
        <w:t>Question(s):</w:t>
      </w:r>
    </w:p>
    <w:p w14:paraId="781F9D9E" w14:textId="77777777" w:rsidR="00BB0628" w:rsidRDefault="00084610" w:rsidP="00E419D3">
      <w:pPr>
        <w:pStyle w:val="ListParagraph"/>
        <w:numPr>
          <w:ilvl w:val="0"/>
          <w:numId w:val="2"/>
        </w:numPr>
        <w:tabs>
          <w:tab w:val="left" w:pos="840"/>
        </w:tabs>
        <w:spacing w:before="40" w:line="259" w:lineRule="auto"/>
        <w:ind w:right="278"/>
        <w:jc w:val="both"/>
        <w:rPr>
          <w:sz w:val="24"/>
        </w:rPr>
      </w:pPr>
      <w:r>
        <w:rPr>
          <w:sz w:val="24"/>
        </w:rPr>
        <w:t>Please check the checkbox if Hydro Hawkesbury has confirmed the accuracy of the data in Tab</w:t>
      </w:r>
      <w:r>
        <w:rPr>
          <w:spacing w:val="-6"/>
          <w:sz w:val="24"/>
        </w:rPr>
        <w:t xml:space="preserve"> </w:t>
      </w:r>
      <w:r>
        <w:rPr>
          <w:sz w:val="24"/>
        </w:rPr>
        <w:t>4.</w:t>
      </w:r>
    </w:p>
    <w:p w14:paraId="6FEEB7B9" w14:textId="77777777" w:rsidR="00BB0628" w:rsidRDefault="00084610" w:rsidP="00E419D3">
      <w:pPr>
        <w:pStyle w:val="ListParagraph"/>
        <w:numPr>
          <w:ilvl w:val="0"/>
          <w:numId w:val="2"/>
        </w:numPr>
        <w:tabs>
          <w:tab w:val="left" w:pos="840"/>
        </w:tabs>
        <w:spacing w:line="259" w:lineRule="auto"/>
        <w:ind w:right="795"/>
        <w:jc w:val="both"/>
        <w:rPr>
          <w:sz w:val="24"/>
        </w:rPr>
      </w:pPr>
      <w:r>
        <w:rPr>
          <w:sz w:val="24"/>
        </w:rPr>
        <w:t>If Hydro Hawkesbury has found issues with the tariff sheet or identified any issues, please explain the</w:t>
      </w:r>
      <w:r>
        <w:rPr>
          <w:spacing w:val="-14"/>
          <w:sz w:val="24"/>
        </w:rPr>
        <w:t xml:space="preserve"> </w:t>
      </w:r>
      <w:r>
        <w:rPr>
          <w:sz w:val="24"/>
        </w:rPr>
        <w:t>differences.</w:t>
      </w:r>
    </w:p>
    <w:p w14:paraId="340B21D4" w14:textId="77777777" w:rsidR="00BB0628" w:rsidRDefault="00BB0628" w:rsidP="00E419D3">
      <w:pPr>
        <w:pStyle w:val="BodyText"/>
        <w:jc w:val="both"/>
        <w:rPr>
          <w:sz w:val="26"/>
        </w:rPr>
      </w:pPr>
    </w:p>
    <w:p w14:paraId="2EBB8966" w14:textId="77777777" w:rsidR="00DB17F0" w:rsidRPr="003E70D3" w:rsidRDefault="00DB17F0" w:rsidP="00DB17F0">
      <w:pPr>
        <w:pStyle w:val="BodyText"/>
        <w:jc w:val="both"/>
        <w:rPr>
          <w:color w:val="0070C0"/>
          <w:sz w:val="26"/>
        </w:rPr>
      </w:pPr>
      <w:r w:rsidRPr="003E70D3">
        <w:rPr>
          <w:color w:val="0070C0"/>
          <w:sz w:val="26"/>
        </w:rPr>
        <w:t>Response:</w:t>
      </w:r>
    </w:p>
    <w:p w14:paraId="1C4AF733" w14:textId="77777777" w:rsidR="00DB17F0" w:rsidRDefault="00DB17F0" w:rsidP="00DB17F0">
      <w:pPr>
        <w:pStyle w:val="BodyText"/>
        <w:numPr>
          <w:ilvl w:val="0"/>
          <w:numId w:val="7"/>
        </w:numPr>
        <w:spacing w:before="7"/>
        <w:jc w:val="both"/>
        <w:rPr>
          <w:color w:val="0070C0"/>
          <w:szCs w:val="22"/>
        </w:rPr>
      </w:pPr>
      <w:r>
        <w:rPr>
          <w:color w:val="0070C0"/>
          <w:szCs w:val="22"/>
        </w:rPr>
        <w:t>The checkbox has been checked accordingly</w:t>
      </w:r>
    </w:p>
    <w:p w14:paraId="6B92DCF4" w14:textId="3ECB7E2A" w:rsidR="00DB17F0" w:rsidRPr="00DB17F0" w:rsidRDefault="00DB17F0" w:rsidP="00DB17F0">
      <w:pPr>
        <w:pStyle w:val="BodyText"/>
        <w:numPr>
          <w:ilvl w:val="0"/>
          <w:numId w:val="7"/>
        </w:numPr>
        <w:spacing w:before="7"/>
        <w:jc w:val="both"/>
        <w:rPr>
          <w:color w:val="0070C0"/>
          <w:szCs w:val="22"/>
        </w:rPr>
      </w:pPr>
      <w:r>
        <w:rPr>
          <w:color w:val="0070C0"/>
          <w:szCs w:val="22"/>
        </w:rPr>
        <w:t>N/A</w:t>
      </w:r>
      <w:r w:rsidRPr="00DB17F0">
        <w:rPr>
          <w:color w:val="0070C0"/>
          <w:szCs w:val="22"/>
        </w:rPr>
        <w:t>.</w:t>
      </w:r>
    </w:p>
    <w:p w14:paraId="2A1D91F7" w14:textId="77777777" w:rsidR="00BB0628" w:rsidRDefault="00BB0628" w:rsidP="00E419D3">
      <w:pPr>
        <w:pStyle w:val="BodyText"/>
        <w:spacing w:before="8"/>
        <w:jc w:val="both"/>
        <w:rPr>
          <w:sz w:val="32"/>
        </w:rPr>
      </w:pPr>
    </w:p>
    <w:p w14:paraId="72569700" w14:textId="77777777" w:rsidR="00E419D3" w:rsidRDefault="00E419D3" w:rsidP="00E419D3">
      <w:pPr>
        <w:jc w:val="both"/>
        <w:rPr>
          <w:b/>
          <w:bCs/>
          <w:sz w:val="24"/>
          <w:szCs w:val="24"/>
        </w:rPr>
      </w:pPr>
      <w:r>
        <w:br w:type="page"/>
      </w:r>
    </w:p>
    <w:p w14:paraId="4B75834D" w14:textId="471E5959" w:rsidR="00BB0628" w:rsidRDefault="00084610" w:rsidP="00E419D3">
      <w:pPr>
        <w:pStyle w:val="Heading1"/>
        <w:jc w:val="both"/>
      </w:pPr>
      <w:r>
        <w:lastRenderedPageBreak/>
        <w:t>Staff Question-4</w:t>
      </w:r>
    </w:p>
    <w:p w14:paraId="763B0141" w14:textId="77777777" w:rsidR="00BB0628" w:rsidRDefault="00BB0628" w:rsidP="00E419D3">
      <w:pPr>
        <w:pStyle w:val="BodyText"/>
        <w:spacing w:before="3"/>
        <w:jc w:val="both"/>
        <w:rPr>
          <w:b/>
          <w:sz w:val="31"/>
        </w:rPr>
      </w:pPr>
    </w:p>
    <w:p w14:paraId="50AC041D" w14:textId="77777777" w:rsidR="00BB0628" w:rsidRDefault="00084610" w:rsidP="00E419D3">
      <w:pPr>
        <w:pStyle w:val="BodyText"/>
        <w:spacing w:line="276" w:lineRule="auto"/>
        <w:ind w:left="660" w:right="821" w:hanging="540"/>
        <w:jc w:val="both"/>
      </w:pPr>
      <w:r>
        <w:rPr>
          <w:b/>
        </w:rPr>
        <w:t>Ref 1</w:t>
      </w:r>
      <w:r>
        <w:t>: EB-2025-0031, HHI_2026 IRM Rate Generator_20250814, Tab 6, Class A Consumption Data, Note 3a</w:t>
      </w:r>
    </w:p>
    <w:p w14:paraId="72269CC8" w14:textId="77777777" w:rsidR="00BB0628" w:rsidRDefault="00084610" w:rsidP="00E419D3">
      <w:pPr>
        <w:pStyle w:val="BodyText"/>
        <w:spacing w:line="276" w:lineRule="auto"/>
        <w:ind w:left="660" w:right="235" w:hanging="540"/>
        <w:jc w:val="both"/>
      </w:pPr>
      <w:r>
        <w:rPr>
          <w:b/>
        </w:rPr>
        <w:t xml:space="preserve">Ref 2: </w:t>
      </w:r>
      <w:r>
        <w:t>EB-2025-0031, HHI_2026 IRM Manager Summary 20250820, 10.3 Class A and Class B Customers, Page 14</w:t>
      </w:r>
    </w:p>
    <w:p w14:paraId="4E59931A" w14:textId="77777777" w:rsidR="00BB0628" w:rsidRDefault="00BB0628" w:rsidP="00E419D3">
      <w:pPr>
        <w:pStyle w:val="BodyText"/>
        <w:spacing w:before="9"/>
        <w:jc w:val="both"/>
        <w:rPr>
          <w:sz w:val="27"/>
        </w:rPr>
      </w:pPr>
    </w:p>
    <w:p w14:paraId="5D6D1C64" w14:textId="77777777" w:rsidR="00BB0628" w:rsidRDefault="00084610" w:rsidP="00E419D3">
      <w:pPr>
        <w:pStyle w:val="Heading1"/>
        <w:jc w:val="both"/>
      </w:pPr>
      <w:r>
        <w:t>Preamble:</w:t>
      </w:r>
    </w:p>
    <w:p w14:paraId="3DE72143" w14:textId="77777777" w:rsidR="00BB0628" w:rsidRDefault="00084610" w:rsidP="00E419D3">
      <w:pPr>
        <w:pStyle w:val="BodyText"/>
        <w:spacing w:before="40" w:line="276" w:lineRule="auto"/>
        <w:ind w:left="120" w:right="102"/>
        <w:jc w:val="both"/>
      </w:pPr>
      <w:r>
        <w:t>Hydro Hawkesbury did not identify if Customer 1 and Customer 2 were Class A or Class B customer in Cells F32, G32, F35 and G35.</w:t>
      </w:r>
    </w:p>
    <w:p w14:paraId="66F3E79F" w14:textId="77777777" w:rsidR="00BB0628" w:rsidRDefault="00084610" w:rsidP="00E419D3">
      <w:pPr>
        <w:pStyle w:val="BodyText"/>
        <w:ind w:left="120"/>
        <w:jc w:val="both"/>
        <w:rPr>
          <w:sz w:val="20"/>
        </w:rPr>
      </w:pPr>
      <w:r>
        <w:rPr>
          <w:noProof/>
          <w:sz w:val="20"/>
        </w:rPr>
        <w:drawing>
          <wp:inline distT="0" distB="0" distL="0" distR="0" wp14:anchorId="77E97388" wp14:editId="520223AA">
            <wp:extent cx="5871140" cy="1119092"/>
            <wp:effectExtent l="0" t="0" r="0" b="0"/>
            <wp:docPr id="1" name="image1.png" descr="A screenshot of a compu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871140" cy="1119092"/>
                    </a:xfrm>
                    <a:prstGeom prst="rect">
                      <a:avLst/>
                    </a:prstGeom>
                  </pic:spPr>
                </pic:pic>
              </a:graphicData>
            </a:graphic>
          </wp:inline>
        </w:drawing>
      </w:r>
    </w:p>
    <w:p w14:paraId="4D96D550" w14:textId="77777777" w:rsidR="00BB0628" w:rsidRDefault="00BB0628" w:rsidP="00E419D3">
      <w:pPr>
        <w:jc w:val="both"/>
        <w:rPr>
          <w:sz w:val="20"/>
        </w:rPr>
      </w:pPr>
    </w:p>
    <w:p w14:paraId="3D6982F0" w14:textId="77777777" w:rsidR="00BB0628" w:rsidRDefault="00BB0628" w:rsidP="00E419D3">
      <w:pPr>
        <w:pStyle w:val="BodyText"/>
        <w:spacing w:before="7"/>
        <w:jc w:val="both"/>
        <w:rPr>
          <w:sz w:val="19"/>
        </w:rPr>
      </w:pPr>
    </w:p>
    <w:p w14:paraId="13D100FD" w14:textId="77777777" w:rsidR="00BB0628" w:rsidRDefault="00084610" w:rsidP="00E419D3">
      <w:pPr>
        <w:pStyle w:val="Heading1"/>
        <w:spacing w:before="93"/>
        <w:jc w:val="both"/>
      </w:pPr>
      <w:r>
        <w:t>Question(s):</w:t>
      </w:r>
    </w:p>
    <w:p w14:paraId="541FAE8B" w14:textId="77777777" w:rsidR="00BB0628" w:rsidRDefault="00084610" w:rsidP="00E419D3">
      <w:pPr>
        <w:pStyle w:val="BodyText"/>
        <w:spacing w:before="40" w:line="259" w:lineRule="auto"/>
        <w:ind w:left="839" w:right="121" w:hanging="360"/>
        <w:jc w:val="both"/>
      </w:pPr>
      <w:r>
        <w:t>a) Please update Tab 6, to identify Class A or Class B for transition Customers 1 and 2 for the above noted periods. Please confirm that these updates have been accurately reflected throughout the Rate Generator Model.</w:t>
      </w:r>
    </w:p>
    <w:p w14:paraId="5E77F305" w14:textId="77777777" w:rsidR="00BB0628" w:rsidRDefault="00BB0628" w:rsidP="00E419D3">
      <w:pPr>
        <w:pStyle w:val="BodyText"/>
        <w:jc w:val="both"/>
        <w:rPr>
          <w:sz w:val="26"/>
        </w:rPr>
      </w:pPr>
    </w:p>
    <w:p w14:paraId="6B723292" w14:textId="20205E0E" w:rsidR="00DB17F0" w:rsidRPr="0020048F" w:rsidRDefault="00DB17F0" w:rsidP="00DB17F0">
      <w:pPr>
        <w:pStyle w:val="BodyText"/>
        <w:jc w:val="both"/>
        <w:rPr>
          <w:color w:val="0070C0"/>
          <w:sz w:val="26"/>
        </w:rPr>
      </w:pPr>
      <w:r w:rsidRPr="0020048F">
        <w:rPr>
          <w:color w:val="0070C0"/>
          <w:sz w:val="26"/>
        </w:rPr>
        <w:t xml:space="preserve">Response: </w:t>
      </w:r>
    </w:p>
    <w:p w14:paraId="3A69124E" w14:textId="77777777" w:rsidR="001E4F26" w:rsidRPr="001E4F26" w:rsidRDefault="001E4F26" w:rsidP="001E4F26">
      <w:pPr>
        <w:jc w:val="both"/>
        <w:rPr>
          <w:color w:val="0070C0"/>
          <w:sz w:val="24"/>
          <w:szCs w:val="20"/>
        </w:rPr>
      </w:pPr>
      <w:r w:rsidRPr="001E4F26">
        <w:rPr>
          <w:color w:val="0070C0"/>
          <w:sz w:val="24"/>
          <w:szCs w:val="20"/>
        </w:rPr>
        <w:t>Both Customer 1 and Customer 2 were Class B customers from January 1 to June 30, 2024, and transitioned to Class A effective July 1, 2024, consistent with the IESO’s annual Class A designation cycle.</w:t>
      </w:r>
    </w:p>
    <w:p w14:paraId="6BF00855" w14:textId="77777777" w:rsidR="001E4F26" w:rsidRPr="001E4F26" w:rsidRDefault="001E4F26" w:rsidP="001E4F26">
      <w:pPr>
        <w:jc w:val="both"/>
        <w:rPr>
          <w:color w:val="0070C0"/>
          <w:sz w:val="24"/>
          <w:szCs w:val="20"/>
        </w:rPr>
      </w:pPr>
    </w:p>
    <w:p w14:paraId="727CA873" w14:textId="77777777" w:rsidR="001E4F26" w:rsidRPr="001E4F26" w:rsidRDefault="001E4F26" w:rsidP="001E4F26">
      <w:pPr>
        <w:jc w:val="both"/>
        <w:rPr>
          <w:color w:val="0070C0"/>
          <w:sz w:val="24"/>
          <w:szCs w:val="20"/>
        </w:rPr>
      </w:pPr>
      <w:r w:rsidRPr="001E4F26">
        <w:rPr>
          <w:color w:val="0070C0"/>
          <w:sz w:val="24"/>
          <w:szCs w:val="20"/>
        </w:rPr>
        <w:t>Accordingly, Tab 6 (Class A Consumption Data) of the Rate Generator Model has been updated to identify:</w:t>
      </w:r>
    </w:p>
    <w:p w14:paraId="3357427B" w14:textId="77777777" w:rsidR="001E4F26" w:rsidRPr="001E4F26" w:rsidRDefault="001E4F26" w:rsidP="001E4F26">
      <w:pPr>
        <w:jc w:val="both"/>
        <w:rPr>
          <w:color w:val="0070C0"/>
          <w:sz w:val="24"/>
          <w:szCs w:val="20"/>
        </w:rPr>
      </w:pPr>
    </w:p>
    <w:p w14:paraId="359E4885" w14:textId="77777777" w:rsidR="001E4F26" w:rsidRPr="001E4F26" w:rsidRDefault="001E4F26" w:rsidP="001E4F26">
      <w:pPr>
        <w:jc w:val="both"/>
        <w:rPr>
          <w:color w:val="0070C0"/>
          <w:sz w:val="24"/>
          <w:szCs w:val="20"/>
        </w:rPr>
      </w:pPr>
      <w:r w:rsidRPr="001E4F26">
        <w:rPr>
          <w:color w:val="0070C0"/>
          <w:sz w:val="24"/>
          <w:szCs w:val="20"/>
        </w:rPr>
        <w:t>January – June 2024: Class B</w:t>
      </w:r>
    </w:p>
    <w:p w14:paraId="1450D602" w14:textId="77777777" w:rsidR="001E4F26" w:rsidRPr="001E4F26" w:rsidRDefault="001E4F26" w:rsidP="001E4F26">
      <w:pPr>
        <w:jc w:val="both"/>
        <w:rPr>
          <w:color w:val="0070C0"/>
          <w:sz w:val="24"/>
          <w:szCs w:val="20"/>
        </w:rPr>
      </w:pPr>
    </w:p>
    <w:p w14:paraId="7C2ECD56" w14:textId="77777777" w:rsidR="001E4F26" w:rsidRPr="001E4F26" w:rsidRDefault="001E4F26" w:rsidP="001E4F26">
      <w:pPr>
        <w:jc w:val="both"/>
        <w:rPr>
          <w:color w:val="0070C0"/>
          <w:sz w:val="24"/>
          <w:szCs w:val="20"/>
        </w:rPr>
      </w:pPr>
      <w:r w:rsidRPr="001E4F26">
        <w:rPr>
          <w:color w:val="0070C0"/>
          <w:sz w:val="24"/>
          <w:szCs w:val="20"/>
        </w:rPr>
        <w:t>July – December 2024: Class A</w:t>
      </w:r>
    </w:p>
    <w:p w14:paraId="2A884871" w14:textId="77777777" w:rsidR="001E4F26" w:rsidRPr="001E4F26" w:rsidRDefault="001E4F26" w:rsidP="001E4F26">
      <w:pPr>
        <w:jc w:val="both"/>
        <w:rPr>
          <w:color w:val="0070C0"/>
          <w:sz w:val="24"/>
          <w:szCs w:val="20"/>
        </w:rPr>
      </w:pPr>
    </w:p>
    <w:p w14:paraId="395F0A66" w14:textId="494FD59E" w:rsidR="00E419D3" w:rsidRDefault="001E4F26" w:rsidP="001E4F26">
      <w:pPr>
        <w:jc w:val="both"/>
        <w:rPr>
          <w:b/>
          <w:bCs/>
          <w:sz w:val="24"/>
          <w:szCs w:val="24"/>
        </w:rPr>
      </w:pPr>
      <w:r w:rsidRPr="001E4F26">
        <w:rPr>
          <w:color w:val="0070C0"/>
          <w:sz w:val="24"/>
          <w:szCs w:val="20"/>
        </w:rPr>
        <w:t>These updates have been applied to the noted cells (F32, G32, F35, G35) and verified throughout the Rate Generator Model to ensure the correct classification is reflected in all dependent worksheets and calculations.</w:t>
      </w:r>
      <w:r w:rsidR="00E419D3">
        <w:br w:type="page"/>
      </w:r>
    </w:p>
    <w:p w14:paraId="7D9D64F7" w14:textId="7EEBDBE0" w:rsidR="00BB0628" w:rsidRDefault="00084610" w:rsidP="00E419D3">
      <w:pPr>
        <w:pStyle w:val="Heading1"/>
        <w:spacing w:before="1"/>
        <w:jc w:val="both"/>
      </w:pPr>
      <w:r>
        <w:lastRenderedPageBreak/>
        <w:t>Staff Question-5</w:t>
      </w:r>
    </w:p>
    <w:p w14:paraId="1A374906" w14:textId="77777777" w:rsidR="00BB0628" w:rsidRDefault="00BB0628" w:rsidP="00E419D3">
      <w:pPr>
        <w:pStyle w:val="BodyText"/>
        <w:spacing w:before="1"/>
        <w:jc w:val="both"/>
        <w:rPr>
          <w:b/>
          <w:sz w:val="31"/>
        </w:rPr>
      </w:pPr>
    </w:p>
    <w:p w14:paraId="55F9373B" w14:textId="77777777" w:rsidR="00BB0628" w:rsidRDefault="00084610" w:rsidP="00E419D3">
      <w:pPr>
        <w:pStyle w:val="BodyText"/>
        <w:spacing w:line="278" w:lineRule="auto"/>
        <w:ind w:left="660" w:right="241" w:hanging="540"/>
        <w:jc w:val="both"/>
      </w:pPr>
      <w:r>
        <w:rPr>
          <w:b/>
        </w:rPr>
        <w:t>Ref 1</w:t>
      </w:r>
      <w:r>
        <w:t>: EB-2025-0031, Hydro Hawkesbury, HHI_2026 IRM Rate Generator_20250814, Tab 3, Continuity Schedule, Columns BM and BN</w:t>
      </w:r>
    </w:p>
    <w:p w14:paraId="54C8BA49" w14:textId="77777777" w:rsidR="00BB0628" w:rsidRDefault="00084610" w:rsidP="00E419D3">
      <w:pPr>
        <w:pStyle w:val="BodyText"/>
        <w:spacing w:line="276" w:lineRule="auto"/>
        <w:ind w:left="660" w:right="395" w:hanging="540"/>
        <w:jc w:val="both"/>
      </w:pPr>
      <w:r>
        <w:rPr>
          <w:b/>
        </w:rPr>
        <w:t xml:space="preserve">Ref 2: </w:t>
      </w:r>
      <w:r>
        <w:t>EB-2024-0031, Hydro Hawkesbury, Decision and Rate Order, Settlement Proposal by Issue Number, 6. Deferral and Variance Accounts, Table 19 – DVA Balances for Disposition, Page 37</w:t>
      </w:r>
    </w:p>
    <w:p w14:paraId="339F52EB" w14:textId="77777777" w:rsidR="00BB0628" w:rsidRDefault="00BB0628" w:rsidP="00E419D3">
      <w:pPr>
        <w:pStyle w:val="BodyText"/>
        <w:jc w:val="both"/>
        <w:rPr>
          <w:sz w:val="28"/>
        </w:rPr>
      </w:pPr>
    </w:p>
    <w:p w14:paraId="023CD765" w14:textId="77777777" w:rsidR="00BB0628" w:rsidRDefault="00084610" w:rsidP="00E419D3">
      <w:pPr>
        <w:pStyle w:val="Heading1"/>
        <w:jc w:val="both"/>
      </w:pPr>
      <w:r>
        <w:t>Preamble:</w:t>
      </w:r>
    </w:p>
    <w:p w14:paraId="731FDEE2" w14:textId="77777777" w:rsidR="00BB0628" w:rsidRDefault="00084610" w:rsidP="00E419D3">
      <w:pPr>
        <w:pStyle w:val="BodyText"/>
        <w:spacing w:before="40" w:line="276" w:lineRule="auto"/>
        <w:ind w:left="119" w:right="483"/>
        <w:jc w:val="both"/>
      </w:pPr>
      <w:r>
        <w:t>The Decision and Rate Order in Hydro Hawkesbury’s Cost of Service application for 2025 rates indicates that the OEB-approved disposition amount for Account 1580 is</w:t>
      </w:r>
    </w:p>
    <w:p w14:paraId="28B66FDA" w14:textId="77777777" w:rsidR="00BB0628" w:rsidRDefault="00084610" w:rsidP="00E419D3">
      <w:pPr>
        <w:pStyle w:val="BodyText"/>
        <w:spacing w:before="2" w:line="276" w:lineRule="auto"/>
        <w:ind w:left="120" w:right="134"/>
        <w:jc w:val="both"/>
      </w:pPr>
      <w:r>
        <w:t>$37,327. The Tab 3 Continuity Schedule in the 2026 IRM Rate Generator Model shows the OEB-approved disposition amount for Account 1580 as $37,171.</w:t>
      </w:r>
    </w:p>
    <w:p w14:paraId="79EDD063" w14:textId="77777777" w:rsidR="00BB0628" w:rsidRDefault="00BB0628" w:rsidP="00E419D3">
      <w:pPr>
        <w:pStyle w:val="BodyText"/>
        <w:spacing w:before="6"/>
        <w:jc w:val="both"/>
        <w:rPr>
          <w:sz w:val="27"/>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431"/>
        <w:gridCol w:w="2069"/>
        <w:gridCol w:w="2071"/>
      </w:tblGrid>
      <w:tr w:rsidR="00BB0628" w14:paraId="4D5EC6FD" w14:textId="77777777">
        <w:trPr>
          <w:trHeight w:hRule="exact" w:val="1114"/>
        </w:trPr>
        <w:tc>
          <w:tcPr>
            <w:tcW w:w="2695" w:type="dxa"/>
          </w:tcPr>
          <w:p w14:paraId="33607022" w14:textId="77777777" w:rsidR="00BB0628" w:rsidRDefault="00084610" w:rsidP="00E419D3">
            <w:pPr>
              <w:pStyle w:val="TableParagraph"/>
              <w:jc w:val="both"/>
              <w:rPr>
                <w:b/>
                <w:sz w:val="24"/>
              </w:rPr>
            </w:pPr>
            <w:r>
              <w:rPr>
                <w:b/>
                <w:sz w:val="24"/>
              </w:rPr>
              <w:t>Account</w:t>
            </w:r>
          </w:p>
        </w:tc>
        <w:tc>
          <w:tcPr>
            <w:tcW w:w="2431" w:type="dxa"/>
          </w:tcPr>
          <w:p w14:paraId="15BAA018" w14:textId="77777777" w:rsidR="00BB0628" w:rsidRDefault="00084610" w:rsidP="00E419D3">
            <w:pPr>
              <w:pStyle w:val="TableParagraph"/>
              <w:ind w:right="177"/>
              <w:jc w:val="both"/>
              <w:rPr>
                <w:b/>
                <w:sz w:val="24"/>
              </w:rPr>
            </w:pPr>
            <w:r>
              <w:rPr>
                <w:b/>
                <w:sz w:val="24"/>
              </w:rPr>
              <w:t>Account 1580 RSVA – Wholesale Market Service Charge</w:t>
            </w:r>
          </w:p>
        </w:tc>
        <w:tc>
          <w:tcPr>
            <w:tcW w:w="2069" w:type="dxa"/>
          </w:tcPr>
          <w:p w14:paraId="339C8718" w14:textId="77777777" w:rsidR="00BB0628" w:rsidRDefault="00084610" w:rsidP="00E419D3">
            <w:pPr>
              <w:pStyle w:val="TableParagraph"/>
              <w:ind w:left="100" w:right="285"/>
              <w:jc w:val="both"/>
              <w:rPr>
                <w:b/>
                <w:sz w:val="24"/>
              </w:rPr>
            </w:pPr>
            <w:r>
              <w:rPr>
                <w:b/>
                <w:sz w:val="24"/>
              </w:rPr>
              <w:t>Account 1580 Variance WMS</w:t>
            </w:r>
          </w:p>
          <w:p w14:paraId="16F77D69" w14:textId="77777777" w:rsidR="00BB0628" w:rsidRDefault="00084610" w:rsidP="00E419D3">
            <w:pPr>
              <w:pStyle w:val="TableParagraph"/>
              <w:ind w:left="100" w:right="285"/>
              <w:jc w:val="both"/>
              <w:rPr>
                <w:b/>
                <w:sz w:val="24"/>
              </w:rPr>
            </w:pPr>
            <w:r>
              <w:rPr>
                <w:b/>
                <w:sz w:val="24"/>
              </w:rPr>
              <w:t>– Sub-account CBR Class A</w:t>
            </w:r>
          </w:p>
        </w:tc>
        <w:tc>
          <w:tcPr>
            <w:tcW w:w="2071" w:type="dxa"/>
          </w:tcPr>
          <w:p w14:paraId="2F92E8E2" w14:textId="77777777" w:rsidR="00BB0628" w:rsidRDefault="00084610" w:rsidP="00E419D3">
            <w:pPr>
              <w:pStyle w:val="TableParagraph"/>
              <w:ind w:right="284"/>
              <w:jc w:val="both"/>
              <w:rPr>
                <w:b/>
                <w:sz w:val="24"/>
              </w:rPr>
            </w:pPr>
            <w:r>
              <w:rPr>
                <w:b/>
                <w:sz w:val="24"/>
              </w:rPr>
              <w:t>Account 1580 Variance WMS</w:t>
            </w:r>
          </w:p>
          <w:p w14:paraId="31FCE15F" w14:textId="77777777" w:rsidR="00BB0628" w:rsidRDefault="00084610" w:rsidP="00E419D3">
            <w:pPr>
              <w:pStyle w:val="TableParagraph"/>
              <w:ind w:right="285"/>
              <w:jc w:val="both"/>
              <w:rPr>
                <w:b/>
                <w:sz w:val="24"/>
              </w:rPr>
            </w:pPr>
            <w:r>
              <w:rPr>
                <w:b/>
                <w:sz w:val="24"/>
              </w:rPr>
              <w:t>– Sub-account CBR Class B</w:t>
            </w:r>
          </w:p>
        </w:tc>
      </w:tr>
      <w:tr w:rsidR="00BB0628" w14:paraId="78A177A1" w14:textId="77777777">
        <w:trPr>
          <w:trHeight w:hRule="exact" w:val="564"/>
        </w:trPr>
        <w:tc>
          <w:tcPr>
            <w:tcW w:w="2695" w:type="dxa"/>
          </w:tcPr>
          <w:p w14:paraId="4804AAB5" w14:textId="77777777" w:rsidR="00BB0628" w:rsidRDefault="00084610" w:rsidP="00E419D3">
            <w:pPr>
              <w:pStyle w:val="TableParagraph"/>
              <w:spacing w:before="3"/>
              <w:ind w:right="242"/>
              <w:jc w:val="both"/>
              <w:rPr>
                <w:b/>
                <w:sz w:val="24"/>
              </w:rPr>
            </w:pPr>
            <w:r>
              <w:rPr>
                <w:b/>
                <w:sz w:val="24"/>
              </w:rPr>
              <w:t>Settlement Proposal Dec 20, 2024</w:t>
            </w:r>
          </w:p>
        </w:tc>
        <w:tc>
          <w:tcPr>
            <w:tcW w:w="2431" w:type="dxa"/>
          </w:tcPr>
          <w:p w14:paraId="7615B093" w14:textId="77777777" w:rsidR="00BB0628" w:rsidRDefault="00084610" w:rsidP="00E419D3">
            <w:pPr>
              <w:pStyle w:val="TableParagraph"/>
              <w:spacing w:before="3"/>
              <w:jc w:val="both"/>
              <w:rPr>
                <w:sz w:val="24"/>
              </w:rPr>
            </w:pPr>
            <w:r>
              <w:rPr>
                <w:sz w:val="24"/>
              </w:rPr>
              <w:t>$37,327</w:t>
            </w:r>
          </w:p>
        </w:tc>
        <w:tc>
          <w:tcPr>
            <w:tcW w:w="2069" w:type="dxa"/>
          </w:tcPr>
          <w:p w14:paraId="3923FAE7" w14:textId="77777777" w:rsidR="00BB0628" w:rsidRDefault="00084610" w:rsidP="00E419D3">
            <w:pPr>
              <w:pStyle w:val="TableParagraph"/>
              <w:spacing w:before="3"/>
              <w:ind w:left="100"/>
              <w:jc w:val="both"/>
              <w:rPr>
                <w:sz w:val="24"/>
              </w:rPr>
            </w:pPr>
            <w:r>
              <w:rPr>
                <w:sz w:val="24"/>
              </w:rPr>
              <w:t>N/A</w:t>
            </w:r>
          </w:p>
        </w:tc>
        <w:tc>
          <w:tcPr>
            <w:tcW w:w="2071" w:type="dxa"/>
          </w:tcPr>
          <w:p w14:paraId="345D415E" w14:textId="77777777" w:rsidR="00BB0628" w:rsidRDefault="00084610" w:rsidP="00E419D3">
            <w:pPr>
              <w:pStyle w:val="TableParagraph"/>
              <w:spacing w:before="3"/>
              <w:jc w:val="both"/>
              <w:rPr>
                <w:sz w:val="24"/>
              </w:rPr>
            </w:pPr>
            <w:r>
              <w:rPr>
                <w:sz w:val="24"/>
              </w:rPr>
              <w:t>N/A</w:t>
            </w:r>
          </w:p>
        </w:tc>
      </w:tr>
      <w:tr w:rsidR="00BB0628" w14:paraId="28DF1B19" w14:textId="77777777">
        <w:trPr>
          <w:trHeight w:hRule="exact" w:val="1114"/>
        </w:trPr>
        <w:tc>
          <w:tcPr>
            <w:tcW w:w="2695" w:type="dxa"/>
          </w:tcPr>
          <w:p w14:paraId="65775C70" w14:textId="77777777" w:rsidR="00BB0628" w:rsidRDefault="00084610" w:rsidP="00E419D3">
            <w:pPr>
              <w:pStyle w:val="TableParagraph"/>
              <w:ind w:right="175"/>
              <w:jc w:val="both"/>
              <w:rPr>
                <w:b/>
                <w:sz w:val="24"/>
              </w:rPr>
            </w:pPr>
            <w:r>
              <w:rPr>
                <w:b/>
                <w:sz w:val="24"/>
              </w:rPr>
              <w:t>Principal Disposition during 2025 – instructed by OEB in Tab 3</w:t>
            </w:r>
          </w:p>
        </w:tc>
        <w:tc>
          <w:tcPr>
            <w:tcW w:w="2431" w:type="dxa"/>
          </w:tcPr>
          <w:p w14:paraId="2F2225C1" w14:textId="77777777" w:rsidR="00BB0628" w:rsidRDefault="00084610" w:rsidP="00E419D3">
            <w:pPr>
              <w:pStyle w:val="TableParagraph"/>
              <w:jc w:val="both"/>
              <w:rPr>
                <w:sz w:val="24"/>
              </w:rPr>
            </w:pPr>
            <w:r>
              <w:rPr>
                <w:sz w:val="24"/>
              </w:rPr>
              <w:t>$31,355</w:t>
            </w:r>
          </w:p>
        </w:tc>
        <w:tc>
          <w:tcPr>
            <w:tcW w:w="2069" w:type="dxa"/>
          </w:tcPr>
          <w:p w14:paraId="4C0F3AA0" w14:textId="77777777" w:rsidR="00BB0628" w:rsidRDefault="00084610" w:rsidP="00E419D3">
            <w:pPr>
              <w:pStyle w:val="TableParagraph"/>
              <w:ind w:left="100"/>
              <w:jc w:val="both"/>
              <w:rPr>
                <w:sz w:val="24"/>
              </w:rPr>
            </w:pPr>
            <w:r>
              <w:rPr>
                <w:sz w:val="24"/>
              </w:rPr>
              <w:t>($131)</w:t>
            </w:r>
          </w:p>
        </w:tc>
        <w:tc>
          <w:tcPr>
            <w:tcW w:w="2071" w:type="dxa"/>
          </w:tcPr>
          <w:p w14:paraId="7F48D9F9" w14:textId="77777777" w:rsidR="00BB0628" w:rsidRDefault="00084610" w:rsidP="00E419D3">
            <w:pPr>
              <w:pStyle w:val="TableParagraph"/>
              <w:jc w:val="both"/>
              <w:rPr>
                <w:sz w:val="24"/>
              </w:rPr>
            </w:pPr>
            <w:r>
              <w:rPr>
                <w:sz w:val="24"/>
              </w:rPr>
              <w:t>($1,889)</w:t>
            </w:r>
          </w:p>
        </w:tc>
      </w:tr>
      <w:tr w:rsidR="00BB0628" w14:paraId="4266C364" w14:textId="77777777">
        <w:trPr>
          <w:trHeight w:hRule="exact" w:val="1114"/>
        </w:trPr>
        <w:tc>
          <w:tcPr>
            <w:tcW w:w="2695" w:type="dxa"/>
          </w:tcPr>
          <w:p w14:paraId="121F4874" w14:textId="77777777" w:rsidR="00BB0628" w:rsidRDefault="00084610" w:rsidP="00E419D3">
            <w:pPr>
              <w:pStyle w:val="TableParagraph"/>
              <w:ind w:right="188"/>
              <w:jc w:val="both"/>
              <w:rPr>
                <w:b/>
                <w:sz w:val="24"/>
              </w:rPr>
            </w:pPr>
            <w:r>
              <w:rPr>
                <w:b/>
                <w:sz w:val="24"/>
              </w:rPr>
              <w:t>Interest Disposition during 2025 – instructed by OEB in Tab 3</w:t>
            </w:r>
          </w:p>
        </w:tc>
        <w:tc>
          <w:tcPr>
            <w:tcW w:w="2431" w:type="dxa"/>
          </w:tcPr>
          <w:p w14:paraId="552B50B9" w14:textId="77777777" w:rsidR="00BB0628" w:rsidRDefault="00084610" w:rsidP="00E419D3">
            <w:pPr>
              <w:pStyle w:val="TableParagraph"/>
              <w:jc w:val="both"/>
              <w:rPr>
                <w:sz w:val="24"/>
              </w:rPr>
            </w:pPr>
            <w:r>
              <w:rPr>
                <w:sz w:val="24"/>
              </w:rPr>
              <w:t>$9,447</w:t>
            </w:r>
          </w:p>
        </w:tc>
        <w:tc>
          <w:tcPr>
            <w:tcW w:w="2069" w:type="dxa"/>
          </w:tcPr>
          <w:p w14:paraId="79C4A717" w14:textId="77777777" w:rsidR="00BB0628" w:rsidRDefault="00084610" w:rsidP="00E419D3">
            <w:pPr>
              <w:pStyle w:val="TableParagraph"/>
              <w:ind w:left="100"/>
              <w:jc w:val="both"/>
              <w:rPr>
                <w:sz w:val="24"/>
              </w:rPr>
            </w:pPr>
            <w:r>
              <w:rPr>
                <w:sz w:val="24"/>
              </w:rPr>
              <w:t>($26)</w:t>
            </w:r>
          </w:p>
        </w:tc>
        <w:tc>
          <w:tcPr>
            <w:tcW w:w="2071" w:type="dxa"/>
          </w:tcPr>
          <w:p w14:paraId="084B0E0D" w14:textId="77777777" w:rsidR="00BB0628" w:rsidRDefault="00084610" w:rsidP="00E419D3">
            <w:pPr>
              <w:pStyle w:val="TableParagraph"/>
              <w:jc w:val="both"/>
              <w:rPr>
                <w:sz w:val="24"/>
              </w:rPr>
            </w:pPr>
            <w:r>
              <w:rPr>
                <w:sz w:val="24"/>
              </w:rPr>
              <w:t>($1,585)</w:t>
            </w:r>
          </w:p>
        </w:tc>
      </w:tr>
      <w:tr w:rsidR="00BB0628" w14:paraId="3AF72521" w14:textId="77777777">
        <w:trPr>
          <w:trHeight w:hRule="exact" w:val="562"/>
        </w:trPr>
        <w:tc>
          <w:tcPr>
            <w:tcW w:w="2695" w:type="dxa"/>
          </w:tcPr>
          <w:p w14:paraId="7B62B5C8" w14:textId="77777777" w:rsidR="00BB0628" w:rsidRDefault="00084610" w:rsidP="00E419D3">
            <w:pPr>
              <w:pStyle w:val="TableParagraph"/>
              <w:ind w:right="336"/>
              <w:jc w:val="both"/>
              <w:rPr>
                <w:b/>
                <w:sz w:val="24"/>
              </w:rPr>
            </w:pPr>
            <w:r>
              <w:rPr>
                <w:b/>
                <w:sz w:val="24"/>
              </w:rPr>
              <w:t>Total Disposition in Tab 3</w:t>
            </w:r>
          </w:p>
        </w:tc>
        <w:tc>
          <w:tcPr>
            <w:tcW w:w="2431" w:type="dxa"/>
          </w:tcPr>
          <w:p w14:paraId="14E4AD6C" w14:textId="77777777" w:rsidR="00BB0628" w:rsidRDefault="00084610" w:rsidP="00E419D3">
            <w:pPr>
              <w:pStyle w:val="TableParagraph"/>
              <w:jc w:val="both"/>
              <w:rPr>
                <w:sz w:val="24"/>
              </w:rPr>
            </w:pPr>
            <w:r>
              <w:rPr>
                <w:sz w:val="24"/>
              </w:rPr>
              <w:t>$40,802</w:t>
            </w:r>
          </w:p>
        </w:tc>
        <w:tc>
          <w:tcPr>
            <w:tcW w:w="2069" w:type="dxa"/>
          </w:tcPr>
          <w:p w14:paraId="23DDD424" w14:textId="77777777" w:rsidR="00BB0628" w:rsidRDefault="00084610" w:rsidP="00E419D3">
            <w:pPr>
              <w:pStyle w:val="TableParagraph"/>
              <w:ind w:left="100"/>
              <w:jc w:val="both"/>
              <w:rPr>
                <w:sz w:val="24"/>
              </w:rPr>
            </w:pPr>
            <w:r>
              <w:rPr>
                <w:sz w:val="24"/>
              </w:rPr>
              <w:t>($157)</w:t>
            </w:r>
          </w:p>
        </w:tc>
        <w:tc>
          <w:tcPr>
            <w:tcW w:w="2071" w:type="dxa"/>
          </w:tcPr>
          <w:p w14:paraId="10201CA2" w14:textId="77777777" w:rsidR="00BB0628" w:rsidRDefault="00084610" w:rsidP="00E419D3">
            <w:pPr>
              <w:pStyle w:val="TableParagraph"/>
              <w:jc w:val="both"/>
              <w:rPr>
                <w:sz w:val="24"/>
              </w:rPr>
            </w:pPr>
            <w:r>
              <w:rPr>
                <w:sz w:val="24"/>
              </w:rPr>
              <w:t>($3,474)</w:t>
            </w:r>
          </w:p>
        </w:tc>
      </w:tr>
    </w:tbl>
    <w:p w14:paraId="36583842" w14:textId="77777777" w:rsidR="00BB0628" w:rsidRDefault="00BB0628" w:rsidP="00E419D3">
      <w:pPr>
        <w:pStyle w:val="BodyText"/>
        <w:spacing w:before="6"/>
        <w:jc w:val="both"/>
        <w:rPr>
          <w:sz w:val="27"/>
        </w:rPr>
      </w:pPr>
    </w:p>
    <w:p w14:paraId="71730A93" w14:textId="77777777" w:rsidR="00BB0628" w:rsidRDefault="00084610" w:rsidP="00E419D3">
      <w:pPr>
        <w:pStyle w:val="Heading1"/>
        <w:spacing w:before="1"/>
        <w:jc w:val="both"/>
      </w:pPr>
      <w:r>
        <w:t>Question(s):</w:t>
      </w:r>
    </w:p>
    <w:p w14:paraId="656997FF" w14:textId="77777777" w:rsidR="00BB0628" w:rsidRDefault="00084610" w:rsidP="00E419D3">
      <w:pPr>
        <w:pStyle w:val="BodyText"/>
        <w:spacing w:before="43" w:line="259" w:lineRule="auto"/>
        <w:ind w:left="840" w:hanging="360"/>
        <w:jc w:val="both"/>
      </w:pPr>
      <w:r>
        <w:t>a) Please explain the discrepancy in the OEB-approved disposition amount for Account 1580, between the EB-2024-0031 Decision and Order and Tab 3 Continuity Schedule of the 2026 IRM rate application.</w:t>
      </w:r>
    </w:p>
    <w:p w14:paraId="4F03F244" w14:textId="77777777" w:rsidR="00BB0628" w:rsidRDefault="00BB0628" w:rsidP="00E419D3">
      <w:pPr>
        <w:pStyle w:val="BodyText"/>
        <w:jc w:val="both"/>
        <w:rPr>
          <w:sz w:val="20"/>
        </w:rPr>
      </w:pPr>
    </w:p>
    <w:p w14:paraId="657203FA" w14:textId="77777777" w:rsidR="00BB0628" w:rsidRDefault="00BB0628" w:rsidP="00E419D3">
      <w:pPr>
        <w:pStyle w:val="BodyText"/>
        <w:jc w:val="both"/>
        <w:rPr>
          <w:sz w:val="20"/>
        </w:rPr>
      </w:pPr>
    </w:p>
    <w:p w14:paraId="5E40DA93" w14:textId="316C06F4" w:rsidR="00DB17F0" w:rsidRPr="005E3A3F" w:rsidRDefault="00DB17F0" w:rsidP="005E3A3F">
      <w:pPr>
        <w:pStyle w:val="BodyText"/>
        <w:jc w:val="both"/>
        <w:rPr>
          <w:color w:val="0070C0"/>
          <w:szCs w:val="20"/>
        </w:rPr>
      </w:pPr>
      <w:r w:rsidRPr="005E3A3F">
        <w:rPr>
          <w:color w:val="0070C0"/>
          <w:sz w:val="26"/>
        </w:rPr>
        <w:t xml:space="preserve">Response: </w:t>
      </w:r>
      <w:r w:rsidR="00BD2B3F">
        <w:rPr>
          <w:color w:val="0070C0"/>
          <w:sz w:val="26"/>
        </w:rPr>
        <w:t>(MNP)</w:t>
      </w:r>
      <w:r w:rsidR="005E3A3F" w:rsidRPr="005E3A3F">
        <w:rPr>
          <w:color w:val="0070C0"/>
          <w:sz w:val="26"/>
        </w:rPr>
        <w:t>The amount in the settlement is the total of 1580 ($40,802) and 1580 Class B (-$3,474). 1580 Class A has not been considered in the claim. On tab 3, cell BT24 should be -$157, not $0.</w:t>
      </w:r>
    </w:p>
    <w:p w14:paraId="5061F4CF" w14:textId="77777777" w:rsidR="00E419D3" w:rsidRDefault="00E419D3">
      <w:pPr>
        <w:rPr>
          <w:b/>
          <w:bCs/>
          <w:sz w:val="24"/>
          <w:szCs w:val="24"/>
        </w:rPr>
      </w:pPr>
      <w:r>
        <w:br w:type="page"/>
      </w:r>
    </w:p>
    <w:p w14:paraId="0536627E" w14:textId="75A830B8" w:rsidR="00BB0628" w:rsidRDefault="00084610" w:rsidP="00E419D3">
      <w:pPr>
        <w:pStyle w:val="Heading1"/>
        <w:spacing w:before="213"/>
        <w:jc w:val="both"/>
      </w:pPr>
      <w:r>
        <w:lastRenderedPageBreak/>
        <w:t>Staff Question-6</w:t>
      </w:r>
    </w:p>
    <w:p w14:paraId="126D2417" w14:textId="77777777" w:rsidR="00BB0628" w:rsidRDefault="00BB0628" w:rsidP="00E419D3">
      <w:pPr>
        <w:pStyle w:val="BodyText"/>
        <w:spacing w:before="2"/>
        <w:jc w:val="both"/>
        <w:rPr>
          <w:b/>
          <w:sz w:val="31"/>
        </w:rPr>
      </w:pPr>
    </w:p>
    <w:p w14:paraId="000E2F32" w14:textId="77777777" w:rsidR="00BB0628" w:rsidRDefault="00084610" w:rsidP="00E419D3">
      <w:pPr>
        <w:pStyle w:val="BodyText"/>
        <w:spacing w:line="276" w:lineRule="auto"/>
        <w:ind w:left="659" w:right="249" w:hanging="540"/>
        <w:jc w:val="both"/>
      </w:pPr>
      <w:r>
        <w:rPr>
          <w:b/>
        </w:rPr>
        <w:t xml:space="preserve">Ref 1: </w:t>
      </w:r>
      <w:r>
        <w:t>EB-2025-0031, Hydro Hawkesbury, HHI_2026 IRM Rate Generator_20250814, Tab 3, Continuity Schedule, Cells BV24 and BV 25</w:t>
      </w:r>
    </w:p>
    <w:p w14:paraId="3B35446A" w14:textId="77777777" w:rsidR="00BB0628" w:rsidRDefault="00084610" w:rsidP="00E419D3">
      <w:pPr>
        <w:pStyle w:val="BodyText"/>
        <w:spacing w:line="278" w:lineRule="auto"/>
        <w:ind w:left="659" w:right="249" w:hanging="540"/>
        <w:jc w:val="both"/>
      </w:pPr>
      <w:r>
        <w:rPr>
          <w:b/>
        </w:rPr>
        <w:t xml:space="preserve">Ref 2: </w:t>
      </w:r>
      <w:r>
        <w:t>EB-2025-0031, Hydro Hawkesbury, HHI_2026 IRM Rate Generator_20250814, Tab 3, Continuity Schedule, Note 5</w:t>
      </w:r>
    </w:p>
    <w:p w14:paraId="058E79A5" w14:textId="77777777" w:rsidR="00BB0628" w:rsidRDefault="00084610" w:rsidP="00E419D3">
      <w:pPr>
        <w:pStyle w:val="BodyText"/>
        <w:spacing w:line="276" w:lineRule="auto"/>
        <w:ind w:left="659" w:right="303" w:hanging="540"/>
        <w:jc w:val="both"/>
      </w:pPr>
      <w:r>
        <w:rPr>
          <w:b/>
        </w:rPr>
        <w:t>Ref 3</w:t>
      </w:r>
      <w:r>
        <w:t>: 2025 RRR Filing Guide for Electricity Distributors’ reporting and record keeping requirements (RRR), March 14, 2025, Page 114</w:t>
      </w:r>
    </w:p>
    <w:p w14:paraId="45DD559B" w14:textId="77777777" w:rsidR="00BB0628" w:rsidRDefault="00BB0628" w:rsidP="00E419D3">
      <w:pPr>
        <w:pStyle w:val="BodyText"/>
        <w:spacing w:before="11"/>
        <w:jc w:val="both"/>
        <w:rPr>
          <w:sz w:val="27"/>
        </w:rPr>
      </w:pPr>
    </w:p>
    <w:p w14:paraId="5729EAA8" w14:textId="77777777" w:rsidR="00BB0628" w:rsidRDefault="00084610" w:rsidP="00E419D3">
      <w:pPr>
        <w:pStyle w:val="Heading1"/>
        <w:ind w:left="119"/>
        <w:jc w:val="both"/>
      </w:pPr>
      <w:r>
        <w:t>Preamble:</w:t>
      </w:r>
    </w:p>
    <w:p w14:paraId="7E1C1694" w14:textId="77777777" w:rsidR="00BB0628" w:rsidRDefault="00084610" w:rsidP="00E419D3">
      <w:pPr>
        <w:pStyle w:val="BodyText"/>
        <w:spacing w:before="40"/>
        <w:ind w:left="119"/>
        <w:jc w:val="both"/>
      </w:pPr>
      <w:r>
        <w:t>Hydro Hawkesbury records a balance of $1,576 in Column BW for Account 1580 RSVA</w:t>
      </w:r>
    </w:p>
    <w:p w14:paraId="169B2D05" w14:textId="77777777" w:rsidR="00BB0628" w:rsidRDefault="00084610" w:rsidP="00E419D3">
      <w:pPr>
        <w:pStyle w:val="BodyText"/>
        <w:spacing w:before="40" w:line="276" w:lineRule="auto"/>
        <w:ind w:left="119" w:right="209"/>
        <w:jc w:val="both"/>
      </w:pPr>
      <w:r>
        <w:t>– Wholesale Market Service Charge but has a balance of 0 for both accounts Variance WMS – Sub-account CBR Class A and Variance WMS – Sub-account CBR Class A, Cell BV24 and Cell BV 25 respectively.</w:t>
      </w:r>
    </w:p>
    <w:p w14:paraId="5A1AD907" w14:textId="77777777" w:rsidR="00BB0628" w:rsidRDefault="00BB0628" w:rsidP="00E419D3">
      <w:pPr>
        <w:pStyle w:val="BodyText"/>
        <w:spacing w:before="6"/>
        <w:jc w:val="both"/>
        <w:rPr>
          <w:sz w:val="27"/>
        </w:rPr>
      </w:pPr>
    </w:p>
    <w:p w14:paraId="5304D4EF" w14:textId="77777777" w:rsidR="00BB0628" w:rsidRDefault="00084610" w:rsidP="00E419D3">
      <w:pPr>
        <w:pStyle w:val="BodyText"/>
        <w:spacing w:line="276" w:lineRule="auto"/>
        <w:ind w:left="119" w:right="116"/>
        <w:jc w:val="both"/>
      </w:pPr>
      <w:r>
        <w:t>As per 2025 RRR filing guide, the reported Account 1580 balance should include the balances in the Wholesale Market Service, sub-account CBR Class A, and sub-account CBR Class B.</w:t>
      </w:r>
    </w:p>
    <w:p w14:paraId="7B69A42C" w14:textId="77777777" w:rsidR="00BB0628" w:rsidRDefault="00BB0628" w:rsidP="00E419D3">
      <w:pPr>
        <w:pStyle w:val="BodyText"/>
        <w:spacing w:before="6"/>
        <w:jc w:val="both"/>
        <w:rPr>
          <w:sz w:val="27"/>
        </w:rPr>
      </w:pPr>
    </w:p>
    <w:p w14:paraId="1ECC138A" w14:textId="77777777" w:rsidR="00BB0628" w:rsidRDefault="00084610" w:rsidP="00E419D3">
      <w:pPr>
        <w:pStyle w:val="Heading1"/>
        <w:ind w:left="119"/>
        <w:jc w:val="both"/>
      </w:pPr>
      <w:r>
        <w:t>Question(s):</w:t>
      </w:r>
    </w:p>
    <w:p w14:paraId="161649CF" w14:textId="77777777" w:rsidR="00BB0628" w:rsidRDefault="00084610" w:rsidP="00E419D3">
      <w:pPr>
        <w:pStyle w:val="BodyText"/>
        <w:spacing w:before="40" w:line="276" w:lineRule="auto"/>
        <w:ind w:left="839" w:right="21" w:hanging="360"/>
        <w:jc w:val="both"/>
      </w:pPr>
      <w:r>
        <w:t>a) Based on Tab 3, note 5, the control account should include the balance for Account 1580, Variance WMS – Sub-account CBR Class B. RRR balance for Account 1580 RSVA – Wholesale Market Service Charge should equal to the control account as reported in the RRR. Please confirm if Hydro Hawkesbury has submitted a revision request to the RRR filing. If not, please explain why.</w:t>
      </w:r>
    </w:p>
    <w:p w14:paraId="701A5846" w14:textId="77777777" w:rsidR="00BB0628" w:rsidRDefault="00BB0628" w:rsidP="00E419D3">
      <w:pPr>
        <w:pStyle w:val="BodyText"/>
        <w:jc w:val="both"/>
        <w:rPr>
          <w:sz w:val="26"/>
        </w:rPr>
      </w:pPr>
    </w:p>
    <w:p w14:paraId="51EA7263" w14:textId="220EEB77" w:rsidR="00DB17F0" w:rsidRPr="00122FEA" w:rsidRDefault="00DB17F0" w:rsidP="005E3A3F">
      <w:pPr>
        <w:pStyle w:val="BodyText"/>
        <w:jc w:val="both"/>
        <w:rPr>
          <w:color w:val="0070C0"/>
          <w:szCs w:val="20"/>
        </w:rPr>
      </w:pPr>
      <w:r w:rsidRPr="00122FEA">
        <w:rPr>
          <w:color w:val="0070C0"/>
          <w:sz w:val="26"/>
        </w:rPr>
        <w:t xml:space="preserve">Response: </w:t>
      </w:r>
      <w:r w:rsidR="00BD2B3F">
        <w:rPr>
          <w:color w:val="0070C0"/>
          <w:sz w:val="26"/>
        </w:rPr>
        <w:t xml:space="preserve">(MNP) </w:t>
      </w:r>
      <w:r w:rsidR="005E3A3F" w:rsidRPr="00122FEA">
        <w:rPr>
          <w:color w:val="0070C0"/>
          <w:sz w:val="26"/>
        </w:rPr>
        <w:t>Currently, the total of BW23, BW24 and BW25 is $0. We have always reported accounts 1580 this way.</w:t>
      </w:r>
      <w:r w:rsidR="00122FEA" w:rsidRPr="00122FEA">
        <w:rPr>
          <w:color w:val="0070C0"/>
          <w:sz w:val="26"/>
        </w:rPr>
        <w:t xml:space="preserve"> If we follow the instructions in note 5, we will have -$455 in cell BW23 and $475 in cell BW24.</w:t>
      </w:r>
    </w:p>
    <w:p w14:paraId="2A333288" w14:textId="77777777" w:rsidR="00DB17F0" w:rsidRDefault="00DB17F0" w:rsidP="00DB17F0">
      <w:pPr>
        <w:rPr>
          <w:b/>
          <w:bCs/>
          <w:sz w:val="24"/>
          <w:szCs w:val="24"/>
        </w:rPr>
      </w:pPr>
      <w:r>
        <w:br w:type="page"/>
      </w:r>
    </w:p>
    <w:p w14:paraId="0AAF89F8" w14:textId="58F98DAD" w:rsidR="00BB0628" w:rsidRDefault="00084610" w:rsidP="00E419D3">
      <w:pPr>
        <w:pStyle w:val="Heading1"/>
        <w:ind w:left="119"/>
        <w:jc w:val="both"/>
      </w:pPr>
      <w:r>
        <w:lastRenderedPageBreak/>
        <w:t>Staff Question-7</w:t>
      </w:r>
    </w:p>
    <w:p w14:paraId="0B4CAFD6" w14:textId="77777777" w:rsidR="00BB0628" w:rsidRDefault="00BB0628" w:rsidP="00E419D3">
      <w:pPr>
        <w:pStyle w:val="BodyText"/>
        <w:spacing w:before="3"/>
        <w:jc w:val="both"/>
        <w:rPr>
          <w:b/>
          <w:sz w:val="31"/>
        </w:rPr>
      </w:pPr>
    </w:p>
    <w:p w14:paraId="180255D3" w14:textId="77777777" w:rsidR="00BB0628" w:rsidRDefault="00084610" w:rsidP="00E419D3">
      <w:pPr>
        <w:pStyle w:val="BodyText"/>
        <w:spacing w:line="276" w:lineRule="auto"/>
        <w:ind w:left="659" w:right="369" w:hanging="540"/>
        <w:jc w:val="both"/>
      </w:pPr>
      <w:r>
        <w:rPr>
          <w:b/>
        </w:rPr>
        <w:t xml:space="preserve">Ref 1: </w:t>
      </w:r>
      <w:r>
        <w:t>EB-2025-0031, Hydro Hawkesbury 2026 IRM Application, Table 1 – Executive Summary Table, Page 7</w:t>
      </w:r>
    </w:p>
    <w:p w14:paraId="2CA33228" w14:textId="77777777" w:rsidR="00BB0628" w:rsidRDefault="00084610" w:rsidP="00E419D3">
      <w:pPr>
        <w:pStyle w:val="BodyText"/>
        <w:spacing w:line="276" w:lineRule="auto"/>
        <w:ind w:left="659" w:right="836" w:hanging="540"/>
        <w:jc w:val="both"/>
      </w:pPr>
      <w:r>
        <w:rPr>
          <w:b/>
        </w:rPr>
        <w:t xml:space="preserve">Ref 1: </w:t>
      </w:r>
      <w:r>
        <w:t>EB-2025-0031, Hydro Hawkesbury 2026 IRM Application, Section 10 Low Voltage Service Rates, Page 12</w:t>
      </w:r>
    </w:p>
    <w:p w14:paraId="0BC7EC58" w14:textId="77777777" w:rsidR="00BB0628" w:rsidRDefault="00BB0628" w:rsidP="00E419D3">
      <w:pPr>
        <w:pStyle w:val="BodyText"/>
        <w:spacing w:before="8"/>
        <w:jc w:val="both"/>
        <w:rPr>
          <w:sz w:val="27"/>
        </w:rPr>
      </w:pPr>
    </w:p>
    <w:p w14:paraId="0FC2AE35" w14:textId="77777777" w:rsidR="00BB0628" w:rsidRDefault="00084610" w:rsidP="00E419D3">
      <w:pPr>
        <w:pStyle w:val="Heading1"/>
        <w:spacing w:before="1"/>
        <w:ind w:left="119"/>
        <w:jc w:val="both"/>
      </w:pPr>
      <w:r>
        <w:t>Preamble:</w:t>
      </w:r>
    </w:p>
    <w:p w14:paraId="3AA1F09C" w14:textId="77777777" w:rsidR="00BB0628" w:rsidRDefault="00084610" w:rsidP="00E419D3">
      <w:pPr>
        <w:pStyle w:val="BodyText"/>
        <w:spacing w:before="41" w:line="276" w:lineRule="auto"/>
        <w:ind w:left="119" w:right="476"/>
        <w:jc w:val="both"/>
      </w:pPr>
      <w:r>
        <w:t>Hydro Hawkesbury indicates that it is requesting an update of its low voltage service rates in the Executive Summary Table. However, on page 12 of the Manager’s</w:t>
      </w:r>
    </w:p>
    <w:p w14:paraId="4EFF17AA" w14:textId="77777777" w:rsidR="00BB0628" w:rsidRDefault="00BB0628" w:rsidP="00E419D3">
      <w:pPr>
        <w:spacing w:line="276" w:lineRule="auto"/>
        <w:jc w:val="both"/>
      </w:pPr>
    </w:p>
    <w:p w14:paraId="3D651489" w14:textId="77777777" w:rsidR="00BB0628" w:rsidRDefault="00084610" w:rsidP="00E419D3">
      <w:pPr>
        <w:spacing w:before="92" w:line="276" w:lineRule="auto"/>
        <w:ind w:left="120" w:right="1009"/>
        <w:jc w:val="both"/>
        <w:rPr>
          <w:i/>
          <w:sz w:val="24"/>
        </w:rPr>
      </w:pPr>
      <w:r>
        <w:rPr>
          <w:sz w:val="24"/>
        </w:rPr>
        <w:t xml:space="preserve">Summary, Hydro Hawkesbury indicates that </w:t>
      </w:r>
      <w:r>
        <w:rPr>
          <w:i/>
          <w:sz w:val="24"/>
        </w:rPr>
        <w:t>‘For the 2026 rate year, HHI is not proposing any changes to LV charges…’</w:t>
      </w:r>
    </w:p>
    <w:p w14:paraId="69D1A60E" w14:textId="77777777" w:rsidR="00BB0628" w:rsidRDefault="00BB0628" w:rsidP="00E419D3">
      <w:pPr>
        <w:pStyle w:val="BodyText"/>
        <w:spacing w:before="6"/>
        <w:jc w:val="both"/>
        <w:rPr>
          <w:i/>
          <w:sz w:val="27"/>
        </w:rPr>
      </w:pPr>
    </w:p>
    <w:p w14:paraId="2ADC6292" w14:textId="77777777" w:rsidR="00BB0628" w:rsidRDefault="00084610" w:rsidP="00E419D3">
      <w:pPr>
        <w:pStyle w:val="Heading1"/>
        <w:jc w:val="both"/>
      </w:pPr>
      <w:r>
        <w:t>Question(s):</w:t>
      </w:r>
    </w:p>
    <w:p w14:paraId="63BE3BB3" w14:textId="77777777" w:rsidR="00BB0628" w:rsidRDefault="00084610" w:rsidP="00E419D3">
      <w:pPr>
        <w:pStyle w:val="BodyText"/>
        <w:spacing w:before="43" w:line="259" w:lineRule="auto"/>
        <w:ind w:left="839" w:right="89" w:hanging="360"/>
        <w:jc w:val="both"/>
      </w:pPr>
      <w:r>
        <w:t>a) Please confirm if Hydro Hawkesbury is requesting to update its low voltage service rate in the 2026 IRM Application. If yes, please update the Rate Generator Model accordingly.</w:t>
      </w:r>
    </w:p>
    <w:p w14:paraId="140538DE" w14:textId="77777777" w:rsidR="00BB0628" w:rsidRDefault="00BB0628" w:rsidP="00E419D3">
      <w:pPr>
        <w:pStyle w:val="BodyText"/>
        <w:jc w:val="both"/>
        <w:rPr>
          <w:sz w:val="26"/>
        </w:rPr>
      </w:pPr>
    </w:p>
    <w:p w14:paraId="719B8DEB" w14:textId="3CF96057" w:rsidR="00484711" w:rsidRPr="00484711" w:rsidRDefault="00484711" w:rsidP="00484711">
      <w:pPr>
        <w:pStyle w:val="BodyText"/>
        <w:jc w:val="both"/>
        <w:rPr>
          <w:color w:val="0070C0"/>
          <w:sz w:val="26"/>
        </w:rPr>
      </w:pPr>
      <w:r w:rsidRPr="00484711">
        <w:rPr>
          <w:color w:val="0070C0"/>
          <w:sz w:val="26"/>
        </w:rPr>
        <w:t xml:space="preserve">Response: </w:t>
      </w:r>
    </w:p>
    <w:p w14:paraId="77A05931" w14:textId="12E40A1F" w:rsidR="00484711" w:rsidRPr="00484711" w:rsidRDefault="00484711" w:rsidP="00484711">
      <w:pPr>
        <w:pStyle w:val="BodyText"/>
        <w:numPr>
          <w:ilvl w:val="0"/>
          <w:numId w:val="15"/>
        </w:numPr>
        <w:spacing w:before="2"/>
        <w:jc w:val="both"/>
        <w:rPr>
          <w:color w:val="0070C0"/>
          <w:szCs w:val="20"/>
        </w:rPr>
      </w:pPr>
      <w:r>
        <w:rPr>
          <w:color w:val="0070C0"/>
          <w:szCs w:val="20"/>
        </w:rPr>
        <w:t xml:space="preserve">HHI is not requesting to update its LV charges as they are based on the most current information available and as such are up to date. </w:t>
      </w:r>
    </w:p>
    <w:p w14:paraId="27635346" w14:textId="77777777" w:rsidR="00BB0628" w:rsidRDefault="00BB0628" w:rsidP="00E419D3">
      <w:pPr>
        <w:pStyle w:val="BodyText"/>
        <w:spacing w:before="11"/>
        <w:jc w:val="both"/>
        <w:rPr>
          <w:sz w:val="30"/>
        </w:rPr>
      </w:pPr>
    </w:p>
    <w:p w14:paraId="2A6123DF" w14:textId="77777777" w:rsidR="00E419D3" w:rsidRDefault="00E419D3">
      <w:pPr>
        <w:rPr>
          <w:b/>
          <w:bCs/>
          <w:sz w:val="24"/>
          <w:szCs w:val="24"/>
        </w:rPr>
      </w:pPr>
      <w:r>
        <w:br w:type="page"/>
      </w:r>
    </w:p>
    <w:p w14:paraId="287E67DE" w14:textId="2B3BA622" w:rsidR="00BB0628" w:rsidRDefault="00084610" w:rsidP="00E419D3">
      <w:pPr>
        <w:pStyle w:val="Heading1"/>
        <w:ind w:left="119"/>
        <w:jc w:val="both"/>
      </w:pPr>
      <w:r>
        <w:lastRenderedPageBreak/>
        <w:t>Staff Question-8</w:t>
      </w:r>
    </w:p>
    <w:p w14:paraId="14637569" w14:textId="77777777" w:rsidR="00BB0628" w:rsidRDefault="00BB0628" w:rsidP="00E419D3">
      <w:pPr>
        <w:pStyle w:val="BodyText"/>
        <w:jc w:val="both"/>
        <w:rPr>
          <w:b/>
          <w:sz w:val="31"/>
        </w:rPr>
      </w:pPr>
    </w:p>
    <w:p w14:paraId="469BF4BE" w14:textId="77777777" w:rsidR="00BB0628" w:rsidRDefault="00084610" w:rsidP="00E419D3">
      <w:pPr>
        <w:pStyle w:val="BodyText"/>
        <w:spacing w:line="276" w:lineRule="auto"/>
        <w:ind w:left="659" w:right="103" w:hanging="540"/>
        <w:jc w:val="both"/>
      </w:pPr>
      <w:r>
        <w:rPr>
          <w:b/>
        </w:rPr>
        <w:t xml:space="preserve">Ref: </w:t>
      </w:r>
      <w:r>
        <w:t>EB-2025-0031, HHI_2026 IRM Commodity Accounts Analysis_20250814, Tab GA 2024, Note 5 Reconciling Items, Item 2a and Item 2b</w:t>
      </w:r>
    </w:p>
    <w:p w14:paraId="6808EE52" w14:textId="77777777" w:rsidR="00BB0628" w:rsidRDefault="00BB0628" w:rsidP="00E419D3">
      <w:pPr>
        <w:pStyle w:val="BodyText"/>
        <w:spacing w:before="8"/>
        <w:jc w:val="both"/>
        <w:rPr>
          <w:sz w:val="27"/>
        </w:rPr>
      </w:pPr>
    </w:p>
    <w:p w14:paraId="39AB9CB3" w14:textId="77777777" w:rsidR="00BB0628" w:rsidRDefault="00084610" w:rsidP="00E419D3">
      <w:pPr>
        <w:pStyle w:val="Heading1"/>
        <w:ind w:left="119"/>
        <w:jc w:val="both"/>
      </w:pPr>
      <w:r>
        <w:t>Preamble:</w:t>
      </w:r>
    </w:p>
    <w:p w14:paraId="07A761DD" w14:textId="77777777" w:rsidR="00BB0628" w:rsidRDefault="00084610" w:rsidP="00E419D3">
      <w:pPr>
        <w:pStyle w:val="BodyText"/>
        <w:spacing w:before="40" w:line="276" w:lineRule="auto"/>
        <w:ind w:left="119" w:right="235"/>
        <w:jc w:val="both"/>
      </w:pPr>
      <w:r>
        <w:t>Hydro Hawkesbury recorded $13,931 as ‘Remove prior year end unbilled to actual revenue differences’ and recorded $72,565 as ‘Add current year end unbilled to actual revenue differences’ in 2a and 2b respectively in Tab GA 2024.</w:t>
      </w:r>
    </w:p>
    <w:p w14:paraId="3B61FECD" w14:textId="77777777" w:rsidR="00BB0628" w:rsidRDefault="00BB0628" w:rsidP="00E419D3">
      <w:pPr>
        <w:pStyle w:val="BodyText"/>
        <w:spacing w:before="9"/>
        <w:jc w:val="both"/>
        <w:rPr>
          <w:sz w:val="27"/>
        </w:rPr>
      </w:pPr>
    </w:p>
    <w:p w14:paraId="3978DC0F" w14:textId="77777777" w:rsidR="00BB0628" w:rsidRDefault="00084610" w:rsidP="00E419D3">
      <w:pPr>
        <w:pStyle w:val="BodyText"/>
        <w:spacing w:line="276" w:lineRule="auto"/>
        <w:ind w:left="120" w:right="115"/>
        <w:jc w:val="both"/>
      </w:pPr>
      <w:r>
        <w:t>Hydro Hawkesbury did not select Yes/No in Cell I78 and I79 for principal adjustment on DVA Continuity Schedule.</w:t>
      </w:r>
    </w:p>
    <w:p w14:paraId="6C9F0044" w14:textId="77777777" w:rsidR="00BB0628" w:rsidRDefault="00BB0628" w:rsidP="00E419D3">
      <w:pPr>
        <w:pStyle w:val="BodyText"/>
        <w:spacing w:before="9"/>
        <w:jc w:val="both"/>
        <w:rPr>
          <w:sz w:val="27"/>
        </w:rPr>
      </w:pPr>
    </w:p>
    <w:p w14:paraId="2ADA2239" w14:textId="77777777" w:rsidR="00BB0628" w:rsidRDefault="00084610" w:rsidP="00E419D3">
      <w:pPr>
        <w:pStyle w:val="Heading1"/>
        <w:jc w:val="both"/>
      </w:pPr>
      <w:r>
        <w:t>Question(s):</w:t>
      </w:r>
    </w:p>
    <w:p w14:paraId="0D5F9F61" w14:textId="77777777" w:rsidR="00BB0628" w:rsidRDefault="00084610" w:rsidP="00E419D3">
      <w:pPr>
        <w:pStyle w:val="ListParagraph"/>
        <w:numPr>
          <w:ilvl w:val="0"/>
          <w:numId w:val="1"/>
        </w:numPr>
        <w:tabs>
          <w:tab w:val="left" w:pos="840"/>
        </w:tabs>
        <w:spacing w:before="40" w:line="259" w:lineRule="auto"/>
        <w:ind w:right="130"/>
        <w:jc w:val="both"/>
        <w:rPr>
          <w:sz w:val="24"/>
        </w:rPr>
      </w:pPr>
      <w:r>
        <w:rPr>
          <w:sz w:val="24"/>
        </w:rPr>
        <w:t>Please select ‘Yes’ or ‘No’ to indicate whether Hydro Hawkesbury seeks to include these two amounts as principal adjustment on DVA Continuity</w:t>
      </w:r>
      <w:r>
        <w:rPr>
          <w:spacing w:val="-36"/>
          <w:sz w:val="24"/>
        </w:rPr>
        <w:t xml:space="preserve"> </w:t>
      </w:r>
      <w:r>
        <w:rPr>
          <w:sz w:val="24"/>
        </w:rPr>
        <w:t>Schedule.</w:t>
      </w:r>
    </w:p>
    <w:p w14:paraId="28720855" w14:textId="77777777" w:rsidR="00BB0628" w:rsidRDefault="00084610" w:rsidP="00E419D3">
      <w:pPr>
        <w:pStyle w:val="ListParagraph"/>
        <w:numPr>
          <w:ilvl w:val="0"/>
          <w:numId w:val="1"/>
        </w:numPr>
        <w:tabs>
          <w:tab w:val="left" w:pos="840"/>
        </w:tabs>
        <w:spacing w:line="259" w:lineRule="auto"/>
        <w:ind w:right="758"/>
        <w:jc w:val="both"/>
        <w:rPr>
          <w:sz w:val="24"/>
        </w:rPr>
      </w:pPr>
      <w:r>
        <w:rPr>
          <w:sz w:val="24"/>
        </w:rPr>
        <w:t>If Hydro Hawkesbury selects not to include these two amounts as principal adjustment on DVA Continuity Schedule, please provide an</w:t>
      </w:r>
      <w:r>
        <w:rPr>
          <w:spacing w:val="-35"/>
          <w:sz w:val="24"/>
        </w:rPr>
        <w:t xml:space="preserve"> </w:t>
      </w:r>
      <w:r>
        <w:rPr>
          <w:sz w:val="24"/>
        </w:rPr>
        <w:t>explanation.</w:t>
      </w:r>
    </w:p>
    <w:p w14:paraId="39B67248" w14:textId="77777777" w:rsidR="00BB0628" w:rsidRDefault="00BB0628" w:rsidP="00E419D3">
      <w:pPr>
        <w:pStyle w:val="BodyText"/>
        <w:spacing w:before="7"/>
        <w:jc w:val="both"/>
        <w:rPr>
          <w:sz w:val="26"/>
        </w:rPr>
      </w:pPr>
    </w:p>
    <w:p w14:paraId="6FCBCEB0" w14:textId="77777777" w:rsidR="00BD2B3F" w:rsidRDefault="00DB17F0" w:rsidP="00122FEA">
      <w:pPr>
        <w:pStyle w:val="BodyText"/>
        <w:jc w:val="both"/>
        <w:rPr>
          <w:color w:val="0070C0"/>
          <w:sz w:val="26"/>
        </w:rPr>
      </w:pPr>
      <w:r w:rsidRPr="00122FEA">
        <w:rPr>
          <w:color w:val="0070C0"/>
          <w:sz w:val="26"/>
        </w:rPr>
        <w:t>Response</w:t>
      </w:r>
      <w:r w:rsidR="00BD2B3F">
        <w:rPr>
          <w:color w:val="0070C0"/>
          <w:sz w:val="26"/>
        </w:rPr>
        <w:t xml:space="preserve"> (MNP)</w:t>
      </w:r>
      <w:r w:rsidRPr="00122FEA">
        <w:rPr>
          <w:color w:val="0070C0"/>
          <w:sz w:val="26"/>
        </w:rPr>
        <w:t xml:space="preserve">: </w:t>
      </w:r>
      <w:r w:rsidR="00122FEA" w:rsidRPr="00122FEA">
        <w:rPr>
          <w:color w:val="0070C0"/>
          <w:sz w:val="26"/>
        </w:rPr>
        <w:t xml:space="preserve">The numbers in tab GA 2024 are from January to December 2024. When making the entries, some of the entries for December 2023 are made in January 2024 and some entries for December 2024 are made in January 2025. </w:t>
      </w:r>
    </w:p>
    <w:p w14:paraId="7CC59B7A" w14:textId="575B9764" w:rsidR="00DB17F0" w:rsidRPr="00122FEA" w:rsidRDefault="00122FEA" w:rsidP="00122FEA">
      <w:pPr>
        <w:pStyle w:val="BodyText"/>
        <w:jc w:val="both"/>
        <w:rPr>
          <w:color w:val="0070C0"/>
          <w:szCs w:val="20"/>
        </w:rPr>
      </w:pPr>
      <w:r w:rsidRPr="00122FEA">
        <w:rPr>
          <w:color w:val="0070C0"/>
          <w:sz w:val="26"/>
        </w:rPr>
        <w:t>To compare to the variances, we have to add the entries for December 2023 recorded in January 2024 and we have to remove the entries for December 2024 made in January 2025. No adjustments are required to the Continuity Schedule because the entries are made according to the OEB instructions.</w:t>
      </w:r>
    </w:p>
    <w:p w14:paraId="62450B33" w14:textId="77777777" w:rsidR="00E419D3" w:rsidRDefault="00E419D3">
      <w:pPr>
        <w:rPr>
          <w:b/>
          <w:bCs/>
          <w:sz w:val="24"/>
          <w:szCs w:val="24"/>
        </w:rPr>
      </w:pPr>
      <w:r>
        <w:br w:type="page"/>
      </w:r>
    </w:p>
    <w:p w14:paraId="649BCAD6" w14:textId="47C16B7A" w:rsidR="00E419D3" w:rsidRDefault="00084610" w:rsidP="00E419D3">
      <w:pPr>
        <w:pStyle w:val="Heading1"/>
        <w:spacing w:line="630" w:lineRule="atLeast"/>
        <w:ind w:left="119" w:right="5532"/>
        <w:jc w:val="both"/>
      </w:pPr>
      <w:r>
        <w:lastRenderedPageBreak/>
        <w:t>Staff Question-</w:t>
      </w:r>
      <w:r w:rsidR="00E419D3">
        <w:t>9</w:t>
      </w:r>
    </w:p>
    <w:p w14:paraId="274AFFFC" w14:textId="1031E145" w:rsidR="00BB0628" w:rsidRDefault="00084610" w:rsidP="00E419D3">
      <w:pPr>
        <w:pStyle w:val="Heading1"/>
        <w:spacing w:line="630" w:lineRule="atLeast"/>
        <w:ind w:left="119" w:right="5532"/>
        <w:jc w:val="both"/>
      </w:pPr>
      <w:r>
        <w:t>Question(s):</w:t>
      </w:r>
    </w:p>
    <w:p w14:paraId="034B397F" w14:textId="65DBF3B3" w:rsidR="00BB0628" w:rsidRDefault="00084610" w:rsidP="00DB17F0">
      <w:pPr>
        <w:pStyle w:val="BodyText"/>
        <w:numPr>
          <w:ilvl w:val="0"/>
          <w:numId w:val="12"/>
        </w:numPr>
        <w:spacing w:before="40" w:line="276" w:lineRule="auto"/>
        <w:ind w:right="89"/>
        <w:jc w:val="both"/>
      </w:pPr>
      <w:r>
        <w:t>As applicable, please update the Rate Generator Model to reflect any updated rates/charges (e.g., 2026 Uniform Transmission Rates).</w:t>
      </w:r>
    </w:p>
    <w:p w14:paraId="58677D46" w14:textId="77777777" w:rsidR="00DB17F0" w:rsidRDefault="00DB17F0" w:rsidP="00DB17F0">
      <w:pPr>
        <w:pStyle w:val="BodyText"/>
        <w:spacing w:before="40" w:line="276" w:lineRule="auto"/>
        <w:ind w:right="89"/>
        <w:jc w:val="both"/>
      </w:pPr>
    </w:p>
    <w:p w14:paraId="6C892EF9" w14:textId="0CB6BF6B" w:rsidR="00DB17F0" w:rsidRDefault="00DB17F0" w:rsidP="00DB17F0">
      <w:pPr>
        <w:pStyle w:val="BodyText"/>
        <w:numPr>
          <w:ilvl w:val="0"/>
          <w:numId w:val="13"/>
        </w:numPr>
        <w:spacing w:before="40" w:line="276" w:lineRule="auto"/>
        <w:ind w:right="89"/>
        <w:jc w:val="both"/>
      </w:pPr>
      <w:r w:rsidRPr="00B968CF">
        <w:rPr>
          <w:color w:val="0070C0"/>
        </w:rPr>
        <w:t xml:space="preserve">Response: HHI </w:t>
      </w:r>
      <w:r w:rsidR="00B968CF" w:rsidRPr="00B968CF">
        <w:rPr>
          <w:color w:val="0070C0"/>
        </w:rPr>
        <w:t xml:space="preserve">has incorporated the </w:t>
      </w:r>
      <w:r w:rsidRPr="00B968CF">
        <w:rPr>
          <w:color w:val="0070C0"/>
        </w:rPr>
        <w:t xml:space="preserve">OEB-approved </w:t>
      </w:r>
      <w:r w:rsidR="00B968CF" w:rsidRPr="00B968CF">
        <w:rPr>
          <w:color w:val="0070C0"/>
        </w:rPr>
        <w:t xml:space="preserve">UTRs and related </w:t>
      </w:r>
      <w:r w:rsidRPr="00B968CF">
        <w:rPr>
          <w:color w:val="0070C0"/>
        </w:rPr>
        <w:t xml:space="preserve">rates </w:t>
      </w:r>
      <w:r w:rsidR="00B968CF" w:rsidRPr="00B968CF">
        <w:rPr>
          <w:color w:val="0070C0"/>
        </w:rPr>
        <w:t>in its revised model,</w:t>
      </w:r>
      <w:r w:rsidR="00B968CF">
        <w:rPr>
          <w:color w:val="0070C0"/>
        </w:rPr>
        <w:t>.</w:t>
      </w:r>
    </w:p>
    <w:sectPr w:rsidR="00DB17F0" w:rsidSect="00E419D3">
      <w:headerReference w:type="default" r:id="rId9"/>
      <w:footerReference w:type="default" r:id="rId10"/>
      <w:pgSz w:w="12240" w:h="15840"/>
      <w:pgMar w:top="1440" w:right="1440" w:bottom="1440" w:left="1440" w:header="715" w:footer="9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E6D8C" w14:textId="77777777" w:rsidR="00902706" w:rsidRDefault="00902706">
      <w:r>
        <w:separator/>
      </w:r>
    </w:p>
  </w:endnote>
  <w:endnote w:type="continuationSeparator" w:id="0">
    <w:p w14:paraId="748AB3D0" w14:textId="77777777" w:rsidR="00902706" w:rsidRDefault="0090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CA8F" w14:textId="0809EC76" w:rsidR="00BB0628" w:rsidRDefault="00DB17F0">
    <w:pPr>
      <w:pStyle w:val="BodyText"/>
      <w:spacing w:line="14" w:lineRule="auto"/>
      <w:rPr>
        <w:sz w:val="20"/>
      </w:rPr>
    </w:pPr>
    <w:r>
      <w:rPr>
        <w:noProof/>
      </w:rPr>
      <mc:AlternateContent>
        <mc:Choice Requires="wps">
          <w:drawing>
            <wp:anchor distT="0" distB="0" distL="114300" distR="114300" simplePos="0" relativeHeight="503308976" behindDoc="1" locked="0" layoutInCell="1" allowOverlap="1" wp14:anchorId="5A91C6A0" wp14:editId="5DF4811C">
              <wp:simplePos x="0" y="0"/>
              <wp:positionH relativeFrom="page">
                <wp:posOffset>3763645</wp:posOffset>
              </wp:positionH>
              <wp:positionV relativeFrom="page">
                <wp:posOffset>9284970</wp:posOffset>
              </wp:positionV>
              <wp:extent cx="247015" cy="165735"/>
              <wp:effectExtent l="1270" t="0" r="0" b="0"/>
              <wp:wrapNone/>
              <wp:docPr id="20673178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3C9FB" w14:textId="77777777" w:rsidR="00BB0628" w:rsidRDefault="00084610">
                          <w:pPr>
                            <w:spacing w:line="245" w:lineRule="exact"/>
                            <w:ind w:left="20"/>
                            <w:rPr>
                              <w:rFonts w:ascii="Calibri"/>
                            </w:rPr>
                          </w:pPr>
                          <w:r>
                            <w:rPr>
                              <w:rFonts w:ascii="Calibri"/>
                            </w:rPr>
                            <w:t xml:space="preserve">- </w:t>
                          </w:r>
                          <w:r>
                            <w:fldChar w:fldCharType="begin"/>
                          </w:r>
                          <w:r>
                            <w:rPr>
                              <w:rFonts w:ascii="Calibri"/>
                            </w:rPr>
                            <w:instrText xml:space="preserve"> PAGE </w:instrText>
                          </w:r>
                          <w:r>
                            <w:fldChar w:fldCharType="separate"/>
                          </w:r>
                          <w:r>
                            <w:t>2</w:t>
                          </w:r>
                          <w:r>
                            <w:fldChar w:fldCharType="end"/>
                          </w:r>
                          <w:r>
                            <w:rPr>
                              <w:rFonts w:ascii="Calibri"/>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1C6A0" id="_x0000_t202" coordsize="21600,21600" o:spt="202" path="m,l,21600r21600,l21600,xe">
              <v:stroke joinstyle="miter"/>
              <v:path gradientshapeok="t" o:connecttype="rect"/>
            </v:shapetype>
            <v:shape id="Text Box 1" o:spid="_x0000_s1026" type="#_x0000_t202" style="position:absolute;margin-left:296.35pt;margin-top:731.1pt;width:19.45pt;height:13.05pt;z-index:-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" filled="f" stroked="f">
              <v:textbox inset="0,0,0,0">
                <w:txbxContent>
                  <w:p w14:paraId="44D3C9FB" w14:textId="77777777" w:rsidR="00BB0628" w:rsidRDefault="00084610">
                    <w:pPr>
                      <w:spacing w:line="245" w:lineRule="exact"/>
                      <w:ind w:left="20"/>
                      <w:rPr>
                        <w:rFonts w:ascii="Calibri"/>
                      </w:rPr>
                    </w:pPr>
                    <w:r>
                      <w:rPr>
                        <w:rFonts w:ascii="Calibri"/>
                      </w:rPr>
                      <w:t xml:space="preserve">- </w:t>
                    </w:r>
                    <w:r>
                      <w:fldChar w:fldCharType="begin"/>
                    </w:r>
                    <w:r>
                      <w:rPr>
                        <w:rFonts w:ascii="Calibri"/>
                      </w:rPr>
                      <w:instrText xml:space="preserve"> PAGE </w:instrText>
                    </w:r>
                    <w:r>
                      <w:fldChar w:fldCharType="separate"/>
                    </w:r>
                    <w:r>
                      <w:t>2</w:t>
                    </w:r>
                    <w:r>
                      <w:fldChar w:fldCharType="end"/>
                    </w:r>
                    <w:r>
                      <w:rPr>
                        <w:rFonts w:ascii="Calibri"/>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686DF" w14:textId="77777777" w:rsidR="00902706" w:rsidRDefault="00902706">
      <w:r>
        <w:separator/>
      </w:r>
    </w:p>
  </w:footnote>
  <w:footnote w:type="continuationSeparator" w:id="0">
    <w:p w14:paraId="764EF8F8" w14:textId="77777777" w:rsidR="00902706" w:rsidRDefault="00902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4AE2" w14:textId="77777777" w:rsidR="00E419D3" w:rsidRPr="00E419D3" w:rsidRDefault="00E419D3" w:rsidP="00E419D3">
    <w:pPr>
      <w:pStyle w:val="Header"/>
      <w:rPr>
        <w:lang w:val="en-CA"/>
      </w:rPr>
    </w:pPr>
  </w:p>
  <w:p w14:paraId="26149F99" w14:textId="77777777" w:rsidR="00E419D3" w:rsidRDefault="00E419D3" w:rsidP="00E419D3">
    <w:pPr>
      <w:pStyle w:val="Header"/>
      <w:rPr>
        <w:lang w:val="en-CA"/>
      </w:rPr>
    </w:pPr>
    <w:r w:rsidRPr="00E419D3">
      <w:rPr>
        <w:lang w:val="en-CA"/>
      </w:rPr>
      <w:t xml:space="preserve"> Hydro Hawkesbury Inc. </w:t>
    </w:r>
  </w:p>
  <w:p w14:paraId="0051B443" w14:textId="0B4298CE" w:rsidR="00BB0628" w:rsidRDefault="00E419D3" w:rsidP="00E419D3">
    <w:pPr>
      <w:pStyle w:val="Header"/>
      <w:rPr>
        <w:lang w:val="en-CA"/>
      </w:rPr>
    </w:pPr>
    <w:r w:rsidRPr="00E419D3">
      <w:rPr>
        <w:lang w:val="en-CA"/>
      </w:rPr>
      <w:t xml:space="preserve">OEB Staff Questions </w:t>
    </w:r>
    <w:r>
      <w:rPr>
        <w:lang w:val="en-CA"/>
      </w:rPr>
      <w:t>– HHI Responses</w:t>
    </w:r>
    <w:r>
      <w:rPr>
        <w:lang w:val="en-CA"/>
      </w:rPr>
      <w:tab/>
    </w:r>
    <w:r>
      <w:rPr>
        <w:lang w:val="en-CA"/>
      </w:rPr>
      <w:tab/>
    </w:r>
    <w:r w:rsidRPr="00E419D3">
      <w:rPr>
        <w:lang w:val="en-CA"/>
      </w:rPr>
      <w:t>EB-2025-0031</w:t>
    </w:r>
  </w:p>
  <w:p w14:paraId="327D3834" w14:textId="77777777" w:rsidR="00DB17F0" w:rsidRDefault="00DB17F0" w:rsidP="00E419D3">
    <w:pPr>
      <w:pStyle w:val="Header"/>
      <w:rPr>
        <w:lang w:val="en-CA"/>
      </w:rPr>
    </w:pPr>
  </w:p>
  <w:p w14:paraId="60840549" w14:textId="77777777" w:rsidR="00DB17F0" w:rsidRPr="003E70D3" w:rsidRDefault="00DB17F0" w:rsidP="00E41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2D8A"/>
    <w:multiLevelType w:val="hybridMultilevel"/>
    <w:tmpl w:val="91F26D5C"/>
    <w:lvl w:ilvl="0" w:tplc="5EDEEBD2">
      <w:start w:val="1"/>
      <w:numFmt w:val="lowerLetter"/>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 w15:restartNumberingAfterBreak="0">
    <w:nsid w:val="0EEB0EC8"/>
    <w:multiLevelType w:val="hybridMultilevel"/>
    <w:tmpl w:val="AABEAC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D41761"/>
    <w:multiLevelType w:val="hybridMultilevel"/>
    <w:tmpl w:val="34EE00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2B563E"/>
    <w:multiLevelType w:val="hybridMultilevel"/>
    <w:tmpl w:val="BD76C90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6C87A10"/>
    <w:multiLevelType w:val="hybridMultilevel"/>
    <w:tmpl w:val="29C258B0"/>
    <w:lvl w:ilvl="0" w:tplc="B0645FA4">
      <w:start w:val="1"/>
      <w:numFmt w:val="lowerLetter"/>
      <w:lvlText w:val="%1)"/>
      <w:lvlJc w:val="left"/>
      <w:pPr>
        <w:ind w:left="840" w:hanging="360"/>
      </w:pPr>
      <w:rPr>
        <w:rFonts w:ascii="Arial" w:eastAsia="Arial" w:hAnsi="Arial" w:cs="Arial" w:hint="default"/>
        <w:spacing w:val="-4"/>
        <w:w w:val="100"/>
        <w:sz w:val="24"/>
        <w:szCs w:val="24"/>
      </w:rPr>
    </w:lvl>
    <w:lvl w:ilvl="1" w:tplc="7F44DA78">
      <w:numFmt w:val="bullet"/>
      <w:lvlText w:val="•"/>
      <w:lvlJc w:val="left"/>
      <w:pPr>
        <w:ind w:left="1714" w:hanging="360"/>
      </w:pPr>
      <w:rPr>
        <w:rFonts w:hint="default"/>
      </w:rPr>
    </w:lvl>
    <w:lvl w:ilvl="2" w:tplc="CB8899A8">
      <w:numFmt w:val="bullet"/>
      <w:lvlText w:val="•"/>
      <w:lvlJc w:val="left"/>
      <w:pPr>
        <w:ind w:left="2588" w:hanging="360"/>
      </w:pPr>
      <w:rPr>
        <w:rFonts w:hint="default"/>
      </w:rPr>
    </w:lvl>
    <w:lvl w:ilvl="3" w:tplc="46B29704">
      <w:numFmt w:val="bullet"/>
      <w:lvlText w:val="•"/>
      <w:lvlJc w:val="left"/>
      <w:pPr>
        <w:ind w:left="3462" w:hanging="360"/>
      </w:pPr>
      <w:rPr>
        <w:rFonts w:hint="default"/>
      </w:rPr>
    </w:lvl>
    <w:lvl w:ilvl="4" w:tplc="FAFE840A">
      <w:numFmt w:val="bullet"/>
      <w:lvlText w:val="•"/>
      <w:lvlJc w:val="left"/>
      <w:pPr>
        <w:ind w:left="4336" w:hanging="360"/>
      </w:pPr>
      <w:rPr>
        <w:rFonts w:hint="default"/>
      </w:rPr>
    </w:lvl>
    <w:lvl w:ilvl="5" w:tplc="E0D255EC">
      <w:numFmt w:val="bullet"/>
      <w:lvlText w:val="•"/>
      <w:lvlJc w:val="left"/>
      <w:pPr>
        <w:ind w:left="5210" w:hanging="360"/>
      </w:pPr>
      <w:rPr>
        <w:rFonts w:hint="default"/>
      </w:rPr>
    </w:lvl>
    <w:lvl w:ilvl="6" w:tplc="C25E2888">
      <w:numFmt w:val="bullet"/>
      <w:lvlText w:val="•"/>
      <w:lvlJc w:val="left"/>
      <w:pPr>
        <w:ind w:left="6084" w:hanging="360"/>
      </w:pPr>
      <w:rPr>
        <w:rFonts w:hint="default"/>
      </w:rPr>
    </w:lvl>
    <w:lvl w:ilvl="7" w:tplc="75C451DC">
      <w:numFmt w:val="bullet"/>
      <w:lvlText w:val="•"/>
      <w:lvlJc w:val="left"/>
      <w:pPr>
        <w:ind w:left="6958" w:hanging="360"/>
      </w:pPr>
      <w:rPr>
        <w:rFonts w:hint="default"/>
      </w:rPr>
    </w:lvl>
    <w:lvl w:ilvl="8" w:tplc="D910FD4A">
      <w:numFmt w:val="bullet"/>
      <w:lvlText w:val="•"/>
      <w:lvlJc w:val="left"/>
      <w:pPr>
        <w:ind w:left="7832" w:hanging="360"/>
      </w:pPr>
      <w:rPr>
        <w:rFonts w:hint="default"/>
      </w:rPr>
    </w:lvl>
  </w:abstractNum>
  <w:abstractNum w:abstractNumId="5" w15:restartNumberingAfterBreak="0">
    <w:nsid w:val="2C532A28"/>
    <w:multiLevelType w:val="hybridMultilevel"/>
    <w:tmpl w:val="795663C8"/>
    <w:lvl w:ilvl="0" w:tplc="A9BC3CA2">
      <w:start w:val="1"/>
      <w:numFmt w:val="lowerLetter"/>
      <w:lvlText w:val="%1)"/>
      <w:lvlJc w:val="left"/>
      <w:pPr>
        <w:ind w:left="786" w:hanging="360"/>
      </w:pPr>
      <w:rPr>
        <w:rFonts w:hint="default"/>
      </w:rPr>
    </w:lvl>
    <w:lvl w:ilvl="1" w:tplc="10090019" w:tentative="1">
      <w:start w:val="1"/>
      <w:numFmt w:val="lowerLetter"/>
      <w:lvlText w:val="%2."/>
      <w:lvlJc w:val="left"/>
      <w:pPr>
        <w:ind w:left="1559" w:hanging="360"/>
      </w:pPr>
    </w:lvl>
    <w:lvl w:ilvl="2" w:tplc="1009001B" w:tentative="1">
      <w:start w:val="1"/>
      <w:numFmt w:val="lowerRoman"/>
      <w:lvlText w:val="%3."/>
      <w:lvlJc w:val="right"/>
      <w:pPr>
        <w:ind w:left="2279" w:hanging="180"/>
      </w:pPr>
    </w:lvl>
    <w:lvl w:ilvl="3" w:tplc="1009000F" w:tentative="1">
      <w:start w:val="1"/>
      <w:numFmt w:val="decimal"/>
      <w:lvlText w:val="%4."/>
      <w:lvlJc w:val="left"/>
      <w:pPr>
        <w:ind w:left="2999" w:hanging="360"/>
      </w:pPr>
    </w:lvl>
    <w:lvl w:ilvl="4" w:tplc="10090019" w:tentative="1">
      <w:start w:val="1"/>
      <w:numFmt w:val="lowerLetter"/>
      <w:lvlText w:val="%5."/>
      <w:lvlJc w:val="left"/>
      <w:pPr>
        <w:ind w:left="3719" w:hanging="360"/>
      </w:pPr>
    </w:lvl>
    <w:lvl w:ilvl="5" w:tplc="1009001B" w:tentative="1">
      <w:start w:val="1"/>
      <w:numFmt w:val="lowerRoman"/>
      <w:lvlText w:val="%6."/>
      <w:lvlJc w:val="right"/>
      <w:pPr>
        <w:ind w:left="4439" w:hanging="180"/>
      </w:pPr>
    </w:lvl>
    <w:lvl w:ilvl="6" w:tplc="1009000F" w:tentative="1">
      <w:start w:val="1"/>
      <w:numFmt w:val="decimal"/>
      <w:lvlText w:val="%7."/>
      <w:lvlJc w:val="left"/>
      <w:pPr>
        <w:ind w:left="5159" w:hanging="360"/>
      </w:pPr>
    </w:lvl>
    <w:lvl w:ilvl="7" w:tplc="10090019" w:tentative="1">
      <w:start w:val="1"/>
      <w:numFmt w:val="lowerLetter"/>
      <w:lvlText w:val="%8."/>
      <w:lvlJc w:val="left"/>
      <w:pPr>
        <w:ind w:left="5879" w:hanging="360"/>
      </w:pPr>
    </w:lvl>
    <w:lvl w:ilvl="8" w:tplc="1009001B" w:tentative="1">
      <w:start w:val="1"/>
      <w:numFmt w:val="lowerRoman"/>
      <w:lvlText w:val="%9."/>
      <w:lvlJc w:val="right"/>
      <w:pPr>
        <w:ind w:left="6599" w:hanging="180"/>
      </w:pPr>
    </w:lvl>
  </w:abstractNum>
  <w:abstractNum w:abstractNumId="6" w15:restartNumberingAfterBreak="0">
    <w:nsid w:val="30A3114A"/>
    <w:multiLevelType w:val="hybridMultilevel"/>
    <w:tmpl w:val="AABEAC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4E4C23"/>
    <w:multiLevelType w:val="hybridMultilevel"/>
    <w:tmpl w:val="34EE00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4B2F94"/>
    <w:multiLevelType w:val="hybridMultilevel"/>
    <w:tmpl w:val="4A54F56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06A706C"/>
    <w:multiLevelType w:val="hybridMultilevel"/>
    <w:tmpl w:val="34EE00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105CFA"/>
    <w:multiLevelType w:val="hybridMultilevel"/>
    <w:tmpl w:val="431E63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9D211CC"/>
    <w:multiLevelType w:val="hybridMultilevel"/>
    <w:tmpl w:val="AABEAC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D5371A9"/>
    <w:multiLevelType w:val="hybridMultilevel"/>
    <w:tmpl w:val="34EE00B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D9F55A2"/>
    <w:multiLevelType w:val="hybridMultilevel"/>
    <w:tmpl w:val="EC2005AC"/>
    <w:lvl w:ilvl="0" w:tplc="FE3269D0">
      <w:start w:val="1"/>
      <w:numFmt w:val="lowerLetter"/>
      <w:lvlText w:val="%1)"/>
      <w:lvlJc w:val="left"/>
      <w:pPr>
        <w:ind w:left="840" w:hanging="360"/>
      </w:pPr>
      <w:rPr>
        <w:rFonts w:ascii="Arial" w:eastAsia="Arial" w:hAnsi="Arial" w:cs="Arial" w:hint="default"/>
        <w:spacing w:val="-3"/>
        <w:w w:val="100"/>
        <w:sz w:val="24"/>
        <w:szCs w:val="24"/>
      </w:rPr>
    </w:lvl>
    <w:lvl w:ilvl="1" w:tplc="AA0059AE">
      <w:numFmt w:val="bullet"/>
      <w:lvlText w:val="•"/>
      <w:lvlJc w:val="left"/>
      <w:pPr>
        <w:ind w:left="1706" w:hanging="360"/>
      </w:pPr>
      <w:rPr>
        <w:rFonts w:hint="default"/>
      </w:rPr>
    </w:lvl>
    <w:lvl w:ilvl="2" w:tplc="C3F8A722">
      <w:numFmt w:val="bullet"/>
      <w:lvlText w:val="•"/>
      <w:lvlJc w:val="left"/>
      <w:pPr>
        <w:ind w:left="2572" w:hanging="360"/>
      </w:pPr>
      <w:rPr>
        <w:rFonts w:hint="default"/>
      </w:rPr>
    </w:lvl>
    <w:lvl w:ilvl="3" w:tplc="5CFA3A88">
      <w:numFmt w:val="bullet"/>
      <w:lvlText w:val="•"/>
      <w:lvlJc w:val="left"/>
      <w:pPr>
        <w:ind w:left="3438" w:hanging="360"/>
      </w:pPr>
      <w:rPr>
        <w:rFonts w:hint="default"/>
      </w:rPr>
    </w:lvl>
    <w:lvl w:ilvl="4" w:tplc="DB8E6362">
      <w:numFmt w:val="bullet"/>
      <w:lvlText w:val="•"/>
      <w:lvlJc w:val="left"/>
      <w:pPr>
        <w:ind w:left="4304" w:hanging="360"/>
      </w:pPr>
      <w:rPr>
        <w:rFonts w:hint="default"/>
      </w:rPr>
    </w:lvl>
    <w:lvl w:ilvl="5" w:tplc="248EA506">
      <w:numFmt w:val="bullet"/>
      <w:lvlText w:val="•"/>
      <w:lvlJc w:val="left"/>
      <w:pPr>
        <w:ind w:left="5170" w:hanging="360"/>
      </w:pPr>
      <w:rPr>
        <w:rFonts w:hint="default"/>
      </w:rPr>
    </w:lvl>
    <w:lvl w:ilvl="6" w:tplc="42E6DCD6">
      <w:numFmt w:val="bullet"/>
      <w:lvlText w:val="•"/>
      <w:lvlJc w:val="left"/>
      <w:pPr>
        <w:ind w:left="6036" w:hanging="360"/>
      </w:pPr>
      <w:rPr>
        <w:rFonts w:hint="default"/>
      </w:rPr>
    </w:lvl>
    <w:lvl w:ilvl="7" w:tplc="8CE220E6">
      <w:numFmt w:val="bullet"/>
      <w:lvlText w:val="•"/>
      <w:lvlJc w:val="left"/>
      <w:pPr>
        <w:ind w:left="6902" w:hanging="360"/>
      </w:pPr>
      <w:rPr>
        <w:rFonts w:hint="default"/>
      </w:rPr>
    </w:lvl>
    <w:lvl w:ilvl="8" w:tplc="686EE40E">
      <w:numFmt w:val="bullet"/>
      <w:lvlText w:val="•"/>
      <w:lvlJc w:val="left"/>
      <w:pPr>
        <w:ind w:left="7768" w:hanging="360"/>
      </w:pPr>
      <w:rPr>
        <w:rFonts w:hint="default"/>
      </w:rPr>
    </w:lvl>
  </w:abstractNum>
  <w:abstractNum w:abstractNumId="14" w15:restartNumberingAfterBreak="0">
    <w:nsid w:val="64A66ECC"/>
    <w:multiLevelType w:val="hybridMultilevel"/>
    <w:tmpl w:val="7792B2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F7B0373"/>
    <w:multiLevelType w:val="hybridMultilevel"/>
    <w:tmpl w:val="193EC692"/>
    <w:lvl w:ilvl="0" w:tplc="8AAC74C2">
      <w:start w:val="1"/>
      <w:numFmt w:val="lowerLetter"/>
      <w:lvlText w:val="%1)"/>
      <w:lvlJc w:val="left"/>
      <w:pPr>
        <w:ind w:left="549" w:hanging="360"/>
      </w:pPr>
      <w:rPr>
        <w:rFonts w:ascii="Arial" w:eastAsia="Arial" w:hAnsi="Arial" w:cs="Arial" w:hint="default"/>
        <w:spacing w:val="-4"/>
        <w:w w:val="100"/>
        <w:sz w:val="24"/>
        <w:szCs w:val="24"/>
      </w:rPr>
    </w:lvl>
    <w:lvl w:ilvl="1" w:tplc="B6682AFE">
      <w:start w:val="1"/>
      <w:numFmt w:val="lowerLetter"/>
      <w:lvlText w:val="%2)"/>
      <w:lvlJc w:val="left"/>
      <w:pPr>
        <w:ind w:left="820" w:hanging="360"/>
      </w:pPr>
      <w:rPr>
        <w:rFonts w:ascii="Arial" w:eastAsia="Arial" w:hAnsi="Arial" w:cs="Arial" w:hint="default"/>
        <w:spacing w:val="-4"/>
        <w:w w:val="100"/>
        <w:sz w:val="24"/>
        <w:szCs w:val="24"/>
      </w:rPr>
    </w:lvl>
    <w:lvl w:ilvl="2" w:tplc="9AF8A876">
      <w:start w:val="1"/>
      <w:numFmt w:val="decimal"/>
      <w:lvlText w:val="%3)"/>
      <w:lvlJc w:val="left"/>
      <w:pPr>
        <w:ind w:left="1900" w:hanging="360"/>
      </w:pPr>
      <w:rPr>
        <w:rFonts w:ascii="Arial" w:eastAsia="Arial" w:hAnsi="Arial" w:cs="Arial" w:hint="default"/>
        <w:spacing w:val="-3"/>
        <w:w w:val="100"/>
        <w:sz w:val="24"/>
        <w:szCs w:val="24"/>
      </w:rPr>
    </w:lvl>
    <w:lvl w:ilvl="3" w:tplc="50F4272A">
      <w:start w:val="1"/>
      <w:numFmt w:val="lowerRoman"/>
      <w:lvlText w:val="%4)"/>
      <w:lvlJc w:val="left"/>
      <w:pPr>
        <w:ind w:left="3340" w:hanging="720"/>
      </w:pPr>
      <w:rPr>
        <w:rFonts w:ascii="Arial" w:eastAsia="Arial" w:hAnsi="Arial" w:cs="Arial" w:hint="default"/>
        <w:spacing w:val="-3"/>
        <w:w w:val="100"/>
        <w:sz w:val="24"/>
        <w:szCs w:val="24"/>
      </w:rPr>
    </w:lvl>
    <w:lvl w:ilvl="4" w:tplc="E716F4F2">
      <w:numFmt w:val="bullet"/>
      <w:lvlText w:val="•"/>
      <w:lvlJc w:val="left"/>
      <w:pPr>
        <w:ind w:left="3340" w:hanging="720"/>
      </w:pPr>
      <w:rPr>
        <w:rFonts w:hint="default"/>
      </w:rPr>
    </w:lvl>
    <w:lvl w:ilvl="5" w:tplc="7DE89CD2">
      <w:numFmt w:val="bullet"/>
      <w:lvlText w:val="•"/>
      <w:lvlJc w:val="left"/>
      <w:pPr>
        <w:ind w:left="4363" w:hanging="720"/>
      </w:pPr>
      <w:rPr>
        <w:rFonts w:hint="default"/>
      </w:rPr>
    </w:lvl>
    <w:lvl w:ilvl="6" w:tplc="A39C3CDE">
      <w:numFmt w:val="bullet"/>
      <w:lvlText w:val="•"/>
      <w:lvlJc w:val="left"/>
      <w:pPr>
        <w:ind w:left="5386" w:hanging="720"/>
      </w:pPr>
      <w:rPr>
        <w:rFonts w:hint="default"/>
      </w:rPr>
    </w:lvl>
    <w:lvl w:ilvl="7" w:tplc="7D42F4DC">
      <w:numFmt w:val="bullet"/>
      <w:lvlText w:val="•"/>
      <w:lvlJc w:val="left"/>
      <w:pPr>
        <w:ind w:left="6410" w:hanging="720"/>
      </w:pPr>
      <w:rPr>
        <w:rFonts w:hint="default"/>
      </w:rPr>
    </w:lvl>
    <w:lvl w:ilvl="8" w:tplc="2AEE5992">
      <w:numFmt w:val="bullet"/>
      <w:lvlText w:val="•"/>
      <w:lvlJc w:val="left"/>
      <w:pPr>
        <w:ind w:left="7433" w:hanging="720"/>
      </w:pPr>
      <w:rPr>
        <w:rFonts w:hint="default"/>
      </w:rPr>
    </w:lvl>
  </w:abstractNum>
  <w:abstractNum w:abstractNumId="16" w15:restartNumberingAfterBreak="0">
    <w:nsid w:val="705E2584"/>
    <w:multiLevelType w:val="hybridMultilevel"/>
    <w:tmpl w:val="34EE00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0B6F4E"/>
    <w:multiLevelType w:val="hybridMultilevel"/>
    <w:tmpl w:val="193EC692"/>
    <w:lvl w:ilvl="0" w:tplc="FFFFFFFF">
      <w:start w:val="1"/>
      <w:numFmt w:val="lowerLetter"/>
      <w:lvlText w:val="%1)"/>
      <w:lvlJc w:val="left"/>
      <w:pPr>
        <w:ind w:left="549" w:hanging="360"/>
      </w:pPr>
      <w:rPr>
        <w:rFonts w:ascii="Arial" w:eastAsia="Arial" w:hAnsi="Arial" w:cs="Arial" w:hint="default"/>
        <w:spacing w:val="-4"/>
        <w:w w:val="100"/>
        <w:sz w:val="24"/>
        <w:szCs w:val="24"/>
      </w:rPr>
    </w:lvl>
    <w:lvl w:ilvl="1" w:tplc="FFFFFFFF">
      <w:start w:val="1"/>
      <w:numFmt w:val="lowerLetter"/>
      <w:lvlText w:val="%2)"/>
      <w:lvlJc w:val="left"/>
      <w:pPr>
        <w:ind w:left="820" w:hanging="360"/>
      </w:pPr>
      <w:rPr>
        <w:rFonts w:ascii="Arial" w:eastAsia="Arial" w:hAnsi="Arial" w:cs="Arial" w:hint="default"/>
        <w:spacing w:val="-4"/>
        <w:w w:val="100"/>
        <w:sz w:val="24"/>
        <w:szCs w:val="24"/>
      </w:rPr>
    </w:lvl>
    <w:lvl w:ilvl="2" w:tplc="FFFFFFFF">
      <w:start w:val="1"/>
      <w:numFmt w:val="decimal"/>
      <w:lvlText w:val="%3)"/>
      <w:lvlJc w:val="left"/>
      <w:pPr>
        <w:ind w:left="1900" w:hanging="360"/>
      </w:pPr>
      <w:rPr>
        <w:rFonts w:ascii="Arial" w:eastAsia="Arial" w:hAnsi="Arial" w:cs="Arial" w:hint="default"/>
        <w:spacing w:val="-3"/>
        <w:w w:val="100"/>
        <w:sz w:val="24"/>
        <w:szCs w:val="24"/>
      </w:rPr>
    </w:lvl>
    <w:lvl w:ilvl="3" w:tplc="FFFFFFFF">
      <w:start w:val="1"/>
      <w:numFmt w:val="lowerRoman"/>
      <w:lvlText w:val="%4)"/>
      <w:lvlJc w:val="left"/>
      <w:pPr>
        <w:ind w:left="3340" w:hanging="720"/>
      </w:pPr>
      <w:rPr>
        <w:rFonts w:ascii="Arial" w:eastAsia="Arial" w:hAnsi="Arial" w:cs="Arial" w:hint="default"/>
        <w:spacing w:val="-3"/>
        <w:w w:val="100"/>
        <w:sz w:val="24"/>
        <w:szCs w:val="24"/>
      </w:rPr>
    </w:lvl>
    <w:lvl w:ilvl="4" w:tplc="FFFFFFFF">
      <w:numFmt w:val="bullet"/>
      <w:lvlText w:val="•"/>
      <w:lvlJc w:val="left"/>
      <w:pPr>
        <w:ind w:left="3340" w:hanging="720"/>
      </w:pPr>
      <w:rPr>
        <w:rFonts w:hint="default"/>
      </w:rPr>
    </w:lvl>
    <w:lvl w:ilvl="5" w:tplc="FFFFFFFF">
      <w:numFmt w:val="bullet"/>
      <w:lvlText w:val="•"/>
      <w:lvlJc w:val="left"/>
      <w:pPr>
        <w:ind w:left="4363" w:hanging="720"/>
      </w:pPr>
      <w:rPr>
        <w:rFonts w:hint="default"/>
      </w:rPr>
    </w:lvl>
    <w:lvl w:ilvl="6" w:tplc="FFFFFFFF">
      <w:numFmt w:val="bullet"/>
      <w:lvlText w:val="•"/>
      <w:lvlJc w:val="left"/>
      <w:pPr>
        <w:ind w:left="5386" w:hanging="720"/>
      </w:pPr>
      <w:rPr>
        <w:rFonts w:hint="default"/>
      </w:rPr>
    </w:lvl>
    <w:lvl w:ilvl="7" w:tplc="FFFFFFFF">
      <w:numFmt w:val="bullet"/>
      <w:lvlText w:val="•"/>
      <w:lvlJc w:val="left"/>
      <w:pPr>
        <w:ind w:left="6410" w:hanging="720"/>
      </w:pPr>
      <w:rPr>
        <w:rFonts w:hint="default"/>
      </w:rPr>
    </w:lvl>
    <w:lvl w:ilvl="8" w:tplc="FFFFFFFF">
      <w:numFmt w:val="bullet"/>
      <w:lvlText w:val="•"/>
      <w:lvlJc w:val="left"/>
      <w:pPr>
        <w:ind w:left="7433" w:hanging="720"/>
      </w:pPr>
      <w:rPr>
        <w:rFonts w:hint="default"/>
      </w:rPr>
    </w:lvl>
  </w:abstractNum>
  <w:num w:numId="1" w16cid:durableId="177038001">
    <w:abstractNumId w:val="13"/>
  </w:num>
  <w:num w:numId="2" w16cid:durableId="1048139803">
    <w:abstractNumId w:val="4"/>
  </w:num>
  <w:num w:numId="3" w16cid:durableId="1758477124">
    <w:abstractNumId w:val="15"/>
  </w:num>
  <w:num w:numId="4" w16cid:durableId="1309941364">
    <w:abstractNumId w:val="17"/>
  </w:num>
  <w:num w:numId="5" w16cid:durableId="870648883">
    <w:abstractNumId w:val="8"/>
  </w:num>
  <w:num w:numId="6" w16cid:durableId="1728186823">
    <w:abstractNumId w:val="11"/>
  </w:num>
  <w:num w:numId="7" w16cid:durableId="1856311354">
    <w:abstractNumId w:val="6"/>
  </w:num>
  <w:num w:numId="8" w16cid:durableId="989478455">
    <w:abstractNumId w:val="1"/>
  </w:num>
  <w:num w:numId="9" w16cid:durableId="1710297055">
    <w:abstractNumId w:val="12"/>
  </w:num>
  <w:num w:numId="10" w16cid:durableId="458691558">
    <w:abstractNumId w:val="2"/>
  </w:num>
  <w:num w:numId="11" w16cid:durableId="988900579">
    <w:abstractNumId w:val="9"/>
  </w:num>
  <w:num w:numId="12" w16cid:durableId="85344495">
    <w:abstractNumId w:val="5"/>
  </w:num>
  <w:num w:numId="13" w16cid:durableId="744955686">
    <w:abstractNumId w:val="0"/>
  </w:num>
  <w:num w:numId="14" w16cid:durableId="662049705">
    <w:abstractNumId w:val="7"/>
  </w:num>
  <w:num w:numId="15" w16cid:durableId="1822650936">
    <w:abstractNumId w:val="16"/>
  </w:num>
  <w:num w:numId="16" w16cid:durableId="1516113732">
    <w:abstractNumId w:val="10"/>
  </w:num>
  <w:num w:numId="17" w16cid:durableId="193690013">
    <w:abstractNumId w:val="3"/>
  </w:num>
  <w:num w:numId="18" w16cid:durableId="2027195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28"/>
    <w:rsid w:val="00007374"/>
    <w:rsid w:val="00084610"/>
    <w:rsid w:val="00122FEA"/>
    <w:rsid w:val="00144FC6"/>
    <w:rsid w:val="00145299"/>
    <w:rsid w:val="001C6F85"/>
    <w:rsid w:val="001E4F26"/>
    <w:rsid w:val="0020048F"/>
    <w:rsid w:val="0027054A"/>
    <w:rsid w:val="002C5E67"/>
    <w:rsid w:val="003456A2"/>
    <w:rsid w:val="003E70D3"/>
    <w:rsid w:val="00484711"/>
    <w:rsid w:val="004A6668"/>
    <w:rsid w:val="005C5CF3"/>
    <w:rsid w:val="005E3A3F"/>
    <w:rsid w:val="0063391C"/>
    <w:rsid w:val="008D4980"/>
    <w:rsid w:val="00902706"/>
    <w:rsid w:val="00A30606"/>
    <w:rsid w:val="00A552BB"/>
    <w:rsid w:val="00B31E5F"/>
    <w:rsid w:val="00B968CF"/>
    <w:rsid w:val="00BB0628"/>
    <w:rsid w:val="00BD1755"/>
    <w:rsid w:val="00BD2B3F"/>
    <w:rsid w:val="00D203B7"/>
    <w:rsid w:val="00D322D4"/>
    <w:rsid w:val="00D641E2"/>
    <w:rsid w:val="00D95496"/>
    <w:rsid w:val="00DB17F0"/>
    <w:rsid w:val="00E419D3"/>
    <w:rsid w:val="00EC4F79"/>
    <w:rsid w:val="00F910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268B2"/>
  <w15:docId w15:val="{36AAE807-E619-45A2-9B14-88356E45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3E70D3"/>
    <w:pPr>
      <w:tabs>
        <w:tab w:val="center" w:pos="4680"/>
        <w:tab w:val="right" w:pos="9360"/>
      </w:tabs>
    </w:pPr>
  </w:style>
  <w:style w:type="character" w:customStyle="1" w:styleId="HeaderChar">
    <w:name w:val="Header Char"/>
    <w:basedOn w:val="DefaultParagraphFont"/>
    <w:link w:val="Header"/>
    <w:uiPriority w:val="99"/>
    <w:rsid w:val="003E70D3"/>
    <w:rPr>
      <w:rFonts w:ascii="Arial" w:eastAsia="Arial" w:hAnsi="Arial" w:cs="Arial"/>
    </w:rPr>
  </w:style>
  <w:style w:type="paragraph" w:styleId="Footer">
    <w:name w:val="footer"/>
    <w:basedOn w:val="Normal"/>
    <w:link w:val="FooterChar"/>
    <w:uiPriority w:val="99"/>
    <w:unhideWhenUsed/>
    <w:rsid w:val="003E70D3"/>
    <w:pPr>
      <w:tabs>
        <w:tab w:val="center" w:pos="4680"/>
        <w:tab w:val="right" w:pos="9360"/>
      </w:tabs>
    </w:pPr>
  </w:style>
  <w:style w:type="character" w:customStyle="1" w:styleId="FooterChar">
    <w:name w:val="Footer Char"/>
    <w:basedOn w:val="DefaultParagraphFont"/>
    <w:link w:val="Footer"/>
    <w:uiPriority w:val="99"/>
    <w:rsid w:val="003E70D3"/>
    <w:rPr>
      <w:rFonts w:ascii="Arial" w:eastAsia="Arial" w:hAnsi="Arial" w:cs="Arial"/>
    </w:rPr>
  </w:style>
  <w:style w:type="table" w:styleId="TableGridLight">
    <w:name w:val="Grid Table Light"/>
    <w:basedOn w:val="TableNormal"/>
    <w:uiPriority w:val="40"/>
    <w:rsid w:val="001E4F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4308F-B863-4E45-8EDE-52B6CA411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2592</Words>
  <Characters>14077</Characters>
  <Application>Microsoft Office Word</Application>
  <DocSecurity>0</DocSecurity>
  <Lines>586</Lines>
  <Paragraphs>314</Paragraphs>
  <ScaleCrop>false</ScaleCrop>
  <HeadingPairs>
    <vt:vector size="2" baseType="variant">
      <vt:variant>
        <vt:lpstr>Title</vt:lpstr>
      </vt:variant>
      <vt:variant>
        <vt:i4>1</vt:i4>
      </vt:variant>
    </vt:vector>
  </HeadingPairs>
  <TitlesOfParts>
    <vt:vector size="1" baseType="lpstr">
      <vt:lpstr>OEB Staff Interrogatories with Cover Letter - Panel</vt:lpstr>
    </vt:vector>
  </TitlesOfParts>
  <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OEB Staff Interrogatories with Cover Letter - Panel</dc:title>
  <dc:creator>OEB</dc:creator>
  <cp:lastModifiedBy>Manuela  Ris</cp:lastModifiedBy>
  <cp:revision>11</cp:revision>
  <dcterms:created xsi:type="dcterms:W3CDTF">2025-10-15T18:37:00Z</dcterms:created>
  <dcterms:modified xsi:type="dcterms:W3CDTF">2025-10-16T17:14:00Z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Acrobat PDFMaker 20 for Word</vt:lpwstr>
  </property>
  <property fmtid="{D5CDD505-2E9C-101B-9397-08002B2CF9AE}" pid="4" name="LastSaved">
    <vt:filetime>2025-10-06T00:00:00Z</vt:filetime>
  </property>
  <property fmtid="{D5CDD505-2E9C-101B-9397-08002B2CF9AE}" pid="5" name="GrammarlyDocumentId">
    <vt:lpwstr>cff831c5-f8d8-4438-aec7-e25fdc529a05</vt:lpwstr>
  </property>
</Properties>
</file>