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E0D6" w14:textId="0DDAB385" w:rsidR="00A07077" w:rsidRPr="00D57E8C" w:rsidRDefault="007A4700" w:rsidP="00A07077">
      <w:pPr>
        <w:pStyle w:val="Default"/>
        <w:jc w:val="center"/>
        <w:rPr>
          <w:rFonts w:ascii="Arial" w:hAnsi="Arial" w:cs="Arial"/>
          <w:sz w:val="28"/>
          <w:szCs w:val="28"/>
        </w:rPr>
      </w:pPr>
      <w:r>
        <w:rPr>
          <w:rFonts w:ascii="Arial" w:hAnsi="Arial" w:cs="Arial"/>
          <w:b/>
          <w:bCs/>
          <w:sz w:val="28"/>
          <w:szCs w:val="28"/>
        </w:rPr>
        <w:t>Northern Ontario Wires Inc.</w:t>
      </w:r>
    </w:p>
    <w:p w14:paraId="33D6510D" w14:textId="376BDD18"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EB-20</w:t>
      </w:r>
      <w:r w:rsidR="00A53C1E">
        <w:rPr>
          <w:rFonts w:ascii="Arial" w:hAnsi="Arial" w:cs="Arial"/>
          <w:b/>
          <w:bCs/>
          <w:sz w:val="28"/>
          <w:szCs w:val="28"/>
        </w:rPr>
        <w:t>25-00</w:t>
      </w:r>
      <w:r w:rsidR="007A4700">
        <w:rPr>
          <w:rFonts w:ascii="Arial" w:hAnsi="Arial" w:cs="Arial"/>
          <w:b/>
          <w:bCs/>
          <w:sz w:val="28"/>
          <w:szCs w:val="28"/>
        </w:rPr>
        <w:t>17</w:t>
      </w:r>
    </w:p>
    <w:p w14:paraId="5999C199" w14:textId="494CC933" w:rsidR="00D77124" w:rsidRDefault="00E24CAD" w:rsidP="00AB251C">
      <w:pPr>
        <w:pStyle w:val="Default"/>
        <w:spacing w:after="360"/>
        <w:contextualSpacing/>
        <w:jc w:val="center"/>
        <w:rPr>
          <w:rFonts w:ascii="Arial" w:hAnsi="Arial" w:cs="Arial"/>
          <w:b/>
          <w:bCs/>
          <w:sz w:val="28"/>
          <w:szCs w:val="28"/>
        </w:rPr>
      </w:pPr>
      <w:r>
        <w:rPr>
          <w:rFonts w:ascii="Arial" w:hAnsi="Arial" w:cs="Arial"/>
          <w:b/>
          <w:bCs/>
          <w:sz w:val="28"/>
          <w:szCs w:val="28"/>
        </w:rPr>
        <w:t xml:space="preserve">November </w:t>
      </w:r>
      <w:r w:rsidR="008D0E24">
        <w:rPr>
          <w:rFonts w:ascii="Arial" w:hAnsi="Arial" w:cs="Arial"/>
          <w:b/>
          <w:bCs/>
          <w:sz w:val="28"/>
          <w:szCs w:val="28"/>
        </w:rPr>
        <w:t>2</w:t>
      </w:r>
      <w:r>
        <w:rPr>
          <w:rFonts w:ascii="Arial" w:hAnsi="Arial" w:cs="Arial"/>
          <w:b/>
          <w:bCs/>
          <w:sz w:val="28"/>
          <w:szCs w:val="28"/>
        </w:rPr>
        <w:t>1</w:t>
      </w:r>
      <w:r w:rsidR="00A53C1E">
        <w:rPr>
          <w:rFonts w:ascii="Arial" w:hAnsi="Arial" w:cs="Arial"/>
          <w:b/>
          <w:bCs/>
          <w:sz w:val="28"/>
          <w:szCs w:val="28"/>
        </w:rPr>
        <w:t>, 2025</w:t>
      </w:r>
    </w:p>
    <w:p w14:paraId="2A0CB1B0" w14:textId="19F64B6D" w:rsidR="00E86F26" w:rsidRPr="006B0427" w:rsidRDefault="00E86F26" w:rsidP="00D27F42">
      <w:pPr>
        <w:autoSpaceDE w:val="0"/>
        <w:autoSpaceDN w:val="0"/>
        <w:adjustRightInd w:val="0"/>
        <w:spacing w:after="240"/>
        <w:rPr>
          <w:rFonts w:ascii="Arial" w:eastAsia="Calibri" w:hAnsi="Arial" w:cs="Arial"/>
          <w:sz w:val="24"/>
          <w:szCs w:val="24"/>
        </w:rPr>
      </w:pPr>
      <w:bookmarkStart w:id="0" w:name="_Hlk55806661"/>
      <w:r w:rsidRPr="006B0427">
        <w:rPr>
          <w:rFonts w:ascii="Arial" w:eastAsia="Calibri" w:hAnsi="Arial" w:cs="Arial"/>
          <w:sz w:val="24"/>
          <w:szCs w:val="24"/>
        </w:rPr>
        <w:t xml:space="preserve">Please note, </w:t>
      </w:r>
      <w:r w:rsidR="00E24CAD">
        <w:rPr>
          <w:rFonts w:ascii="Arial" w:eastAsia="Calibri" w:hAnsi="Arial" w:cs="Arial"/>
          <w:sz w:val="24"/>
          <w:szCs w:val="24"/>
        </w:rPr>
        <w:t>Northern Ontario Wires Inc.</w:t>
      </w:r>
      <w:r w:rsidR="00D77124" w:rsidRPr="006B0427">
        <w:rPr>
          <w:rFonts w:ascii="Arial" w:eastAsia="Calibri" w:hAnsi="Arial" w:cs="Arial"/>
          <w:sz w:val="24"/>
          <w:szCs w:val="24"/>
        </w:rPr>
        <w:t xml:space="preserve"> (</w:t>
      </w:r>
      <w:r w:rsidR="00E24CAD">
        <w:rPr>
          <w:rFonts w:ascii="Arial" w:eastAsia="Calibri" w:hAnsi="Arial" w:cs="Arial"/>
          <w:sz w:val="24"/>
          <w:szCs w:val="24"/>
        </w:rPr>
        <w:t>N</w:t>
      </w:r>
      <w:r w:rsidR="006F0940">
        <w:rPr>
          <w:rFonts w:ascii="Arial" w:eastAsia="Calibri" w:hAnsi="Arial" w:cs="Arial"/>
          <w:sz w:val="24"/>
          <w:szCs w:val="24"/>
        </w:rPr>
        <w:t>orthern Ontario Wires</w:t>
      </w:r>
      <w:r w:rsidR="00D77124" w:rsidRPr="006B0427">
        <w:rPr>
          <w:rFonts w:ascii="Arial" w:eastAsia="Calibri" w:hAnsi="Arial" w:cs="Arial"/>
          <w:sz w:val="24"/>
          <w:szCs w:val="24"/>
        </w:rPr>
        <w:t>)</w:t>
      </w:r>
      <w:r w:rsidRPr="006B0427">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6B0427">
        <w:rPr>
          <w:rFonts w:ascii="Arial" w:eastAsia="Calibri" w:hAnsi="Arial" w:cs="Arial"/>
          <w:i/>
          <w:iCs/>
          <w:sz w:val="24"/>
          <w:szCs w:val="24"/>
        </w:rPr>
        <w:t>Freedom of Information and Protection of Privacy Act</w:t>
      </w:r>
      <w:r w:rsidRPr="006B0427">
        <w:rPr>
          <w:rFonts w:ascii="Arial" w:eastAsia="Calibri" w:hAnsi="Arial" w:cs="Arial"/>
          <w:sz w:val="24"/>
          <w:szCs w:val="24"/>
        </w:rPr>
        <w:t xml:space="preserve">, unless filed in accordance with rule 9A of the OEB’s </w:t>
      </w:r>
      <w:r w:rsidRPr="006B0427">
        <w:rPr>
          <w:rFonts w:ascii="Arial" w:eastAsia="Calibri" w:hAnsi="Arial" w:cs="Arial"/>
          <w:i/>
          <w:iCs/>
          <w:sz w:val="24"/>
          <w:szCs w:val="24"/>
        </w:rPr>
        <w:t>Rules of Practice and Procedure</w:t>
      </w:r>
      <w:r w:rsidRPr="006B0427">
        <w:rPr>
          <w:rFonts w:ascii="Arial" w:eastAsia="Calibri" w:hAnsi="Arial" w:cs="Arial"/>
          <w:sz w:val="24"/>
          <w:szCs w:val="24"/>
        </w:rPr>
        <w:t>.</w:t>
      </w:r>
    </w:p>
    <w:bookmarkEnd w:id="0"/>
    <w:p w14:paraId="7CFAFC4F" w14:textId="6FA39B2A" w:rsidR="00D57E8C" w:rsidRPr="006B0427" w:rsidRDefault="00D57E8C" w:rsidP="00AB251C">
      <w:pPr>
        <w:spacing w:after="240"/>
        <w:rPr>
          <w:rFonts w:ascii="Arial" w:hAnsi="Arial" w:cs="Arial"/>
          <w:b/>
          <w:sz w:val="24"/>
          <w:szCs w:val="24"/>
        </w:rPr>
      </w:pPr>
      <w:r w:rsidRPr="006B0427">
        <w:rPr>
          <w:rFonts w:ascii="Arial" w:hAnsi="Arial" w:cs="Arial"/>
          <w:b/>
          <w:sz w:val="24"/>
          <w:szCs w:val="24"/>
        </w:rPr>
        <w:t>Staff-</w:t>
      </w:r>
      <w:r w:rsidR="003D05E4">
        <w:rPr>
          <w:rFonts w:ascii="Arial" w:hAnsi="Arial" w:cs="Arial"/>
          <w:b/>
          <w:sz w:val="24"/>
          <w:szCs w:val="24"/>
        </w:rPr>
        <w:t>1</w:t>
      </w:r>
    </w:p>
    <w:p w14:paraId="5EF7DA4A" w14:textId="73F98897" w:rsidR="00482D23" w:rsidRPr="006B0427" w:rsidRDefault="00482D23" w:rsidP="00482D23">
      <w:pPr>
        <w:spacing w:after="240"/>
        <w:contextualSpacing/>
        <w:rPr>
          <w:rFonts w:ascii="Arial" w:hAnsi="Arial" w:cs="Arial"/>
          <w:b/>
          <w:sz w:val="24"/>
          <w:szCs w:val="24"/>
        </w:rPr>
      </w:pPr>
      <w:r w:rsidRPr="006B0427">
        <w:rPr>
          <w:rFonts w:ascii="Arial" w:hAnsi="Arial" w:cs="Arial"/>
          <w:b/>
          <w:sz w:val="24"/>
          <w:szCs w:val="24"/>
        </w:rPr>
        <w:t xml:space="preserve">Ref: </w:t>
      </w:r>
      <w:r w:rsidR="00CF6765" w:rsidRPr="006B0427">
        <w:rPr>
          <w:rFonts w:ascii="Arial" w:hAnsi="Arial" w:cs="Arial"/>
          <w:b/>
          <w:sz w:val="24"/>
          <w:szCs w:val="24"/>
        </w:rPr>
        <w:t>EB-2025-00</w:t>
      </w:r>
      <w:r w:rsidR="00CD0048">
        <w:rPr>
          <w:rFonts w:ascii="Arial" w:hAnsi="Arial" w:cs="Arial"/>
          <w:b/>
          <w:sz w:val="24"/>
          <w:szCs w:val="24"/>
        </w:rPr>
        <w:t>17</w:t>
      </w:r>
      <w:r w:rsidR="00CF6765" w:rsidRPr="006B0427">
        <w:rPr>
          <w:rFonts w:ascii="Arial" w:hAnsi="Arial" w:cs="Arial"/>
          <w:b/>
          <w:sz w:val="24"/>
          <w:szCs w:val="24"/>
        </w:rPr>
        <w:t xml:space="preserve">, </w:t>
      </w:r>
      <w:r w:rsidRPr="006B0427">
        <w:rPr>
          <w:rFonts w:ascii="Arial" w:hAnsi="Arial" w:cs="Arial"/>
          <w:b/>
          <w:sz w:val="24"/>
          <w:szCs w:val="24"/>
        </w:rPr>
        <w:t xml:space="preserve">Rate Generator Model, Tab 3, Continuity Schedule  </w:t>
      </w:r>
    </w:p>
    <w:p w14:paraId="2C13D78B" w14:textId="77777777" w:rsidR="00482D23" w:rsidRPr="006B0427" w:rsidRDefault="00482D23" w:rsidP="00482D23">
      <w:pPr>
        <w:spacing w:after="240"/>
        <w:contextualSpacing/>
        <w:rPr>
          <w:rFonts w:ascii="Arial" w:hAnsi="Arial" w:cs="Arial"/>
          <w:b/>
          <w:sz w:val="24"/>
          <w:szCs w:val="24"/>
        </w:rPr>
      </w:pPr>
    </w:p>
    <w:p w14:paraId="14997660" w14:textId="47AE97EA" w:rsidR="00F7370D" w:rsidRPr="006B0427" w:rsidRDefault="00482D23" w:rsidP="00482D23">
      <w:pPr>
        <w:spacing w:after="240"/>
        <w:contextualSpacing/>
        <w:rPr>
          <w:rFonts w:ascii="Arial" w:hAnsi="Arial" w:cs="Arial"/>
          <w:b/>
          <w:sz w:val="24"/>
          <w:szCs w:val="24"/>
        </w:rPr>
      </w:pPr>
      <w:r w:rsidRPr="006B0427">
        <w:rPr>
          <w:rFonts w:ascii="Arial" w:hAnsi="Arial" w:cs="Arial"/>
          <w:b/>
          <w:sz w:val="24"/>
          <w:szCs w:val="24"/>
        </w:rPr>
        <w:t xml:space="preserve">Preamble: </w:t>
      </w:r>
    </w:p>
    <w:p w14:paraId="0507AFAA" w14:textId="77777777" w:rsidR="00482D23" w:rsidRPr="006B0427" w:rsidRDefault="00482D23" w:rsidP="00482D23">
      <w:pPr>
        <w:spacing w:after="240"/>
        <w:contextualSpacing/>
        <w:rPr>
          <w:rFonts w:ascii="Arial" w:hAnsi="Arial" w:cs="Arial"/>
          <w:bCs/>
          <w:sz w:val="24"/>
          <w:szCs w:val="24"/>
        </w:rPr>
      </w:pPr>
      <w:r w:rsidRPr="006B0427">
        <w:rPr>
          <w:rFonts w:ascii="Arial" w:hAnsi="Arial" w:cs="Arial"/>
          <w:bCs/>
          <w:sz w:val="24"/>
          <w:szCs w:val="24"/>
        </w:rPr>
        <w:t xml:space="preserve">On September 11, 2025, the OEB published the 2025 Quarter 4 prescribed accounting interest rates applicable to the carrying charges of deferral, variance and construction work in progress (CWIP) accounts of natural gas utilities, electricity distributors and other rate-regulated entities. </w:t>
      </w:r>
    </w:p>
    <w:p w14:paraId="036D86DB" w14:textId="0A062D9A" w:rsidR="00482D23" w:rsidRPr="006B0427" w:rsidRDefault="00482D23" w:rsidP="00482D23">
      <w:pPr>
        <w:spacing w:after="240"/>
        <w:contextualSpacing/>
        <w:rPr>
          <w:rFonts w:ascii="Arial" w:hAnsi="Arial" w:cs="Arial"/>
          <w:b/>
          <w:sz w:val="24"/>
          <w:szCs w:val="24"/>
        </w:rPr>
      </w:pPr>
    </w:p>
    <w:p w14:paraId="0D16791A" w14:textId="5EC71BEF" w:rsidR="00482D23" w:rsidRPr="006B0427" w:rsidRDefault="00482D23" w:rsidP="00482D23">
      <w:pPr>
        <w:spacing w:after="240"/>
        <w:contextualSpacing/>
        <w:rPr>
          <w:rFonts w:ascii="Arial" w:hAnsi="Arial" w:cs="Arial"/>
          <w:b/>
          <w:sz w:val="24"/>
          <w:szCs w:val="24"/>
        </w:rPr>
      </w:pPr>
      <w:r w:rsidRPr="006B0427">
        <w:rPr>
          <w:rFonts w:ascii="Arial" w:hAnsi="Arial" w:cs="Arial"/>
          <w:b/>
          <w:sz w:val="24"/>
          <w:szCs w:val="24"/>
        </w:rPr>
        <w:t xml:space="preserve">Question(s):  </w:t>
      </w:r>
    </w:p>
    <w:p w14:paraId="1B0AFD72" w14:textId="7EB1EF70" w:rsidR="004434E6" w:rsidRPr="00663238" w:rsidRDefault="00482D23" w:rsidP="001E7C65">
      <w:pPr>
        <w:pStyle w:val="ListParagraph"/>
        <w:numPr>
          <w:ilvl w:val="0"/>
          <w:numId w:val="47"/>
        </w:numPr>
        <w:spacing w:after="240"/>
        <w:rPr>
          <w:rFonts w:ascii="Arial" w:hAnsi="Arial" w:cs="Arial"/>
          <w:bCs/>
          <w:sz w:val="24"/>
          <w:szCs w:val="24"/>
        </w:rPr>
      </w:pPr>
      <w:r w:rsidRPr="007C290B">
        <w:rPr>
          <w:rFonts w:ascii="Arial" w:hAnsi="Arial" w:cs="Arial"/>
          <w:bCs/>
          <w:sz w:val="24"/>
          <w:szCs w:val="24"/>
        </w:rPr>
        <w:t xml:space="preserve">Please </w:t>
      </w:r>
      <w:r w:rsidR="00737156">
        <w:rPr>
          <w:rFonts w:ascii="Arial" w:hAnsi="Arial" w:cs="Arial"/>
          <w:bCs/>
          <w:sz w:val="24"/>
          <w:szCs w:val="24"/>
        </w:rPr>
        <w:t>confirm</w:t>
      </w:r>
      <w:r w:rsidR="00022FD7">
        <w:rPr>
          <w:rFonts w:ascii="Arial" w:hAnsi="Arial" w:cs="Arial"/>
          <w:bCs/>
          <w:sz w:val="24"/>
          <w:szCs w:val="24"/>
        </w:rPr>
        <w:t xml:space="preserve"> that</w:t>
      </w:r>
      <w:r w:rsidRPr="007C290B">
        <w:rPr>
          <w:rFonts w:ascii="Arial" w:hAnsi="Arial" w:cs="Arial"/>
          <w:bCs/>
          <w:sz w:val="24"/>
          <w:szCs w:val="24"/>
        </w:rPr>
        <w:t xml:space="preserve"> Tab 3 (Continuity Schedule) reflect</w:t>
      </w:r>
      <w:r w:rsidR="00022FD7">
        <w:rPr>
          <w:rFonts w:ascii="Arial" w:hAnsi="Arial" w:cs="Arial"/>
          <w:bCs/>
          <w:sz w:val="24"/>
          <w:szCs w:val="24"/>
        </w:rPr>
        <w:t>s</w:t>
      </w:r>
      <w:r w:rsidRPr="007C290B">
        <w:rPr>
          <w:rFonts w:ascii="Arial" w:hAnsi="Arial" w:cs="Arial"/>
          <w:bCs/>
          <w:sz w:val="24"/>
          <w:szCs w:val="24"/>
        </w:rPr>
        <w:t xml:space="preserve"> the Q4 2025 OEB-prescribed interest rate of 2.91%.</w:t>
      </w:r>
    </w:p>
    <w:p w14:paraId="0555EF1E" w14:textId="5196A165" w:rsidR="001E7C65" w:rsidRPr="006B0427" w:rsidRDefault="001E7C65" w:rsidP="001E7C65">
      <w:pPr>
        <w:spacing w:after="240"/>
        <w:rPr>
          <w:rFonts w:ascii="Arial" w:hAnsi="Arial" w:cs="Arial"/>
          <w:b/>
          <w:sz w:val="24"/>
          <w:szCs w:val="24"/>
        </w:rPr>
      </w:pPr>
      <w:r w:rsidRPr="006B0427">
        <w:rPr>
          <w:rFonts w:ascii="Arial" w:hAnsi="Arial" w:cs="Arial"/>
          <w:b/>
          <w:sz w:val="24"/>
          <w:szCs w:val="24"/>
        </w:rPr>
        <w:t>Staff-</w:t>
      </w:r>
      <w:r w:rsidR="00663238">
        <w:rPr>
          <w:rFonts w:ascii="Arial" w:hAnsi="Arial" w:cs="Arial"/>
          <w:b/>
          <w:sz w:val="24"/>
          <w:szCs w:val="24"/>
        </w:rPr>
        <w:t>2</w:t>
      </w:r>
    </w:p>
    <w:p w14:paraId="4CC303F3" w14:textId="48886649" w:rsidR="001E7C65" w:rsidRPr="006B0427" w:rsidRDefault="001E7C65" w:rsidP="00142EA8">
      <w:pPr>
        <w:spacing w:after="240"/>
        <w:ind w:left="540" w:hanging="540"/>
        <w:contextualSpacing/>
        <w:rPr>
          <w:rFonts w:ascii="Arial" w:hAnsi="Arial" w:cs="Arial"/>
          <w:b/>
          <w:sz w:val="24"/>
          <w:szCs w:val="24"/>
        </w:rPr>
      </w:pPr>
      <w:r w:rsidRPr="006B0427">
        <w:rPr>
          <w:rFonts w:ascii="Arial" w:hAnsi="Arial" w:cs="Arial"/>
          <w:b/>
          <w:sz w:val="24"/>
          <w:szCs w:val="24"/>
        </w:rPr>
        <w:t xml:space="preserve">Ref: </w:t>
      </w:r>
      <w:r w:rsidR="00283BF0" w:rsidRPr="00283BF0">
        <w:rPr>
          <w:rFonts w:ascii="Arial" w:hAnsi="Arial" w:cs="Arial"/>
          <w:b/>
          <w:sz w:val="24"/>
          <w:szCs w:val="24"/>
        </w:rPr>
        <w:t>EB-2025-0017, Rate Generator Model – Tab 11 (Continuity Schedule) and Tab 18 (Regulatory Charges)</w:t>
      </w:r>
    </w:p>
    <w:p w14:paraId="707B6800" w14:textId="77777777" w:rsidR="001E7C65" w:rsidRPr="006B0427" w:rsidRDefault="001E7C65" w:rsidP="001E7C65">
      <w:pPr>
        <w:spacing w:after="240"/>
        <w:contextualSpacing/>
        <w:rPr>
          <w:rFonts w:ascii="Arial" w:hAnsi="Arial" w:cs="Arial"/>
          <w:b/>
          <w:sz w:val="24"/>
          <w:szCs w:val="24"/>
        </w:rPr>
      </w:pPr>
    </w:p>
    <w:p w14:paraId="61A562C5" w14:textId="5DD8B909" w:rsidR="001E7C65" w:rsidRPr="006B0427" w:rsidRDefault="001E7C65" w:rsidP="001E7C65">
      <w:pPr>
        <w:spacing w:after="240"/>
        <w:contextualSpacing/>
        <w:rPr>
          <w:rFonts w:ascii="Arial" w:hAnsi="Arial" w:cs="Arial"/>
          <w:b/>
          <w:sz w:val="24"/>
          <w:szCs w:val="24"/>
        </w:rPr>
      </w:pPr>
      <w:r w:rsidRPr="006B0427">
        <w:rPr>
          <w:rFonts w:ascii="Arial" w:hAnsi="Arial" w:cs="Arial"/>
          <w:b/>
          <w:sz w:val="24"/>
          <w:szCs w:val="24"/>
        </w:rPr>
        <w:t xml:space="preserve">Preamble: </w:t>
      </w:r>
    </w:p>
    <w:p w14:paraId="2A104B71" w14:textId="75F24C57" w:rsidR="001E7C65" w:rsidRDefault="00910756" w:rsidP="001E7C65">
      <w:pPr>
        <w:spacing w:after="240"/>
        <w:contextualSpacing/>
        <w:rPr>
          <w:rFonts w:ascii="Arial" w:hAnsi="Arial" w:cs="Arial"/>
          <w:bCs/>
          <w:sz w:val="24"/>
          <w:szCs w:val="24"/>
        </w:rPr>
      </w:pPr>
      <w:r w:rsidRPr="00910756">
        <w:rPr>
          <w:rFonts w:ascii="Arial" w:hAnsi="Arial" w:cs="Arial"/>
          <w:bCs/>
          <w:sz w:val="24"/>
          <w:szCs w:val="24"/>
        </w:rPr>
        <w:t xml:space="preserve">On October 9, 2025, the OEB issued </w:t>
      </w:r>
      <w:r w:rsidR="00A51FCA">
        <w:rPr>
          <w:rFonts w:ascii="Arial" w:hAnsi="Arial" w:cs="Arial"/>
          <w:bCs/>
          <w:sz w:val="24"/>
          <w:szCs w:val="24"/>
        </w:rPr>
        <w:t xml:space="preserve">a letter establishing the </w:t>
      </w:r>
      <w:r w:rsidRPr="00910756">
        <w:rPr>
          <w:rFonts w:ascii="Arial" w:hAnsi="Arial" w:cs="Arial"/>
          <w:bCs/>
          <w:sz w:val="24"/>
          <w:szCs w:val="24"/>
        </w:rPr>
        <w:t>preliminary Uniform Transmission Rates (UTRs) and Hydro One Networks Inc.’s (HONI) proposed Sub-Transmission Rates. In addition, on October 17, 2025, the OEB released updated time-of-use (TOU) pricing and Ontario Electricity Rebate (OER) values</w:t>
      </w:r>
      <w:r w:rsidR="00F764E0">
        <w:rPr>
          <w:rFonts w:ascii="Arial" w:hAnsi="Arial" w:cs="Arial"/>
          <w:bCs/>
          <w:sz w:val="24"/>
          <w:szCs w:val="24"/>
        </w:rPr>
        <w:t>, effective November 1, 2025</w:t>
      </w:r>
      <w:r w:rsidRPr="00910756">
        <w:rPr>
          <w:rFonts w:ascii="Arial" w:hAnsi="Arial" w:cs="Arial"/>
          <w:bCs/>
          <w:sz w:val="24"/>
          <w:szCs w:val="24"/>
        </w:rPr>
        <w:t>.</w:t>
      </w:r>
    </w:p>
    <w:p w14:paraId="183FE75C" w14:textId="77777777" w:rsidR="00910756" w:rsidRPr="006B0427" w:rsidRDefault="00910756" w:rsidP="001E7C65">
      <w:pPr>
        <w:spacing w:after="240"/>
        <w:contextualSpacing/>
        <w:rPr>
          <w:rFonts w:ascii="Arial" w:hAnsi="Arial" w:cs="Arial"/>
          <w:b/>
          <w:sz w:val="24"/>
          <w:szCs w:val="24"/>
        </w:rPr>
      </w:pPr>
    </w:p>
    <w:p w14:paraId="0AF7D6CA" w14:textId="50A68EBE" w:rsidR="00692A87" w:rsidRPr="006B0427" w:rsidRDefault="001E7C65" w:rsidP="001E7C65">
      <w:pPr>
        <w:spacing w:after="240"/>
        <w:contextualSpacing/>
        <w:rPr>
          <w:rFonts w:ascii="Arial" w:hAnsi="Arial" w:cs="Arial"/>
          <w:b/>
          <w:sz w:val="24"/>
          <w:szCs w:val="24"/>
        </w:rPr>
      </w:pPr>
      <w:r w:rsidRPr="006B0427">
        <w:rPr>
          <w:rFonts w:ascii="Arial" w:hAnsi="Arial" w:cs="Arial"/>
          <w:b/>
          <w:sz w:val="24"/>
          <w:szCs w:val="24"/>
        </w:rPr>
        <w:t xml:space="preserve">Question(s):  </w:t>
      </w:r>
    </w:p>
    <w:p w14:paraId="10937E03" w14:textId="656AD1A4" w:rsidR="001E7C65" w:rsidRDefault="00743446" w:rsidP="00743446">
      <w:pPr>
        <w:pStyle w:val="ListParagraph"/>
        <w:numPr>
          <w:ilvl w:val="0"/>
          <w:numId w:val="43"/>
        </w:numPr>
        <w:spacing w:after="240"/>
        <w:rPr>
          <w:rFonts w:ascii="Arial" w:hAnsi="Arial" w:cs="Arial"/>
          <w:bCs/>
          <w:sz w:val="24"/>
          <w:szCs w:val="24"/>
        </w:rPr>
      </w:pPr>
      <w:r w:rsidRPr="00743446">
        <w:rPr>
          <w:rFonts w:ascii="Arial" w:hAnsi="Arial" w:cs="Arial"/>
          <w:bCs/>
          <w:sz w:val="24"/>
          <w:szCs w:val="24"/>
        </w:rPr>
        <w:t xml:space="preserve">OEB staff has updated the 2026 Rate Generator Model to reflect the preliminary UTRs, HONI’s proposed Sub-Transmission Rates, and the revised TOU </w:t>
      </w:r>
      <w:r w:rsidR="007C685F">
        <w:rPr>
          <w:rFonts w:ascii="Arial" w:hAnsi="Arial" w:cs="Arial"/>
          <w:bCs/>
          <w:sz w:val="24"/>
          <w:szCs w:val="24"/>
        </w:rPr>
        <w:t xml:space="preserve">pricing </w:t>
      </w:r>
      <w:r w:rsidRPr="00743446">
        <w:rPr>
          <w:rFonts w:ascii="Arial" w:hAnsi="Arial" w:cs="Arial"/>
          <w:bCs/>
          <w:sz w:val="24"/>
          <w:szCs w:val="24"/>
        </w:rPr>
        <w:lastRenderedPageBreak/>
        <w:t>and OER values. Please review the updated Rate Generator Model and confirm whether the incorporated changes are accurate. If any discrepancies are identified, please provide corrections and supporting rationale.</w:t>
      </w:r>
    </w:p>
    <w:p w14:paraId="6A9B6AAA" w14:textId="664B206C" w:rsidR="00625FEA" w:rsidRPr="00625FEA" w:rsidRDefault="00625FEA" w:rsidP="00625FEA">
      <w:pPr>
        <w:spacing w:after="240"/>
        <w:rPr>
          <w:rFonts w:ascii="Arial" w:hAnsi="Arial" w:cs="Arial"/>
          <w:b/>
          <w:sz w:val="24"/>
          <w:szCs w:val="24"/>
        </w:rPr>
      </w:pPr>
      <w:r w:rsidRPr="00625FEA">
        <w:rPr>
          <w:rFonts w:ascii="Arial" w:hAnsi="Arial" w:cs="Arial"/>
          <w:b/>
          <w:sz w:val="24"/>
          <w:szCs w:val="24"/>
        </w:rPr>
        <w:t>Staff-</w:t>
      </w:r>
      <w:r w:rsidR="00C935E0">
        <w:rPr>
          <w:rFonts w:ascii="Arial" w:hAnsi="Arial" w:cs="Arial"/>
          <w:b/>
          <w:sz w:val="24"/>
          <w:szCs w:val="24"/>
        </w:rPr>
        <w:t>3</w:t>
      </w:r>
    </w:p>
    <w:p w14:paraId="6757EDCC" w14:textId="6C6E457C" w:rsidR="00625FEA" w:rsidRDefault="00625FEA" w:rsidP="00FA027D">
      <w:pPr>
        <w:spacing w:after="240"/>
        <w:contextualSpacing/>
        <w:rPr>
          <w:rFonts w:ascii="Arial" w:hAnsi="Arial" w:cs="Arial"/>
          <w:b/>
          <w:sz w:val="24"/>
          <w:szCs w:val="24"/>
        </w:rPr>
      </w:pPr>
      <w:r w:rsidRPr="00625FEA">
        <w:rPr>
          <w:rFonts w:ascii="Arial" w:hAnsi="Arial" w:cs="Arial"/>
          <w:b/>
          <w:sz w:val="24"/>
          <w:szCs w:val="24"/>
        </w:rPr>
        <w:t>Ref</w:t>
      </w:r>
      <w:r w:rsidR="00CB4142">
        <w:rPr>
          <w:rFonts w:ascii="Arial" w:hAnsi="Arial" w:cs="Arial"/>
          <w:b/>
          <w:sz w:val="24"/>
          <w:szCs w:val="24"/>
        </w:rPr>
        <w:t xml:space="preserve"> 1</w:t>
      </w:r>
      <w:r w:rsidRPr="00625FEA">
        <w:rPr>
          <w:rFonts w:ascii="Arial" w:hAnsi="Arial" w:cs="Arial"/>
          <w:b/>
          <w:sz w:val="24"/>
          <w:szCs w:val="24"/>
        </w:rPr>
        <w:t>:</w:t>
      </w:r>
      <w:r w:rsidR="00CB4142" w:rsidRPr="00CB4142">
        <w:rPr>
          <w:b/>
          <w:bCs/>
        </w:rPr>
        <w:t xml:space="preserve"> </w:t>
      </w:r>
      <w:r w:rsidR="00CB4142" w:rsidRPr="00CB4142">
        <w:rPr>
          <w:rFonts w:ascii="Arial" w:hAnsi="Arial" w:cs="Arial"/>
          <w:b/>
          <w:bCs/>
          <w:sz w:val="24"/>
          <w:szCs w:val="24"/>
        </w:rPr>
        <w:t>2026 Rate Application</w:t>
      </w:r>
      <w:r w:rsidR="00CB4142" w:rsidRPr="00CB4142">
        <w:rPr>
          <w:rFonts w:ascii="Arial" w:hAnsi="Arial" w:cs="Arial"/>
          <w:b/>
          <w:sz w:val="24"/>
          <w:szCs w:val="24"/>
        </w:rPr>
        <w:t xml:space="preserve">, October 9, 2025, </w:t>
      </w:r>
      <w:r w:rsidR="00C935E0">
        <w:rPr>
          <w:rFonts w:ascii="Arial" w:hAnsi="Arial" w:cs="Arial"/>
          <w:b/>
          <w:sz w:val="24"/>
          <w:szCs w:val="24"/>
        </w:rPr>
        <w:t>p</w:t>
      </w:r>
      <w:r w:rsidR="00CB4142">
        <w:rPr>
          <w:rFonts w:ascii="Arial" w:hAnsi="Arial" w:cs="Arial"/>
          <w:b/>
          <w:sz w:val="24"/>
          <w:szCs w:val="24"/>
        </w:rPr>
        <w:t>.</w:t>
      </w:r>
      <w:r w:rsidR="00CB4142" w:rsidRPr="00CB4142">
        <w:rPr>
          <w:rFonts w:ascii="Arial" w:hAnsi="Arial" w:cs="Arial"/>
          <w:b/>
          <w:sz w:val="24"/>
          <w:szCs w:val="24"/>
        </w:rPr>
        <w:t>13</w:t>
      </w:r>
      <w:r w:rsidRPr="00625FEA">
        <w:rPr>
          <w:rFonts w:ascii="Arial" w:hAnsi="Arial" w:cs="Arial"/>
          <w:b/>
          <w:sz w:val="24"/>
          <w:szCs w:val="24"/>
        </w:rPr>
        <w:t xml:space="preserve"> </w:t>
      </w:r>
    </w:p>
    <w:p w14:paraId="2A9F837B" w14:textId="773EC653" w:rsidR="00FA027D" w:rsidRDefault="00CB4142" w:rsidP="00142EA8">
      <w:pPr>
        <w:spacing w:after="240"/>
        <w:ind w:left="720" w:hanging="720"/>
        <w:contextualSpacing/>
        <w:rPr>
          <w:rFonts w:ascii="Arial" w:hAnsi="Arial" w:cs="Arial"/>
          <w:b/>
          <w:sz w:val="24"/>
          <w:szCs w:val="24"/>
        </w:rPr>
      </w:pPr>
      <w:r>
        <w:rPr>
          <w:rFonts w:ascii="Arial" w:hAnsi="Arial" w:cs="Arial"/>
          <w:b/>
          <w:sz w:val="24"/>
          <w:szCs w:val="24"/>
        </w:rPr>
        <w:t xml:space="preserve">Ref 2: </w:t>
      </w:r>
      <w:r w:rsidR="005C5B40">
        <w:rPr>
          <w:rFonts w:ascii="Arial" w:hAnsi="Arial" w:cs="Arial"/>
          <w:b/>
          <w:sz w:val="24"/>
          <w:szCs w:val="24"/>
        </w:rPr>
        <w:t xml:space="preserve">2026 IRM </w:t>
      </w:r>
      <w:r w:rsidR="00EE4A4C" w:rsidRPr="00EE4A4C">
        <w:rPr>
          <w:rFonts w:ascii="Arial" w:hAnsi="Arial" w:cs="Arial"/>
          <w:b/>
          <w:bCs/>
          <w:sz w:val="24"/>
          <w:szCs w:val="24"/>
        </w:rPr>
        <w:t>Revenue-to-Cost Ratio Adjustment Model</w:t>
      </w:r>
      <w:r w:rsidR="00EE4A4C">
        <w:rPr>
          <w:rFonts w:ascii="Arial" w:hAnsi="Arial" w:cs="Arial"/>
          <w:b/>
          <w:bCs/>
          <w:sz w:val="24"/>
          <w:szCs w:val="24"/>
        </w:rPr>
        <w:t>, Tab 14</w:t>
      </w:r>
      <w:r w:rsidR="005C5B40">
        <w:rPr>
          <w:rFonts w:ascii="Arial" w:hAnsi="Arial" w:cs="Arial"/>
          <w:b/>
          <w:bCs/>
          <w:sz w:val="24"/>
          <w:szCs w:val="24"/>
        </w:rPr>
        <w:t xml:space="preserve">: </w:t>
      </w:r>
      <w:r w:rsidR="00EE4A4C">
        <w:rPr>
          <w:rFonts w:ascii="Arial" w:hAnsi="Arial" w:cs="Arial"/>
          <w:b/>
          <w:bCs/>
          <w:sz w:val="24"/>
          <w:szCs w:val="24"/>
        </w:rPr>
        <w:t>Adjust</w:t>
      </w:r>
      <w:r w:rsidR="008C2F67">
        <w:rPr>
          <w:rFonts w:ascii="Arial" w:hAnsi="Arial" w:cs="Arial"/>
          <w:b/>
          <w:bCs/>
          <w:sz w:val="24"/>
          <w:szCs w:val="24"/>
        </w:rPr>
        <w:t xml:space="preserve"> </w:t>
      </w:r>
      <w:proofErr w:type="gramStart"/>
      <w:r w:rsidR="008C2F67">
        <w:rPr>
          <w:rFonts w:ascii="Arial" w:hAnsi="Arial" w:cs="Arial"/>
          <w:b/>
          <w:bCs/>
          <w:sz w:val="24"/>
          <w:szCs w:val="24"/>
        </w:rPr>
        <w:t>To</w:t>
      </w:r>
      <w:proofErr w:type="gramEnd"/>
      <w:r w:rsidR="008C2F67">
        <w:rPr>
          <w:rFonts w:ascii="Arial" w:hAnsi="Arial" w:cs="Arial"/>
          <w:b/>
          <w:bCs/>
          <w:sz w:val="24"/>
          <w:szCs w:val="24"/>
        </w:rPr>
        <w:t xml:space="preserve"> Proposed Rates, Cell O26</w:t>
      </w:r>
    </w:p>
    <w:p w14:paraId="6C1F1E6D" w14:textId="77777777" w:rsidR="006C2F50" w:rsidRDefault="006C2F50" w:rsidP="00625FEA">
      <w:pPr>
        <w:spacing w:after="240"/>
        <w:contextualSpacing/>
        <w:rPr>
          <w:rFonts w:ascii="Arial" w:hAnsi="Arial" w:cs="Arial"/>
          <w:b/>
          <w:sz w:val="24"/>
          <w:szCs w:val="24"/>
        </w:rPr>
      </w:pPr>
    </w:p>
    <w:p w14:paraId="4F6B87C3" w14:textId="77777777" w:rsidR="007B03B0" w:rsidRDefault="00625FEA" w:rsidP="007B03B0">
      <w:pPr>
        <w:spacing w:after="240"/>
        <w:contextualSpacing/>
        <w:rPr>
          <w:rFonts w:ascii="Arial" w:hAnsi="Arial" w:cs="Arial"/>
          <w:b/>
          <w:sz w:val="24"/>
          <w:szCs w:val="24"/>
        </w:rPr>
      </w:pPr>
      <w:r w:rsidRPr="00625FEA">
        <w:rPr>
          <w:rFonts w:ascii="Arial" w:hAnsi="Arial" w:cs="Arial"/>
          <w:b/>
          <w:sz w:val="24"/>
          <w:szCs w:val="24"/>
        </w:rPr>
        <w:t xml:space="preserve">Preamble: </w:t>
      </w:r>
    </w:p>
    <w:p w14:paraId="6A510887" w14:textId="5E2869B1" w:rsidR="001C058F" w:rsidRPr="007B03B0" w:rsidRDefault="001C058F" w:rsidP="007B03B0">
      <w:pPr>
        <w:spacing w:after="240"/>
        <w:contextualSpacing/>
        <w:rPr>
          <w:rFonts w:ascii="Arial" w:hAnsi="Arial" w:cs="Arial"/>
          <w:b/>
          <w:sz w:val="24"/>
          <w:szCs w:val="24"/>
        </w:rPr>
      </w:pPr>
      <w:r w:rsidRPr="001C058F">
        <w:rPr>
          <w:rFonts w:ascii="Arial" w:hAnsi="Arial" w:cs="Arial"/>
          <w:bCs/>
          <w:sz w:val="24"/>
          <w:szCs w:val="24"/>
        </w:rPr>
        <w:t>OEB staff notes that Northern Ontario Wires states in Reference 1 that the Street Lighting service classification will experience a $0.2828/kW decrease in the volumetric charge. However, upon reviewing the Revenue-to-Cost Ratio Adjustment Model (Reference 2), OEB staff observes that the model reflects an increase of $0.2828/kW in the volumetric charge rather than a decrease as indicated in the application.</w:t>
      </w:r>
    </w:p>
    <w:p w14:paraId="409A4D04" w14:textId="77777777" w:rsidR="00A14A4E" w:rsidRDefault="00A14A4E" w:rsidP="00D57BAA">
      <w:pPr>
        <w:spacing w:after="240"/>
        <w:contextualSpacing/>
        <w:rPr>
          <w:rFonts w:ascii="Arial" w:hAnsi="Arial" w:cs="Arial"/>
          <w:b/>
          <w:sz w:val="24"/>
          <w:szCs w:val="24"/>
        </w:rPr>
      </w:pPr>
    </w:p>
    <w:p w14:paraId="557D9CAE" w14:textId="5CFF1375" w:rsidR="00D57BAA" w:rsidRDefault="00D57BAA" w:rsidP="00D57BAA">
      <w:pPr>
        <w:spacing w:after="240"/>
        <w:contextualSpacing/>
        <w:rPr>
          <w:rFonts w:ascii="Arial" w:hAnsi="Arial" w:cs="Arial"/>
          <w:b/>
          <w:sz w:val="24"/>
          <w:szCs w:val="24"/>
        </w:rPr>
      </w:pPr>
      <w:r w:rsidRPr="006B0427">
        <w:rPr>
          <w:rFonts w:ascii="Arial" w:hAnsi="Arial" w:cs="Arial"/>
          <w:b/>
          <w:sz w:val="24"/>
          <w:szCs w:val="24"/>
        </w:rPr>
        <w:t xml:space="preserve">Question(s):  </w:t>
      </w:r>
    </w:p>
    <w:p w14:paraId="10CF7825" w14:textId="41E1F12C" w:rsidR="00D26B70" w:rsidRDefault="00D26B70" w:rsidP="00D26B70">
      <w:pPr>
        <w:pStyle w:val="ListParagraph"/>
        <w:numPr>
          <w:ilvl w:val="0"/>
          <w:numId w:val="44"/>
        </w:numPr>
        <w:spacing w:after="240"/>
        <w:rPr>
          <w:rFonts w:ascii="Arial" w:hAnsi="Arial" w:cs="Arial"/>
          <w:bCs/>
          <w:sz w:val="24"/>
          <w:szCs w:val="24"/>
        </w:rPr>
      </w:pPr>
      <w:r w:rsidRPr="00D26B70">
        <w:rPr>
          <w:rFonts w:ascii="Arial" w:hAnsi="Arial" w:cs="Arial"/>
          <w:bCs/>
          <w:sz w:val="24"/>
          <w:szCs w:val="24"/>
        </w:rPr>
        <w:t xml:space="preserve">Please confirm whether the volumetric rate for the Street Lighting service classification is intended to increase or decrease, and </w:t>
      </w:r>
      <w:r w:rsidR="00191378">
        <w:rPr>
          <w:rFonts w:ascii="Arial" w:hAnsi="Arial" w:cs="Arial"/>
          <w:bCs/>
          <w:sz w:val="24"/>
          <w:szCs w:val="24"/>
        </w:rPr>
        <w:t xml:space="preserve">if necessary, </w:t>
      </w:r>
      <w:r w:rsidRPr="00D26B70">
        <w:rPr>
          <w:rFonts w:ascii="Arial" w:hAnsi="Arial" w:cs="Arial"/>
          <w:bCs/>
          <w:sz w:val="24"/>
          <w:szCs w:val="24"/>
        </w:rPr>
        <w:t>update the Revenue-to-Cost Ratio Adjustment Model accordingly.</w:t>
      </w:r>
    </w:p>
    <w:p w14:paraId="6C1F84C0" w14:textId="22E8C46C" w:rsidR="00523438" w:rsidRDefault="00523438" w:rsidP="00CB1F0B">
      <w:pPr>
        <w:spacing w:after="240"/>
        <w:contextualSpacing/>
        <w:rPr>
          <w:rFonts w:ascii="Arial" w:hAnsi="Arial" w:cs="Arial"/>
          <w:b/>
          <w:sz w:val="24"/>
          <w:szCs w:val="24"/>
        </w:rPr>
      </w:pPr>
      <w:r>
        <w:rPr>
          <w:rFonts w:ascii="Arial" w:hAnsi="Arial" w:cs="Arial"/>
          <w:b/>
          <w:sz w:val="24"/>
          <w:szCs w:val="24"/>
        </w:rPr>
        <w:t>Staff-</w:t>
      </w:r>
      <w:r w:rsidR="00191378">
        <w:rPr>
          <w:rFonts w:ascii="Arial" w:hAnsi="Arial" w:cs="Arial"/>
          <w:b/>
          <w:sz w:val="24"/>
          <w:szCs w:val="24"/>
        </w:rPr>
        <w:t>4</w:t>
      </w:r>
    </w:p>
    <w:p w14:paraId="61FE926B" w14:textId="77777777" w:rsidR="007B03B0" w:rsidRDefault="007B03B0" w:rsidP="00CB1F0B">
      <w:pPr>
        <w:spacing w:after="240"/>
        <w:contextualSpacing/>
        <w:rPr>
          <w:rFonts w:ascii="Arial" w:hAnsi="Arial" w:cs="Arial"/>
          <w:b/>
          <w:sz w:val="24"/>
          <w:szCs w:val="24"/>
        </w:rPr>
      </w:pPr>
    </w:p>
    <w:p w14:paraId="7661367D" w14:textId="6887D43D" w:rsidR="00CB1F0B" w:rsidRDefault="005C5B40" w:rsidP="00142EA8">
      <w:pPr>
        <w:spacing w:after="240"/>
        <w:ind w:left="720" w:hanging="720"/>
        <w:contextualSpacing/>
        <w:rPr>
          <w:rFonts w:ascii="Arial" w:hAnsi="Arial" w:cs="Arial"/>
          <w:b/>
          <w:sz w:val="24"/>
          <w:szCs w:val="24"/>
        </w:rPr>
      </w:pPr>
      <w:r w:rsidRPr="00CB1F0B">
        <w:rPr>
          <w:rFonts w:ascii="Arial" w:hAnsi="Arial" w:cs="Arial"/>
          <w:b/>
          <w:sz w:val="24"/>
          <w:szCs w:val="24"/>
        </w:rPr>
        <w:t xml:space="preserve">Ref 1: </w:t>
      </w:r>
      <w:r w:rsidR="009F3632">
        <w:rPr>
          <w:rFonts w:ascii="Arial" w:hAnsi="Arial" w:cs="Arial"/>
          <w:b/>
          <w:sz w:val="24"/>
          <w:szCs w:val="24"/>
        </w:rPr>
        <w:t xml:space="preserve">EB-2025-0017, </w:t>
      </w:r>
      <w:r w:rsidR="00D16534" w:rsidRPr="00D16534">
        <w:rPr>
          <w:rFonts w:ascii="Arial" w:hAnsi="Arial" w:cs="Arial"/>
          <w:b/>
          <w:sz w:val="24"/>
          <w:szCs w:val="24"/>
        </w:rPr>
        <w:t>2026 IRM Revenue-to-Cost Ratio Adjustment Model</w:t>
      </w:r>
      <w:r w:rsidRPr="00CB1F0B">
        <w:rPr>
          <w:rFonts w:ascii="Arial" w:hAnsi="Arial" w:cs="Arial"/>
          <w:b/>
          <w:sz w:val="24"/>
          <w:szCs w:val="24"/>
        </w:rPr>
        <w:t>,</w:t>
      </w:r>
      <w:r w:rsidR="00D16534" w:rsidRPr="00D16534">
        <w:rPr>
          <w:rFonts w:ascii="Arial" w:hAnsi="Arial" w:cs="Arial"/>
          <w:b/>
          <w:sz w:val="24"/>
          <w:szCs w:val="24"/>
        </w:rPr>
        <w:t xml:space="preserve"> Tab </w:t>
      </w:r>
      <w:r w:rsidR="00906A69">
        <w:rPr>
          <w:rFonts w:ascii="Arial" w:hAnsi="Arial" w:cs="Arial"/>
          <w:b/>
          <w:sz w:val="24"/>
          <w:szCs w:val="24"/>
        </w:rPr>
        <w:t>6</w:t>
      </w:r>
      <w:r w:rsidR="00D16534" w:rsidRPr="00D16534">
        <w:rPr>
          <w:rFonts w:ascii="Arial" w:hAnsi="Arial" w:cs="Arial"/>
          <w:b/>
          <w:sz w:val="24"/>
          <w:szCs w:val="24"/>
        </w:rPr>
        <w:t xml:space="preserve">: </w:t>
      </w:r>
      <w:r w:rsidR="00B33DC0">
        <w:rPr>
          <w:rFonts w:ascii="Arial" w:hAnsi="Arial" w:cs="Arial"/>
          <w:b/>
          <w:sz w:val="24"/>
          <w:szCs w:val="24"/>
        </w:rPr>
        <w:t>Decision Cost Revenue Adj</w:t>
      </w:r>
      <w:r w:rsidRPr="00CB1F0B">
        <w:rPr>
          <w:rFonts w:ascii="Arial" w:hAnsi="Arial" w:cs="Arial"/>
          <w:b/>
          <w:sz w:val="24"/>
          <w:szCs w:val="24"/>
        </w:rPr>
        <w:t>,</w:t>
      </w:r>
      <w:r w:rsidR="00CB1F0B" w:rsidRPr="00CB1F0B">
        <w:rPr>
          <w:rFonts w:ascii="Arial" w:hAnsi="Arial" w:cs="Arial"/>
          <w:b/>
          <w:sz w:val="24"/>
          <w:szCs w:val="24"/>
        </w:rPr>
        <w:t xml:space="preserve"> Column </w:t>
      </w:r>
      <w:r w:rsidR="00B33DC0">
        <w:rPr>
          <w:rFonts w:ascii="Arial" w:hAnsi="Arial" w:cs="Arial"/>
          <w:b/>
          <w:sz w:val="24"/>
          <w:szCs w:val="24"/>
        </w:rPr>
        <w:t>F</w:t>
      </w:r>
    </w:p>
    <w:p w14:paraId="5AF6C249" w14:textId="229AF759" w:rsidR="00D16534" w:rsidRPr="006E0328" w:rsidRDefault="00CB1F0B" w:rsidP="00142EA8">
      <w:pPr>
        <w:spacing w:after="240"/>
        <w:ind w:left="720" w:hanging="720"/>
        <w:contextualSpacing/>
        <w:rPr>
          <w:rFonts w:ascii="Arial" w:hAnsi="Arial" w:cs="Arial"/>
          <w:b/>
          <w:sz w:val="24"/>
          <w:szCs w:val="24"/>
        </w:rPr>
      </w:pPr>
      <w:r>
        <w:rPr>
          <w:rFonts w:ascii="Arial" w:hAnsi="Arial" w:cs="Arial"/>
          <w:b/>
          <w:sz w:val="24"/>
          <w:szCs w:val="24"/>
        </w:rPr>
        <w:t xml:space="preserve">Ref 2: </w:t>
      </w:r>
      <w:r w:rsidR="009F3632">
        <w:rPr>
          <w:rFonts w:ascii="Arial" w:hAnsi="Arial" w:cs="Arial"/>
          <w:b/>
          <w:sz w:val="24"/>
          <w:szCs w:val="24"/>
        </w:rPr>
        <w:t>EB-202</w:t>
      </w:r>
      <w:r w:rsidR="00BE35E4">
        <w:rPr>
          <w:rFonts w:ascii="Arial" w:hAnsi="Arial" w:cs="Arial"/>
          <w:b/>
          <w:sz w:val="24"/>
          <w:szCs w:val="24"/>
        </w:rPr>
        <w:t>5</w:t>
      </w:r>
      <w:r w:rsidR="009F3632">
        <w:rPr>
          <w:rFonts w:ascii="Arial" w:hAnsi="Arial" w:cs="Arial"/>
          <w:b/>
          <w:sz w:val="24"/>
          <w:szCs w:val="24"/>
        </w:rPr>
        <w:t>-0</w:t>
      </w:r>
      <w:r w:rsidR="00EC520E">
        <w:rPr>
          <w:rFonts w:ascii="Arial" w:hAnsi="Arial" w:cs="Arial"/>
          <w:b/>
          <w:sz w:val="24"/>
          <w:szCs w:val="24"/>
        </w:rPr>
        <w:t>160</w:t>
      </w:r>
      <w:r w:rsidR="009F3632">
        <w:rPr>
          <w:rFonts w:ascii="Arial" w:hAnsi="Arial" w:cs="Arial"/>
          <w:b/>
          <w:sz w:val="24"/>
          <w:szCs w:val="24"/>
        </w:rPr>
        <w:t xml:space="preserve">, </w:t>
      </w:r>
      <w:r w:rsidR="00C12A1D">
        <w:rPr>
          <w:rFonts w:ascii="Arial" w:hAnsi="Arial" w:cs="Arial"/>
          <w:b/>
          <w:sz w:val="24"/>
          <w:szCs w:val="24"/>
        </w:rPr>
        <w:t>NOW</w:t>
      </w:r>
      <w:r w:rsidR="008829E4">
        <w:rPr>
          <w:rFonts w:ascii="Arial" w:hAnsi="Arial" w:cs="Arial"/>
          <w:b/>
          <w:sz w:val="24"/>
          <w:szCs w:val="24"/>
        </w:rPr>
        <w:t>_2025_Rev_Reqt_Workform_</w:t>
      </w:r>
      <w:r w:rsidR="00EC520E">
        <w:rPr>
          <w:rFonts w:ascii="Arial" w:hAnsi="Arial" w:cs="Arial"/>
          <w:b/>
          <w:sz w:val="24"/>
          <w:szCs w:val="24"/>
        </w:rPr>
        <w:t>A</w:t>
      </w:r>
      <w:r w:rsidR="00F61826">
        <w:rPr>
          <w:rFonts w:ascii="Arial" w:hAnsi="Arial" w:cs="Arial"/>
          <w:b/>
          <w:sz w:val="24"/>
          <w:szCs w:val="24"/>
        </w:rPr>
        <w:t>_V2_20250507</w:t>
      </w:r>
      <w:r w:rsidRPr="006E0328">
        <w:rPr>
          <w:rFonts w:ascii="Arial" w:hAnsi="Arial" w:cs="Arial"/>
          <w:b/>
          <w:sz w:val="24"/>
          <w:szCs w:val="24"/>
        </w:rPr>
        <w:t>,</w:t>
      </w:r>
      <w:r w:rsidR="00D16534" w:rsidRPr="00D16534">
        <w:rPr>
          <w:rFonts w:ascii="Arial" w:hAnsi="Arial" w:cs="Arial"/>
          <w:b/>
          <w:sz w:val="24"/>
          <w:szCs w:val="24"/>
        </w:rPr>
        <w:t xml:space="preserve"> Tab</w:t>
      </w:r>
      <w:r w:rsidRPr="006E0328">
        <w:rPr>
          <w:rFonts w:ascii="Arial" w:hAnsi="Arial" w:cs="Arial"/>
          <w:b/>
          <w:sz w:val="24"/>
          <w:szCs w:val="24"/>
        </w:rPr>
        <w:t xml:space="preserve"> 1</w:t>
      </w:r>
      <w:r w:rsidR="00225C04">
        <w:rPr>
          <w:rFonts w:ascii="Arial" w:hAnsi="Arial" w:cs="Arial"/>
          <w:b/>
          <w:sz w:val="24"/>
          <w:szCs w:val="24"/>
        </w:rPr>
        <w:t>1</w:t>
      </w:r>
      <w:r w:rsidR="00D16534" w:rsidRPr="00D16534">
        <w:rPr>
          <w:rFonts w:ascii="Arial" w:hAnsi="Arial" w:cs="Arial"/>
          <w:b/>
          <w:sz w:val="24"/>
          <w:szCs w:val="24"/>
        </w:rPr>
        <w:t xml:space="preserve">: </w:t>
      </w:r>
      <w:proofErr w:type="spellStart"/>
      <w:r w:rsidR="00225C04">
        <w:rPr>
          <w:rFonts w:ascii="Arial" w:hAnsi="Arial" w:cs="Arial"/>
          <w:b/>
          <w:sz w:val="24"/>
          <w:szCs w:val="24"/>
        </w:rPr>
        <w:t>Cost_Allocation</w:t>
      </w:r>
      <w:proofErr w:type="spellEnd"/>
      <w:r w:rsidR="00225C04">
        <w:rPr>
          <w:rFonts w:ascii="Arial" w:hAnsi="Arial" w:cs="Arial"/>
          <w:b/>
          <w:sz w:val="24"/>
          <w:szCs w:val="24"/>
        </w:rPr>
        <w:t>, Column G</w:t>
      </w:r>
      <w:r w:rsidR="00997488">
        <w:rPr>
          <w:rFonts w:ascii="Arial" w:hAnsi="Arial" w:cs="Arial"/>
          <w:b/>
          <w:sz w:val="24"/>
          <w:szCs w:val="24"/>
        </w:rPr>
        <w:t>, Cells G</w:t>
      </w:r>
      <w:r w:rsidR="00B62F7F">
        <w:rPr>
          <w:rFonts w:ascii="Arial" w:hAnsi="Arial" w:cs="Arial"/>
          <w:b/>
          <w:sz w:val="24"/>
          <w:szCs w:val="24"/>
        </w:rPr>
        <w:t>13</w:t>
      </w:r>
      <w:r w:rsidR="00997488">
        <w:rPr>
          <w:rFonts w:ascii="Arial" w:hAnsi="Arial" w:cs="Arial"/>
          <w:b/>
          <w:sz w:val="24"/>
          <w:szCs w:val="24"/>
        </w:rPr>
        <w:t>0-134</w:t>
      </w:r>
    </w:p>
    <w:p w14:paraId="0EC72331" w14:textId="772E1AC6" w:rsidR="00C82E3D" w:rsidRPr="006E0328" w:rsidRDefault="00C82E3D" w:rsidP="00142EA8">
      <w:pPr>
        <w:spacing w:after="240"/>
        <w:ind w:left="720" w:hanging="720"/>
        <w:contextualSpacing/>
        <w:rPr>
          <w:rFonts w:ascii="Arial" w:hAnsi="Arial" w:cs="Arial"/>
          <w:b/>
          <w:sz w:val="24"/>
          <w:szCs w:val="24"/>
        </w:rPr>
      </w:pPr>
      <w:r>
        <w:rPr>
          <w:rFonts w:ascii="Arial" w:hAnsi="Arial" w:cs="Arial"/>
          <w:b/>
          <w:sz w:val="24"/>
          <w:szCs w:val="24"/>
        </w:rPr>
        <w:t xml:space="preserve">Ref 3: </w:t>
      </w:r>
      <w:r w:rsidR="001F067E">
        <w:rPr>
          <w:rFonts w:ascii="Arial" w:hAnsi="Arial" w:cs="Arial"/>
          <w:b/>
          <w:sz w:val="24"/>
          <w:szCs w:val="24"/>
        </w:rPr>
        <w:t xml:space="preserve">EB-2025-0017, </w:t>
      </w:r>
      <w:r w:rsidR="00324E4A" w:rsidRPr="00CB4142">
        <w:rPr>
          <w:rFonts w:ascii="Arial" w:hAnsi="Arial" w:cs="Arial"/>
          <w:b/>
          <w:bCs/>
          <w:sz w:val="24"/>
          <w:szCs w:val="24"/>
        </w:rPr>
        <w:t>2026 Rate Application</w:t>
      </w:r>
      <w:r w:rsidR="00324E4A" w:rsidRPr="00CB4142">
        <w:rPr>
          <w:rFonts w:ascii="Arial" w:hAnsi="Arial" w:cs="Arial"/>
          <w:b/>
          <w:sz w:val="24"/>
          <w:szCs w:val="24"/>
        </w:rPr>
        <w:t>, October 9, 2025,</w:t>
      </w:r>
      <w:r w:rsidR="00324E4A">
        <w:rPr>
          <w:rFonts w:ascii="Arial" w:hAnsi="Arial" w:cs="Arial"/>
          <w:b/>
          <w:sz w:val="24"/>
          <w:szCs w:val="24"/>
        </w:rPr>
        <w:t xml:space="preserve"> Revenue Cost Ratio Adjustment</w:t>
      </w:r>
      <w:r w:rsidR="00533D0A">
        <w:rPr>
          <w:rFonts w:ascii="Arial" w:hAnsi="Arial" w:cs="Arial"/>
          <w:b/>
          <w:sz w:val="24"/>
          <w:szCs w:val="24"/>
        </w:rPr>
        <w:t>,</w:t>
      </w:r>
      <w:r w:rsidR="00324E4A" w:rsidRPr="00CB4142">
        <w:rPr>
          <w:rFonts w:ascii="Arial" w:hAnsi="Arial" w:cs="Arial"/>
          <w:b/>
          <w:sz w:val="24"/>
          <w:szCs w:val="24"/>
        </w:rPr>
        <w:t xml:space="preserve"> </w:t>
      </w:r>
      <w:r w:rsidR="00324E4A">
        <w:rPr>
          <w:rFonts w:ascii="Arial" w:hAnsi="Arial" w:cs="Arial"/>
          <w:b/>
          <w:sz w:val="24"/>
          <w:szCs w:val="24"/>
        </w:rPr>
        <w:t>p.</w:t>
      </w:r>
      <w:r w:rsidR="00324E4A" w:rsidRPr="00CB4142">
        <w:rPr>
          <w:rFonts w:ascii="Arial" w:hAnsi="Arial" w:cs="Arial"/>
          <w:b/>
          <w:sz w:val="24"/>
          <w:szCs w:val="24"/>
        </w:rPr>
        <w:t>13</w:t>
      </w:r>
    </w:p>
    <w:p w14:paraId="5E73A130" w14:textId="77777777" w:rsidR="006E0328" w:rsidRPr="00D16534" w:rsidRDefault="006E0328" w:rsidP="00CB1F0B">
      <w:pPr>
        <w:spacing w:after="240"/>
        <w:contextualSpacing/>
        <w:rPr>
          <w:rFonts w:ascii="Arial" w:hAnsi="Arial" w:cs="Arial"/>
          <w:b/>
          <w:sz w:val="24"/>
          <w:szCs w:val="24"/>
        </w:rPr>
      </w:pPr>
    </w:p>
    <w:p w14:paraId="478840C3" w14:textId="68AC79FF" w:rsidR="00D16534" w:rsidRDefault="006E0328" w:rsidP="007B03B0">
      <w:pPr>
        <w:spacing w:after="240"/>
        <w:contextualSpacing/>
        <w:rPr>
          <w:rFonts w:ascii="Arial" w:hAnsi="Arial" w:cs="Arial"/>
          <w:bCs/>
          <w:sz w:val="24"/>
          <w:szCs w:val="24"/>
        </w:rPr>
      </w:pPr>
      <w:r w:rsidRPr="0044110D">
        <w:rPr>
          <w:rFonts w:ascii="Arial" w:hAnsi="Arial" w:cs="Arial"/>
          <w:b/>
          <w:sz w:val="24"/>
          <w:szCs w:val="24"/>
        </w:rPr>
        <w:t>Preamble</w:t>
      </w:r>
      <w:r w:rsidR="00D16534" w:rsidRPr="0044110D">
        <w:rPr>
          <w:rFonts w:ascii="Arial" w:hAnsi="Arial" w:cs="Arial"/>
          <w:b/>
          <w:sz w:val="24"/>
          <w:szCs w:val="24"/>
        </w:rPr>
        <w:t>:</w:t>
      </w:r>
      <w:r w:rsidR="00D16534" w:rsidRPr="0044110D">
        <w:rPr>
          <w:rFonts w:ascii="Arial" w:hAnsi="Arial" w:cs="Arial"/>
          <w:b/>
          <w:sz w:val="24"/>
          <w:szCs w:val="24"/>
        </w:rPr>
        <w:br/>
      </w:r>
      <w:r w:rsidR="00DC6674" w:rsidRPr="0044110D">
        <w:rPr>
          <w:rFonts w:ascii="Arial" w:hAnsi="Arial" w:cs="Arial"/>
          <w:bCs/>
          <w:sz w:val="24"/>
          <w:szCs w:val="24"/>
        </w:rPr>
        <w:t>OEB staff notes that the values in Reference 1 do not reconcile with the values in Reference 2.</w:t>
      </w:r>
    </w:p>
    <w:p w14:paraId="6726E0D0" w14:textId="77777777" w:rsidR="0044110D" w:rsidRPr="0044110D" w:rsidRDefault="0044110D" w:rsidP="007B03B0">
      <w:pPr>
        <w:spacing w:after="240"/>
        <w:contextualSpacing/>
        <w:rPr>
          <w:rFonts w:ascii="Arial" w:hAnsi="Arial" w:cs="Arial"/>
          <w:b/>
          <w:sz w:val="24"/>
          <w:szCs w:val="24"/>
        </w:rPr>
      </w:pPr>
    </w:p>
    <w:p w14:paraId="2C0B1A57" w14:textId="3F14B33F" w:rsidR="00C6718D" w:rsidRDefault="00C6718D" w:rsidP="007B03B0">
      <w:pPr>
        <w:spacing w:after="240"/>
        <w:contextualSpacing/>
        <w:rPr>
          <w:rFonts w:ascii="Arial" w:hAnsi="Arial" w:cs="Arial"/>
          <w:bCs/>
          <w:sz w:val="24"/>
          <w:szCs w:val="24"/>
        </w:rPr>
      </w:pPr>
      <w:r w:rsidRPr="00C6718D">
        <w:rPr>
          <w:rFonts w:ascii="Arial" w:hAnsi="Arial" w:cs="Arial"/>
          <w:bCs/>
          <w:sz w:val="24"/>
          <w:szCs w:val="24"/>
        </w:rPr>
        <w:t xml:space="preserve">OEB staff </w:t>
      </w:r>
      <w:r w:rsidR="00EA14C1">
        <w:rPr>
          <w:rFonts w:ascii="Arial" w:hAnsi="Arial" w:cs="Arial"/>
          <w:bCs/>
          <w:sz w:val="24"/>
          <w:szCs w:val="24"/>
        </w:rPr>
        <w:t xml:space="preserve">also </w:t>
      </w:r>
      <w:r w:rsidRPr="00C6718D">
        <w:rPr>
          <w:rFonts w:ascii="Arial" w:hAnsi="Arial" w:cs="Arial"/>
          <w:bCs/>
          <w:sz w:val="24"/>
          <w:szCs w:val="24"/>
        </w:rPr>
        <w:t>notes that Reference 3 refers to the last Cost of Service application (EB-2024-0046). However, a Motion to Review and Vary was filed on May 7, 2025, under file number EB-202</w:t>
      </w:r>
      <w:r w:rsidR="00F059BE">
        <w:rPr>
          <w:rFonts w:ascii="Arial" w:hAnsi="Arial" w:cs="Arial"/>
          <w:bCs/>
          <w:sz w:val="24"/>
          <w:szCs w:val="24"/>
        </w:rPr>
        <w:t>5</w:t>
      </w:r>
      <w:r w:rsidRPr="00C6718D">
        <w:rPr>
          <w:rFonts w:ascii="Arial" w:hAnsi="Arial" w:cs="Arial"/>
          <w:bCs/>
          <w:sz w:val="24"/>
          <w:szCs w:val="24"/>
        </w:rPr>
        <w:t xml:space="preserve">-0160, which resulted in a revised Revenue Requirement </w:t>
      </w:r>
      <w:proofErr w:type="spellStart"/>
      <w:r w:rsidRPr="00C6718D">
        <w:rPr>
          <w:rFonts w:ascii="Arial" w:hAnsi="Arial" w:cs="Arial"/>
          <w:bCs/>
          <w:sz w:val="24"/>
          <w:szCs w:val="24"/>
        </w:rPr>
        <w:t>Work</w:t>
      </w:r>
      <w:r w:rsidR="00760301">
        <w:rPr>
          <w:rFonts w:ascii="Arial" w:hAnsi="Arial" w:cs="Arial"/>
          <w:bCs/>
          <w:sz w:val="24"/>
          <w:szCs w:val="24"/>
        </w:rPr>
        <w:t>f</w:t>
      </w:r>
      <w:r w:rsidRPr="00C6718D">
        <w:rPr>
          <w:rFonts w:ascii="Arial" w:hAnsi="Arial" w:cs="Arial"/>
          <w:bCs/>
          <w:sz w:val="24"/>
          <w:szCs w:val="24"/>
        </w:rPr>
        <w:t>orm</w:t>
      </w:r>
      <w:proofErr w:type="spellEnd"/>
      <w:r w:rsidRPr="00C6718D">
        <w:rPr>
          <w:rFonts w:ascii="Arial" w:hAnsi="Arial" w:cs="Arial"/>
          <w:bCs/>
          <w:sz w:val="24"/>
          <w:szCs w:val="24"/>
        </w:rPr>
        <w:t>. Th</w:t>
      </w:r>
      <w:r w:rsidR="001576FB">
        <w:rPr>
          <w:rFonts w:ascii="Arial" w:hAnsi="Arial" w:cs="Arial"/>
          <w:bCs/>
          <w:sz w:val="24"/>
          <w:szCs w:val="24"/>
        </w:rPr>
        <w:t>e</w:t>
      </w:r>
      <w:r w:rsidRPr="00C6718D">
        <w:rPr>
          <w:rFonts w:ascii="Arial" w:hAnsi="Arial" w:cs="Arial"/>
          <w:bCs/>
          <w:sz w:val="24"/>
          <w:szCs w:val="24"/>
        </w:rPr>
        <w:t xml:space="preserve"> motion reviewed the Decision and Order in EB-2024-0046, and resulting revisions </w:t>
      </w:r>
      <w:r w:rsidR="00707E15">
        <w:rPr>
          <w:rFonts w:ascii="Arial" w:hAnsi="Arial" w:cs="Arial"/>
          <w:bCs/>
          <w:sz w:val="24"/>
          <w:szCs w:val="24"/>
        </w:rPr>
        <w:t xml:space="preserve">/ updates were made </w:t>
      </w:r>
      <w:r w:rsidRPr="00C6718D">
        <w:rPr>
          <w:rFonts w:ascii="Arial" w:hAnsi="Arial" w:cs="Arial"/>
          <w:bCs/>
          <w:sz w:val="24"/>
          <w:szCs w:val="24"/>
        </w:rPr>
        <w:t xml:space="preserve">in the Revenue Requirement </w:t>
      </w:r>
      <w:proofErr w:type="spellStart"/>
      <w:r w:rsidRPr="00C6718D">
        <w:rPr>
          <w:rFonts w:ascii="Arial" w:hAnsi="Arial" w:cs="Arial"/>
          <w:bCs/>
          <w:sz w:val="24"/>
          <w:szCs w:val="24"/>
        </w:rPr>
        <w:t>Work</w:t>
      </w:r>
      <w:r w:rsidR="001576FB">
        <w:rPr>
          <w:rFonts w:ascii="Arial" w:hAnsi="Arial" w:cs="Arial"/>
          <w:bCs/>
          <w:sz w:val="24"/>
          <w:szCs w:val="24"/>
        </w:rPr>
        <w:t>f</w:t>
      </w:r>
      <w:r w:rsidRPr="00C6718D">
        <w:rPr>
          <w:rFonts w:ascii="Arial" w:hAnsi="Arial" w:cs="Arial"/>
          <w:bCs/>
          <w:sz w:val="24"/>
          <w:szCs w:val="24"/>
        </w:rPr>
        <w:t>orm</w:t>
      </w:r>
      <w:proofErr w:type="spellEnd"/>
      <w:r w:rsidR="00903301">
        <w:rPr>
          <w:rFonts w:ascii="Arial" w:hAnsi="Arial" w:cs="Arial"/>
          <w:bCs/>
          <w:sz w:val="24"/>
          <w:szCs w:val="24"/>
        </w:rPr>
        <w:t>.</w:t>
      </w:r>
    </w:p>
    <w:p w14:paraId="20F7CFE6" w14:textId="77777777" w:rsidR="00B1520B" w:rsidRDefault="00B1520B" w:rsidP="007B03B0">
      <w:pPr>
        <w:spacing w:after="240"/>
        <w:contextualSpacing/>
        <w:rPr>
          <w:rFonts w:ascii="Arial" w:hAnsi="Arial" w:cs="Arial"/>
          <w:bCs/>
          <w:sz w:val="24"/>
          <w:szCs w:val="24"/>
        </w:rPr>
      </w:pPr>
    </w:p>
    <w:p w14:paraId="57A0C467" w14:textId="1D42F058" w:rsidR="00A14A4E" w:rsidRPr="00D16534" w:rsidRDefault="0036575A" w:rsidP="007B03B0">
      <w:pPr>
        <w:spacing w:after="240"/>
        <w:contextualSpacing/>
        <w:rPr>
          <w:rFonts w:ascii="Arial" w:hAnsi="Arial" w:cs="Arial"/>
          <w:b/>
          <w:sz w:val="24"/>
          <w:szCs w:val="24"/>
        </w:rPr>
      </w:pPr>
      <w:r w:rsidRPr="006B0427">
        <w:rPr>
          <w:rFonts w:ascii="Arial" w:hAnsi="Arial" w:cs="Arial"/>
          <w:b/>
          <w:sz w:val="24"/>
          <w:szCs w:val="24"/>
        </w:rPr>
        <w:t xml:space="preserve">Question(s):  </w:t>
      </w:r>
    </w:p>
    <w:p w14:paraId="2FAAD21F" w14:textId="411AE1C9" w:rsidR="00D07AE6" w:rsidRPr="00673843" w:rsidRDefault="00D16534" w:rsidP="00764DF0">
      <w:pPr>
        <w:pStyle w:val="ListParagraph"/>
        <w:numPr>
          <w:ilvl w:val="0"/>
          <w:numId w:val="50"/>
        </w:numPr>
        <w:spacing w:after="240"/>
        <w:rPr>
          <w:rFonts w:ascii="Arial" w:hAnsi="Arial" w:cs="Arial"/>
          <w:b/>
          <w:sz w:val="24"/>
          <w:szCs w:val="24"/>
        </w:rPr>
      </w:pPr>
      <w:r w:rsidRPr="00AE29C6">
        <w:rPr>
          <w:rFonts w:ascii="Arial" w:hAnsi="Arial" w:cs="Arial"/>
          <w:bCs/>
          <w:sz w:val="24"/>
          <w:szCs w:val="24"/>
          <w:lang w:val="en-US"/>
        </w:rPr>
        <w:t xml:space="preserve">Please </w:t>
      </w:r>
      <w:r w:rsidR="006347D2">
        <w:rPr>
          <w:rFonts w:ascii="Arial" w:hAnsi="Arial" w:cs="Arial"/>
          <w:bCs/>
          <w:sz w:val="24"/>
          <w:szCs w:val="24"/>
          <w:lang w:val="en-US"/>
        </w:rPr>
        <w:t xml:space="preserve">explain why the </w:t>
      </w:r>
      <w:r w:rsidR="00FD258D">
        <w:rPr>
          <w:rFonts w:ascii="Arial" w:hAnsi="Arial" w:cs="Arial"/>
          <w:bCs/>
          <w:sz w:val="24"/>
          <w:szCs w:val="24"/>
          <w:lang w:val="en-US"/>
        </w:rPr>
        <w:t>ratios</w:t>
      </w:r>
      <w:r w:rsidR="006347D2">
        <w:rPr>
          <w:rFonts w:ascii="Arial" w:hAnsi="Arial" w:cs="Arial"/>
          <w:bCs/>
          <w:sz w:val="24"/>
          <w:szCs w:val="24"/>
          <w:lang w:val="en-US"/>
        </w:rPr>
        <w:t xml:space="preserve"> used</w:t>
      </w:r>
      <w:r w:rsidR="00F74A3E">
        <w:rPr>
          <w:rFonts w:ascii="Arial" w:hAnsi="Arial" w:cs="Arial"/>
          <w:bCs/>
          <w:sz w:val="24"/>
          <w:szCs w:val="24"/>
          <w:lang w:val="en-US"/>
        </w:rPr>
        <w:t xml:space="preserve"> in the Revenue-to-Cost Ratio Adjustment Model</w:t>
      </w:r>
      <w:r w:rsidR="00791179">
        <w:rPr>
          <w:rFonts w:ascii="Arial" w:hAnsi="Arial" w:cs="Arial"/>
          <w:bCs/>
          <w:sz w:val="24"/>
          <w:szCs w:val="24"/>
          <w:lang w:val="en-US"/>
        </w:rPr>
        <w:t xml:space="preserve"> filed in this application do not align with those in the Revenue Requirement </w:t>
      </w:r>
      <w:proofErr w:type="spellStart"/>
      <w:r w:rsidR="00791179">
        <w:rPr>
          <w:rFonts w:ascii="Arial" w:hAnsi="Arial" w:cs="Arial"/>
          <w:bCs/>
          <w:sz w:val="24"/>
          <w:szCs w:val="24"/>
          <w:lang w:val="en-US"/>
        </w:rPr>
        <w:t>Workform</w:t>
      </w:r>
      <w:proofErr w:type="spellEnd"/>
      <w:r w:rsidR="00791179">
        <w:rPr>
          <w:rFonts w:ascii="Arial" w:hAnsi="Arial" w:cs="Arial"/>
          <w:bCs/>
          <w:sz w:val="24"/>
          <w:szCs w:val="24"/>
          <w:lang w:val="en-US"/>
        </w:rPr>
        <w:t xml:space="preserve"> from the EB-2025-0160 proceeding.</w:t>
      </w:r>
      <w:r w:rsidRPr="00AE29C6">
        <w:rPr>
          <w:rFonts w:ascii="Arial" w:hAnsi="Arial" w:cs="Arial"/>
          <w:bCs/>
          <w:sz w:val="24"/>
          <w:szCs w:val="24"/>
          <w:lang w:val="en-US"/>
        </w:rPr>
        <w:t xml:space="preserve"> </w:t>
      </w:r>
    </w:p>
    <w:p w14:paraId="51E0FDB3" w14:textId="4335F485" w:rsidR="00BA22FD" w:rsidRPr="00821BC7" w:rsidRDefault="00FE2022" w:rsidP="00887401">
      <w:pPr>
        <w:pStyle w:val="ListParagraph"/>
        <w:numPr>
          <w:ilvl w:val="0"/>
          <w:numId w:val="50"/>
        </w:numPr>
        <w:spacing w:after="240"/>
        <w:rPr>
          <w:rFonts w:ascii="Arial" w:hAnsi="Arial" w:cs="Arial"/>
          <w:b/>
          <w:sz w:val="24"/>
          <w:szCs w:val="24"/>
        </w:rPr>
      </w:pPr>
      <w:r>
        <w:rPr>
          <w:rFonts w:ascii="Arial" w:hAnsi="Arial" w:cs="Arial"/>
          <w:bCs/>
          <w:sz w:val="24"/>
          <w:szCs w:val="24"/>
          <w:lang w:val="en-US"/>
        </w:rPr>
        <w:t>P</w:t>
      </w:r>
      <w:r w:rsidR="00B8119C">
        <w:rPr>
          <w:rFonts w:ascii="Arial" w:hAnsi="Arial" w:cs="Arial"/>
          <w:bCs/>
          <w:sz w:val="24"/>
          <w:szCs w:val="24"/>
          <w:lang w:val="en-US"/>
        </w:rPr>
        <w:t xml:space="preserve">lease </w:t>
      </w:r>
      <w:r w:rsidR="00764DF0" w:rsidRPr="00764DF0">
        <w:rPr>
          <w:rFonts w:ascii="Arial" w:hAnsi="Arial" w:cs="Arial"/>
          <w:bCs/>
          <w:sz w:val="24"/>
          <w:szCs w:val="24"/>
          <w:lang w:val="en-US"/>
        </w:rPr>
        <w:t>provide an updated Revenue-to-Cost Ratio Adjustment Model</w:t>
      </w:r>
      <w:r>
        <w:rPr>
          <w:rFonts w:ascii="Arial" w:hAnsi="Arial" w:cs="Arial"/>
          <w:bCs/>
          <w:sz w:val="24"/>
          <w:szCs w:val="24"/>
          <w:lang w:val="en-US"/>
        </w:rPr>
        <w:t xml:space="preserve"> and Rate Generator Model </w:t>
      </w:r>
      <w:r w:rsidR="00DA03DA">
        <w:rPr>
          <w:rFonts w:ascii="Arial" w:hAnsi="Arial" w:cs="Arial"/>
          <w:bCs/>
          <w:sz w:val="24"/>
          <w:szCs w:val="24"/>
          <w:lang w:val="en-US"/>
        </w:rPr>
        <w:t>reflecting</w:t>
      </w:r>
      <w:r w:rsidR="00B614C9">
        <w:rPr>
          <w:rFonts w:ascii="Arial" w:hAnsi="Arial" w:cs="Arial"/>
          <w:bCs/>
          <w:sz w:val="24"/>
          <w:szCs w:val="24"/>
          <w:lang w:val="en-US"/>
        </w:rPr>
        <w:t xml:space="preserve"> the revenue-to-cost ratios </w:t>
      </w:r>
      <w:r w:rsidR="00D07AE6">
        <w:rPr>
          <w:rFonts w:ascii="Arial" w:hAnsi="Arial" w:cs="Arial"/>
          <w:bCs/>
          <w:sz w:val="24"/>
          <w:szCs w:val="24"/>
          <w:lang w:val="en-US"/>
        </w:rPr>
        <w:t>from the EB-2025-0160 pro</w:t>
      </w:r>
      <w:r w:rsidR="00124F26">
        <w:rPr>
          <w:rFonts w:ascii="Arial" w:hAnsi="Arial" w:cs="Arial"/>
          <w:bCs/>
          <w:sz w:val="24"/>
          <w:szCs w:val="24"/>
          <w:lang w:val="en-US"/>
        </w:rPr>
        <w:t>ceeding</w:t>
      </w:r>
      <w:r w:rsidR="00764DF0" w:rsidRPr="00764DF0">
        <w:rPr>
          <w:rFonts w:ascii="Arial" w:hAnsi="Arial" w:cs="Arial"/>
          <w:bCs/>
          <w:sz w:val="24"/>
          <w:szCs w:val="24"/>
          <w:lang w:val="en-US"/>
        </w:rPr>
        <w:t>.</w:t>
      </w:r>
    </w:p>
    <w:p w14:paraId="323C4F2D" w14:textId="69CADA2A" w:rsidR="00AE55AE" w:rsidRPr="00673843" w:rsidRDefault="00A4352B" w:rsidP="00AE55AE">
      <w:pPr>
        <w:spacing w:after="240"/>
        <w:rPr>
          <w:rFonts w:ascii="Arial" w:hAnsi="Arial" w:cs="Arial"/>
          <w:b/>
          <w:sz w:val="24"/>
          <w:szCs w:val="24"/>
        </w:rPr>
      </w:pPr>
      <w:r w:rsidRPr="00673843">
        <w:rPr>
          <w:rFonts w:ascii="Arial" w:hAnsi="Arial" w:cs="Arial"/>
          <w:b/>
          <w:sz w:val="24"/>
          <w:szCs w:val="24"/>
        </w:rPr>
        <w:t>Staff-5</w:t>
      </w:r>
    </w:p>
    <w:p w14:paraId="414F7477" w14:textId="3A8CCC2B" w:rsidR="00A4352B" w:rsidRPr="00673843" w:rsidRDefault="00A4352B" w:rsidP="00673843">
      <w:pPr>
        <w:spacing w:after="240"/>
        <w:ind w:left="720" w:hanging="720"/>
        <w:contextualSpacing/>
        <w:rPr>
          <w:rFonts w:ascii="Arial" w:hAnsi="Arial" w:cs="Arial"/>
          <w:b/>
          <w:sz w:val="24"/>
          <w:szCs w:val="24"/>
        </w:rPr>
      </w:pPr>
      <w:r w:rsidRPr="00673843">
        <w:rPr>
          <w:rFonts w:ascii="Arial" w:hAnsi="Arial" w:cs="Arial"/>
          <w:b/>
          <w:sz w:val="24"/>
          <w:szCs w:val="24"/>
        </w:rPr>
        <w:t>Ref</w:t>
      </w:r>
      <w:r w:rsidR="00B7335D" w:rsidRPr="00673843">
        <w:rPr>
          <w:rFonts w:ascii="Arial" w:hAnsi="Arial" w:cs="Arial"/>
          <w:b/>
          <w:sz w:val="24"/>
          <w:szCs w:val="24"/>
        </w:rPr>
        <w:t xml:space="preserve"> 1:</w:t>
      </w:r>
      <w:r w:rsidR="00B73C68" w:rsidRPr="00673843">
        <w:rPr>
          <w:rFonts w:ascii="Arial" w:hAnsi="Arial" w:cs="Arial"/>
          <w:b/>
          <w:sz w:val="24"/>
          <w:szCs w:val="24"/>
        </w:rPr>
        <w:t xml:space="preserve"> EB-2025-0017, </w:t>
      </w:r>
      <w:r w:rsidR="00611E3E" w:rsidRPr="00673843">
        <w:rPr>
          <w:rFonts w:ascii="Arial" w:hAnsi="Arial" w:cs="Arial"/>
          <w:b/>
          <w:sz w:val="24"/>
          <w:szCs w:val="24"/>
        </w:rPr>
        <w:t>2026 IRM Application, p.15</w:t>
      </w:r>
    </w:p>
    <w:p w14:paraId="17FCC895" w14:textId="708EC59C" w:rsidR="005B15B8" w:rsidRPr="00673843" w:rsidRDefault="005B15B8" w:rsidP="00673843">
      <w:pPr>
        <w:spacing w:after="240"/>
        <w:ind w:left="720" w:hanging="720"/>
        <w:contextualSpacing/>
        <w:rPr>
          <w:rFonts w:ascii="Arial" w:hAnsi="Arial" w:cs="Arial"/>
          <w:b/>
          <w:sz w:val="24"/>
          <w:szCs w:val="24"/>
        </w:rPr>
      </w:pPr>
      <w:r w:rsidRPr="00673843">
        <w:rPr>
          <w:rFonts w:ascii="Arial" w:hAnsi="Arial" w:cs="Arial"/>
          <w:b/>
          <w:sz w:val="24"/>
          <w:szCs w:val="24"/>
        </w:rPr>
        <w:t xml:space="preserve">Ref 2: </w:t>
      </w:r>
      <w:r w:rsidR="001A04F5" w:rsidRPr="00673843">
        <w:rPr>
          <w:rFonts w:ascii="Arial" w:hAnsi="Arial" w:cs="Arial"/>
          <w:b/>
          <w:sz w:val="24"/>
          <w:szCs w:val="24"/>
        </w:rPr>
        <w:t xml:space="preserve">2026 IRM Rate Generator Model, </w:t>
      </w:r>
      <w:r w:rsidR="00304179" w:rsidRPr="00673843">
        <w:rPr>
          <w:rFonts w:ascii="Arial" w:hAnsi="Arial" w:cs="Arial"/>
          <w:b/>
          <w:sz w:val="24"/>
          <w:szCs w:val="24"/>
        </w:rPr>
        <w:t xml:space="preserve">Tab 21 Bill Impact, </w:t>
      </w:r>
      <w:r w:rsidR="00501945" w:rsidRPr="00673843">
        <w:rPr>
          <w:rFonts w:ascii="Arial" w:hAnsi="Arial" w:cs="Arial"/>
          <w:b/>
          <w:sz w:val="24"/>
          <w:szCs w:val="24"/>
        </w:rPr>
        <w:t>Cell M345</w:t>
      </w:r>
    </w:p>
    <w:p w14:paraId="7ED4274C" w14:textId="2FD08ACF" w:rsidR="007F5A87" w:rsidRPr="00673843" w:rsidRDefault="007F5A87" w:rsidP="00673843">
      <w:pPr>
        <w:spacing w:after="240"/>
        <w:ind w:left="720" w:hanging="720"/>
        <w:contextualSpacing/>
        <w:rPr>
          <w:rFonts w:ascii="Arial" w:hAnsi="Arial" w:cs="Arial"/>
          <w:b/>
          <w:sz w:val="24"/>
          <w:szCs w:val="24"/>
        </w:rPr>
      </w:pPr>
      <w:r w:rsidRPr="00673843">
        <w:rPr>
          <w:rFonts w:ascii="Arial" w:hAnsi="Arial" w:cs="Arial"/>
          <w:b/>
          <w:sz w:val="24"/>
          <w:szCs w:val="24"/>
        </w:rPr>
        <w:t xml:space="preserve">Ref 3: Chapter 3 Filing Requirements, </w:t>
      </w:r>
      <w:r w:rsidR="00DD0BCF" w:rsidRPr="00673843">
        <w:rPr>
          <w:rFonts w:ascii="Arial" w:hAnsi="Arial" w:cs="Arial"/>
          <w:b/>
          <w:sz w:val="24"/>
          <w:szCs w:val="24"/>
        </w:rPr>
        <w:t>Issued June 1</w:t>
      </w:r>
      <w:r w:rsidR="00967958" w:rsidRPr="00673843">
        <w:rPr>
          <w:rFonts w:ascii="Arial" w:hAnsi="Arial" w:cs="Arial"/>
          <w:b/>
          <w:sz w:val="24"/>
          <w:szCs w:val="24"/>
        </w:rPr>
        <w:t>9</w:t>
      </w:r>
      <w:r w:rsidR="00DD0BCF" w:rsidRPr="00673843">
        <w:rPr>
          <w:rFonts w:ascii="Arial" w:hAnsi="Arial" w:cs="Arial"/>
          <w:b/>
          <w:sz w:val="24"/>
          <w:szCs w:val="24"/>
        </w:rPr>
        <w:t>, 202</w:t>
      </w:r>
      <w:r w:rsidR="00967958" w:rsidRPr="00673843">
        <w:rPr>
          <w:rFonts w:ascii="Arial" w:hAnsi="Arial" w:cs="Arial"/>
          <w:b/>
          <w:sz w:val="24"/>
          <w:szCs w:val="24"/>
        </w:rPr>
        <w:t>5</w:t>
      </w:r>
      <w:r w:rsidR="00DD0BCF" w:rsidRPr="00673843">
        <w:rPr>
          <w:rFonts w:ascii="Arial" w:hAnsi="Arial" w:cs="Arial"/>
          <w:b/>
          <w:sz w:val="24"/>
          <w:szCs w:val="24"/>
        </w:rPr>
        <w:t>, p. 8</w:t>
      </w:r>
    </w:p>
    <w:p w14:paraId="7FFDBBCC" w14:textId="77777777" w:rsidR="00257A5C" w:rsidRDefault="003C6AEF" w:rsidP="003B7192">
      <w:pPr>
        <w:spacing w:after="240"/>
        <w:contextualSpacing/>
        <w:rPr>
          <w:rFonts w:ascii="Arial" w:hAnsi="Arial" w:cs="Arial"/>
          <w:b/>
          <w:sz w:val="24"/>
          <w:szCs w:val="24"/>
        </w:rPr>
      </w:pPr>
      <w:r>
        <w:rPr>
          <w:rFonts w:ascii="Arial" w:hAnsi="Arial" w:cs="Arial"/>
          <w:b/>
          <w:sz w:val="24"/>
          <w:szCs w:val="24"/>
        </w:rPr>
        <w:br/>
      </w:r>
      <w:r w:rsidR="001E625A" w:rsidRPr="00673843">
        <w:rPr>
          <w:rFonts w:ascii="Arial" w:hAnsi="Arial" w:cs="Arial"/>
          <w:b/>
          <w:sz w:val="24"/>
          <w:szCs w:val="24"/>
        </w:rPr>
        <w:t>Preamble:</w:t>
      </w:r>
    </w:p>
    <w:p w14:paraId="5D1FD899" w14:textId="0D8DCC85" w:rsidR="00723F3C" w:rsidRDefault="003B7192" w:rsidP="003B7192">
      <w:pPr>
        <w:spacing w:after="240"/>
        <w:contextualSpacing/>
        <w:rPr>
          <w:rFonts w:ascii="Arial" w:hAnsi="Arial" w:cs="Arial"/>
          <w:b/>
          <w:sz w:val="24"/>
          <w:szCs w:val="24"/>
        </w:rPr>
      </w:pPr>
      <w:r w:rsidRPr="0044110D">
        <w:rPr>
          <w:rFonts w:ascii="Arial" w:hAnsi="Arial" w:cs="Arial"/>
          <w:bCs/>
          <w:sz w:val="24"/>
          <w:szCs w:val="24"/>
        </w:rPr>
        <w:t xml:space="preserve">Reference 2 indicates that the bill impact for the Street Lighting Service Classification is 12.07%, which exceeds the 10% threshold outlined in Chapter 3 </w:t>
      </w:r>
      <w:r w:rsidR="001D12A8" w:rsidRPr="0044110D">
        <w:rPr>
          <w:rFonts w:ascii="Arial" w:hAnsi="Arial" w:cs="Arial"/>
          <w:bCs/>
          <w:sz w:val="24"/>
          <w:szCs w:val="24"/>
        </w:rPr>
        <w:t xml:space="preserve">of the </w:t>
      </w:r>
      <w:r w:rsidRPr="0044110D">
        <w:rPr>
          <w:rFonts w:ascii="Arial" w:hAnsi="Arial" w:cs="Arial"/>
          <w:bCs/>
          <w:sz w:val="24"/>
          <w:szCs w:val="24"/>
        </w:rPr>
        <w:t>Filing</w:t>
      </w:r>
      <w:r w:rsidRPr="003B7192">
        <w:rPr>
          <w:rFonts w:ascii="Arial" w:hAnsi="Arial" w:cs="Arial"/>
          <w:bCs/>
          <w:sz w:val="24"/>
          <w:szCs w:val="24"/>
        </w:rPr>
        <w:t xml:space="preserve"> Requirements. These requirements state that distributors must file a mitigation plan if the total bill increase for any customer class exceeds 10%.</w:t>
      </w:r>
    </w:p>
    <w:p w14:paraId="72A7F1F5" w14:textId="77777777" w:rsidR="00542901" w:rsidRPr="00723F3C" w:rsidRDefault="00542901" w:rsidP="003B7192">
      <w:pPr>
        <w:spacing w:after="240"/>
        <w:contextualSpacing/>
        <w:rPr>
          <w:rFonts w:ascii="Arial" w:hAnsi="Arial" w:cs="Arial"/>
          <w:b/>
          <w:sz w:val="24"/>
          <w:szCs w:val="24"/>
        </w:rPr>
      </w:pPr>
    </w:p>
    <w:p w14:paraId="3BF248EB" w14:textId="21B2A2E4" w:rsidR="003B7192" w:rsidRPr="003B7192" w:rsidRDefault="003B7192" w:rsidP="003B7192">
      <w:pPr>
        <w:spacing w:after="240"/>
        <w:contextualSpacing/>
        <w:rPr>
          <w:rFonts w:ascii="Arial" w:hAnsi="Arial" w:cs="Arial"/>
          <w:bCs/>
          <w:sz w:val="24"/>
          <w:szCs w:val="24"/>
        </w:rPr>
      </w:pPr>
      <w:r w:rsidRPr="003B7192">
        <w:rPr>
          <w:rFonts w:ascii="Arial" w:hAnsi="Arial" w:cs="Arial"/>
          <w:bCs/>
          <w:sz w:val="24"/>
          <w:szCs w:val="24"/>
        </w:rPr>
        <w:t>In Reference 1, Northern Ontario Wires explains that the total bill impact is primarily due to:</w:t>
      </w:r>
    </w:p>
    <w:p w14:paraId="58E42B46" w14:textId="77777777" w:rsidR="003B7192" w:rsidRPr="00673843" w:rsidRDefault="003B7192" w:rsidP="00673843">
      <w:pPr>
        <w:pStyle w:val="ListParagraph"/>
        <w:numPr>
          <w:ilvl w:val="0"/>
          <w:numId w:val="52"/>
        </w:numPr>
        <w:spacing w:after="240"/>
        <w:rPr>
          <w:rFonts w:ascii="Arial" w:hAnsi="Arial" w:cs="Arial"/>
          <w:bCs/>
          <w:sz w:val="24"/>
          <w:szCs w:val="24"/>
        </w:rPr>
      </w:pPr>
      <w:r w:rsidRPr="00673843">
        <w:rPr>
          <w:rFonts w:ascii="Arial" w:hAnsi="Arial" w:cs="Arial"/>
          <w:bCs/>
          <w:sz w:val="24"/>
          <w:szCs w:val="24"/>
        </w:rPr>
        <w:t>Removal of the Group 2 DVA and LRAM rider from the prior year.</w:t>
      </w:r>
    </w:p>
    <w:p w14:paraId="445CF658" w14:textId="70FA3115" w:rsidR="003B7192" w:rsidRPr="00673843" w:rsidRDefault="003B7192" w:rsidP="00673843">
      <w:pPr>
        <w:pStyle w:val="ListParagraph"/>
        <w:numPr>
          <w:ilvl w:val="0"/>
          <w:numId w:val="52"/>
        </w:numPr>
        <w:spacing w:after="240"/>
        <w:rPr>
          <w:rFonts w:ascii="Arial" w:hAnsi="Arial" w:cs="Arial"/>
          <w:bCs/>
          <w:sz w:val="24"/>
          <w:szCs w:val="24"/>
        </w:rPr>
      </w:pPr>
      <w:r w:rsidRPr="00673843">
        <w:rPr>
          <w:rFonts w:ascii="Arial" w:hAnsi="Arial" w:cs="Arial"/>
          <w:bCs/>
          <w:sz w:val="24"/>
          <w:szCs w:val="24"/>
        </w:rPr>
        <w:t>Revenue</w:t>
      </w:r>
      <w:r w:rsidR="0071500D">
        <w:rPr>
          <w:rFonts w:ascii="Arial" w:hAnsi="Arial" w:cs="Arial"/>
          <w:bCs/>
          <w:sz w:val="24"/>
          <w:szCs w:val="24"/>
        </w:rPr>
        <w:t>-to-</w:t>
      </w:r>
      <w:r w:rsidR="00C54621">
        <w:rPr>
          <w:rFonts w:ascii="Arial" w:hAnsi="Arial" w:cs="Arial"/>
          <w:bCs/>
          <w:sz w:val="24"/>
          <w:szCs w:val="24"/>
        </w:rPr>
        <w:t>c</w:t>
      </w:r>
      <w:r w:rsidRPr="00673843">
        <w:rPr>
          <w:rFonts w:ascii="Arial" w:hAnsi="Arial" w:cs="Arial"/>
          <w:bCs/>
          <w:sz w:val="24"/>
          <w:szCs w:val="24"/>
        </w:rPr>
        <w:t xml:space="preserve">ost </w:t>
      </w:r>
      <w:r w:rsidR="00C54621">
        <w:rPr>
          <w:rFonts w:ascii="Arial" w:hAnsi="Arial" w:cs="Arial"/>
          <w:bCs/>
          <w:sz w:val="24"/>
          <w:szCs w:val="24"/>
        </w:rPr>
        <w:t>r</w:t>
      </w:r>
      <w:r w:rsidRPr="00673843">
        <w:rPr>
          <w:rFonts w:ascii="Arial" w:hAnsi="Arial" w:cs="Arial"/>
          <w:bCs/>
          <w:sz w:val="24"/>
          <w:szCs w:val="24"/>
        </w:rPr>
        <w:t xml:space="preserve">atio </w:t>
      </w:r>
      <w:r w:rsidR="00C54621">
        <w:rPr>
          <w:rFonts w:ascii="Arial" w:hAnsi="Arial" w:cs="Arial"/>
          <w:bCs/>
          <w:sz w:val="24"/>
          <w:szCs w:val="24"/>
        </w:rPr>
        <w:t>a</w:t>
      </w:r>
      <w:r w:rsidRPr="00673843">
        <w:rPr>
          <w:rFonts w:ascii="Arial" w:hAnsi="Arial" w:cs="Arial"/>
          <w:bCs/>
          <w:sz w:val="24"/>
          <w:szCs w:val="24"/>
        </w:rPr>
        <w:t>djustment required under the last cost of service decision.</w:t>
      </w:r>
    </w:p>
    <w:p w14:paraId="7C4FDE93" w14:textId="4DA19882" w:rsidR="003C6AEF" w:rsidRDefault="003B7192" w:rsidP="003B7192">
      <w:pPr>
        <w:spacing w:after="240"/>
        <w:rPr>
          <w:rFonts w:ascii="Arial" w:hAnsi="Arial" w:cs="Arial"/>
          <w:bCs/>
          <w:sz w:val="24"/>
          <w:szCs w:val="24"/>
        </w:rPr>
      </w:pPr>
      <w:r w:rsidRPr="003B7192">
        <w:rPr>
          <w:rFonts w:ascii="Arial" w:hAnsi="Arial" w:cs="Arial"/>
          <w:bCs/>
          <w:sz w:val="24"/>
          <w:szCs w:val="24"/>
        </w:rPr>
        <w:t xml:space="preserve">Northern Ontario Wires further notes that the increase results from expiring rate riders that previously provided credits to </w:t>
      </w:r>
      <w:r w:rsidR="005D36B6">
        <w:rPr>
          <w:rFonts w:ascii="Arial" w:hAnsi="Arial" w:cs="Arial"/>
          <w:bCs/>
          <w:sz w:val="24"/>
          <w:szCs w:val="24"/>
        </w:rPr>
        <w:t>S</w:t>
      </w:r>
      <w:r w:rsidRPr="003B7192">
        <w:rPr>
          <w:rFonts w:ascii="Arial" w:hAnsi="Arial" w:cs="Arial"/>
          <w:bCs/>
          <w:sz w:val="24"/>
          <w:szCs w:val="24"/>
        </w:rPr>
        <w:t xml:space="preserve">treet </w:t>
      </w:r>
      <w:r w:rsidR="005D36B6">
        <w:rPr>
          <w:rFonts w:ascii="Arial" w:hAnsi="Arial" w:cs="Arial"/>
          <w:bCs/>
          <w:sz w:val="24"/>
          <w:szCs w:val="24"/>
        </w:rPr>
        <w:t>L</w:t>
      </w:r>
      <w:r w:rsidRPr="003B7192">
        <w:rPr>
          <w:rFonts w:ascii="Arial" w:hAnsi="Arial" w:cs="Arial"/>
          <w:bCs/>
          <w:sz w:val="24"/>
          <w:szCs w:val="24"/>
        </w:rPr>
        <w:t>ighting customers, making mitigation for this IRM increase not feasible.</w:t>
      </w:r>
    </w:p>
    <w:p w14:paraId="295486A6" w14:textId="0FB70BE4" w:rsidR="00E867A1" w:rsidRPr="00673843" w:rsidRDefault="00DD4C7F" w:rsidP="003B7192">
      <w:pPr>
        <w:spacing w:after="240"/>
        <w:rPr>
          <w:rFonts w:ascii="Arial" w:hAnsi="Arial" w:cs="Arial"/>
          <w:b/>
          <w:sz w:val="24"/>
          <w:szCs w:val="24"/>
        </w:rPr>
      </w:pPr>
      <w:r w:rsidRPr="00673843">
        <w:rPr>
          <w:rFonts w:ascii="Arial" w:hAnsi="Arial" w:cs="Arial"/>
          <w:b/>
          <w:sz w:val="24"/>
          <w:szCs w:val="24"/>
        </w:rPr>
        <w:t>Question(s):</w:t>
      </w:r>
    </w:p>
    <w:p w14:paraId="4B9DBF5F" w14:textId="30795545" w:rsidR="00DD4C7F" w:rsidRPr="00C70CAC" w:rsidRDefault="003C6AEF" w:rsidP="00673843">
      <w:pPr>
        <w:pStyle w:val="ListParagraph"/>
        <w:numPr>
          <w:ilvl w:val="0"/>
          <w:numId w:val="51"/>
        </w:numPr>
        <w:spacing w:after="240"/>
        <w:rPr>
          <w:rFonts w:ascii="Arial" w:hAnsi="Arial" w:cs="Arial"/>
          <w:sz w:val="24"/>
          <w:szCs w:val="24"/>
        </w:rPr>
      </w:pPr>
      <w:r w:rsidRPr="003C6AEF">
        <w:rPr>
          <w:rFonts w:ascii="Arial" w:hAnsi="Arial" w:cs="Arial"/>
          <w:bCs/>
          <w:sz w:val="24"/>
          <w:szCs w:val="24"/>
        </w:rPr>
        <w:t>Has Northern Ontario Wires considered any mitigation strategies before concluding that mitigation for the IRM increase is not possible? If so, please provide details.</w:t>
      </w:r>
    </w:p>
    <w:sectPr w:rsidR="00DD4C7F" w:rsidRPr="00C70CAC" w:rsidSect="0077646A">
      <w:headerReference w:type="default" r:id="rId11"/>
      <w:footerReference w:type="default" r:id="rId12"/>
      <w:pgSz w:w="12240" w:h="15840" w:code="1"/>
      <w:pgMar w:top="1440" w:right="126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33BE8" w14:textId="77777777" w:rsidR="00200780" w:rsidRDefault="00200780" w:rsidP="00D77124">
      <w:pPr>
        <w:spacing w:after="0" w:line="240" w:lineRule="auto"/>
      </w:pPr>
      <w:r>
        <w:separator/>
      </w:r>
    </w:p>
  </w:endnote>
  <w:endnote w:type="continuationSeparator" w:id="0">
    <w:p w14:paraId="03FA9343" w14:textId="77777777" w:rsidR="00200780" w:rsidRDefault="00200780"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rFonts w:ascii="Arial" w:hAnsi="Arial" w:cs="Arial"/>
        <w:noProof/>
        <w:sz w:val="20"/>
        <w:szCs w:val="20"/>
      </w:rPr>
    </w:sdtEndPr>
    <w:sdtContent>
      <w:p w14:paraId="5232008B" w14:textId="2FEE7BF1" w:rsidR="00D77124" w:rsidRPr="002C272B" w:rsidRDefault="00D77124">
        <w:pPr>
          <w:pStyle w:val="Footer"/>
          <w:jc w:val="center"/>
          <w:rPr>
            <w:rFonts w:ascii="Arial" w:hAnsi="Arial" w:cs="Arial"/>
            <w:sz w:val="20"/>
            <w:szCs w:val="20"/>
          </w:rPr>
        </w:pPr>
        <w:r w:rsidRPr="002C272B">
          <w:rPr>
            <w:rFonts w:ascii="Arial" w:hAnsi="Arial" w:cs="Arial"/>
            <w:sz w:val="20"/>
            <w:szCs w:val="20"/>
          </w:rPr>
          <w:fldChar w:fldCharType="begin"/>
        </w:r>
        <w:r w:rsidRPr="002C272B">
          <w:rPr>
            <w:rFonts w:ascii="Arial" w:hAnsi="Arial" w:cs="Arial"/>
            <w:sz w:val="20"/>
            <w:szCs w:val="20"/>
          </w:rPr>
          <w:instrText xml:space="preserve"> PAGE   \* MERGEFORMAT </w:instrText>
        </w:r>
        <w:r w:rsidRPr="002C272B">
          <w:rPr>
            <w:rFonts w:ascii="Arial" w:hAnsi="Arial" w:cs="Arial"/>
            <w:sz w:val="20"/>
            <w:szCs w:val="20"/>
          </w:rPr>
          <w:fldChar w:fldCharType="separate"/>
        </w:r>
        <w:r w:rsidRPr="002C272B">
          <w:rPr>
            <w:rFonts w:ascii="Arial" w:hAnsi="Arial" w:cs="Arial"/>
            <w:noProof/>
            <w:sz w:val="20"/>
            <w:szCs w:val="20"/>
          </w:rPr>
          <w:t>2</w:t>
        </w:r>
        <w:r w:rsidRPr="002C272B">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06389" w14:textId="77777777" w:rsidR="00200780" w:rsidRDefault="00200780" w:rsidP="00D77124">
      <w:pPr>
        <w:spacing w:after="0" w:line="240" w:lineRule="auto"/>
      </w:pPr>
      <w:r>
        <w:separator/>
      </w:r>
    </w:p>
  </w:footnote>
  <w:footnote w:type="continuationSeparator" w:id="0">
    <w:p w14:paraId="5026D133" w14:textId="77777777" w:rsidR="00200780" w:rsidRDefault="00200780"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E7D" w14:textId="137BC8F3" w:rsidR="00DC489D" w:rsidRPr="002C272B" w:rsidRDefault="00DC489D">
    <w:pPr>
      <w:pStyle w:val="Header"/>
      <w:rPr>
        <w:rFonts w:ascii="Arial" w:hAnsi="Arial" w:cs="Arial"/>
      </w:rPr>
    </w:pPr>
    <w:r w:rsidRPr="002C272B">
      <w:rPr>
        <w:rFonts w:ascii="Arial" w:hAnsi="Arial" w:cs="Arial"/>
      </w:rPr>
      <w:ptab w:relativeTo="margin" w:alignment="center" w:leader="none"/>
    </w:r>
    <w:r w:rsidR="007A4700">
      <w:rPr>
        <w:rFonts w:ascii="Arial" w:hAnsi="Arial" w:cs="Arial"/>
      </w:rPr>
      <w:t xml:space="preserve">                                                                                                           </w:t>
    </w:r>
    <w:r w:rsidR="007A4700" w:rsidRPr="007A4700">
      <w:rPr>
        <w:rFonts w:ascii="Arial" w:hAnsi="Arial" w:cs="Arial"/>
      </w:rPr>
      <w:t>Northern Ontario Wires Inc.</w:t>
    </w:r>
  </w:p>
  <w:p w14:paraId="4C4BD2A4" w14:textId="04568070" w:rsidR="00DC489D" w:rsidRPr="002C272B" w:rsidRDefault="00DC489D">
    <w:pPr>
      <w:pStyle w:val="Header"/>
      <w:rPr>
        <w:rFonts w:ascii="Arial" w:hAnsi="Arial" w:cs="Arial"/>
      </w:rPr>
    </w:pPr>
    <w:r w:rsidRPr="002C272B">
      <w:rPr>
        <w:rFonts w:ascii="Arial" w:hAnsi="Arial" w:cs="Arial"/>
      </w:rPr>
      <w:tab/>
    </w:r>
    <w:r w:rsidRPr="002C272B">
      <w:rPr>
        <w:rFonts w:ascii="Arial" w:hAnsi="Arial" w:cs="Arial"/>
      </w:rPr>
      <w:tab/>
    </w:r>
    <w:r w:rsidR="007A4700">
      <w:rPr>
        <w:rFonts w:ascii="Arial" w:hAnsi="Arial" w:cs="Arial"/>
      </w:rPr>
      <w:t xml:space="preserve">  </w:t>
    </w:r>
    <w:r w:rsidRPr="002C272B">
      <w:rPr>
        <w:rFonts w:ascii="Arial" w:hAnsi="Arial" w:cs="Arial"/>
      </w:rPr>
      <w:t>OEB Staff Questions</w:t>
    </w:r>
  </w:p>
  <w:p w14:paraId="31F1E28E" w14:textId="1596353A" w:rsidR="00DC489D" w:rsidRPr="002C272B" w:rsidRDefault="00DC489D">
    <w:pPr>
      <w:pStyle w:val="Header"/>
      <w:rPr>
        <w:rFonts w:ascii="Arial" w:hAnsi="Arial" w:cs="Arial"/>
      </w:rPr>
    </w:pPr>
    <w:r w:rsidRPr="002C272B">
      <w:rPr>
        <w:rFonts w:ascii="Arial" w:hAnsi="Arial" w:cs="Arial"/>
      </w:rPr>
      <w:tab/>
    </w:r>
    <w:r w:rsidRPr="002C272B">
      <w:rPr>
        <w:rFonts w:ascii="Arial" w:hAnsi="Arial" w:cs="Arial"/>
      </w:rPr>
      <w:tab/>
      <w:t>EB-20</w:t>
    </w:r>
    <w:r w:rsidR="00A53C1E" w:rsidRPr="002C272B">
      <w:rPr>
        <w:rFonts w:ascii="Arial" w:hAnsi="Arial" w:cs="Arial"/>
      </w:rPr>
      <w:t>25-00</w:t>
    </w:r>
    <w:r w:rsidR="007A4700">
      <w:rPr>
        <w:rFonts w:ascii="Arial" w:hAnsi="Arial" w:cs="Arial"/>
      </w:rPr>
      <w:t>17</w:t>
    </w:r>
  </w:p>
  <w:p w14:paraId="32777A2E" w14:textId="77777777" w:rsidR="001F4A55" w:rsidRDefault="001F4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968"/>
    <w:multiLevelType w:val="hybridMultilevel"/>
    <w:tmpl w:val="AE14B2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CA5511"/>
    <w:multiLevelType w:val="hybridMultilevel"/>
    <w:tmpl w:val="60D8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00399"/>
    <w:multiLevelType w:val="multilevel"/>
    <w:tmpl w:val="8922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F7D64"/>
    <w:multiLevelType w:val="multilevel"/>
    <w:tmpl w:val="67E2CD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5A1C6D"/>
    <w:multiLevelType w:val="hybridMultilevel"/>
    <w:tmpl w:val="9EF49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D860BF1"/>
    <w:multiLevelType w:val="hybridMultilevel"/>
    <w:tmpl w:val="DF5C8E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F375C75"/>
    <w:multiLevelType w:val="hybridMultilevel"/>
    <w:tmpl w:val="A1061096"/>
    <w:lvl w:ilvl="0" w:tplc="B0F4019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54323"/>
    <w:multiLevelType w:val="multilevel"/>
    <w:tmpl w:val="C81A2D5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E172F8"/>
    <w:multiLevelType w:val="hybridMultilevel"/>
    <w:tmpl w:val="8A2ADF8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8440048"/>
    <w:multiLevelType w:val="hybridMultilevel"/>
    <w:tmpl w:val="5D7E16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05C23"/>
    <w:multiLevelType w:val="hybridMultilevel"/>
    <w:tmpl w:val="A6A6BEF6"/>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2D624B"/>
    <w:multiLevelType w:val="hybridMultilevel"/>
    <w:tmpl w:val="80F482F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3D52C2"/>
    <w:multiLevelType w:val="hybridMultilevel"/>
    <w:tmpl w:val="AE14B2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0654BD7"/>
    <w:multiLevelType w:val="hybridMultilevel"/>
    <w:tmpl w:val="88C6AE6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0954570"/>
    <w:multiLevelType w:val="hybridMultilevel"/>
    <w:tmpl w:val="57D893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35344"/>
    <w:multiLevelType w:val="hybridMultilevel"/>
    <w:tmpl w:val="14205E9A"/>
    <w:lvl w:ilvl="0" w:tplc="BFDAADA8">
      <w:start w:val="1"/>
      <w:numFmt w:val="lowerRoman"/>
      <w:lvlText w:val="%1."/>
      <w:lvlJc w:val="right"/>
      <w:pPr>
        <w:ind w:left="1440" w:hanging="360"/>
      </w:pPr>
      <w:rPr>
        <w:rFonts w:hint="default"/>
        <w:b w:val="0"/>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86511B6"/>
    <w:multiLevelType w:val="hybridMultilevel"/>
    <w:tmpl w:val="2342E2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55892CA4"/>
    <w:multiLevelType w:val="multilevel"/>
    <w:tmpl w:val="7A70B0B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34B767F"/>
    <w:multiLevelType w:val="hybridMultilevel"/>
    <w:tmpl w:val="6B6206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C5828DD"/>
    <w:multiLevelType w:val="hybridMultilevel"/>
    <w:tmpl w:val="6D746956"/>
    <w:lvl w:ilvl="0" w:tplc="6D18C12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4547C5F"/>
    <w:multiLevelType w:val="hybridMultilevel"/>
    <w:tmpl w:val="E66A11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B165E90"/>
    <w:multiLevelType w:val="hybridMultilevel"/>
    <w:tmpl w:val="DF5C8E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6C6FA9"/>
    <w:multiLevelType w:val="hybridMultilevel"/>
    <w:tmpl w:val="17BA9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386C09"/>
    <w:multiLevelType w:val="hybridMultilevel"/>
    <w:tmpl w:val="A00A25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A24A56"/>
    <w:multiLevelType w:val="hybridMultilevel"/>
    <w:tmpl w:val="70B2B57A"/>
    <w:lvl w:ilvl="0" w:tplc="BA7CB33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389052">
    <w:abstractNumId w:val="1"/>
  </w:num>
  <w:num w:numId="2" w16cid:durableId="1817183121">
    <w:abstractNumId w:val="13"/>
  </w:num>
  <w:num w:numId="3" w16cid:durableId="1825269186">
    <w:abstractNumId w:val="38"/>
  </w:num>
  <w:num w:numId="4" w16cid:durableId="1119179632">
    <w:abstractNumId w:val="47"/>
  </w:num>
  <w:num w:numId="5" w16cid:durableId="2091417003">
    <w:abstractNumId w:val="26"/>
  </w:num>
  <w:num w:numId="6" w16cid:durableId="252014472">
    <w:abstractNumId w:val="20"/>
  </w:num>
  <w:num w:numId="7" w16cid:durableId="1793011066">
    <w:abstractNumId w:val="33"/>
  </w:num>
  <w:num w:numId="8" w16cid:durableId="1794320803">
    <w:abstractNumId w:val="27"/>
  </w:num>
  <w:num w:numId="9" w16cid:durableId="1829709702">
    <w:abstractNumId w:val="29"/>
  </w:num>
  <w:num w:numId="10" w16cid:durableId="1115251463">
    <w:abstractNumId w:val="12"/>
  </w:num>
  <w:num w:numId="11" w16cid:durableId="1887520468">
    <w:abstractNumId w:val="32"/>
  </w:num>
  <w:num w:numId="12" w16cid:durableId="1441336080">
    <w:abstractNumId w:val="40"/>
  </w:num>
  <w:num w:numId="13" w16cid:durableId="1780180625">
    <w:abstractNumId w:val="11"/>
  </w:num>
  <w:num w:numId="14" w16cid:durableId="1590384501">
    <w:abstractNumId w:val="6"/>
  </w:num>
  <w:num w:numId="15" w16cid:durableId="427196099">
    <w:abstractNumId w:val="46"/>
  </w:num>
  <w:num w:numId="16" w16cid:durableId="1661301170">
    <w:abstractNumId w:val="15"/>
  </w:num>
  <w:num w:numId="17" w16cid:durableId="580800399">
    <w:abstractNumId w:val="35"/>
  </w:num>
  <w:num w:numId="18" w16cid:durableId="1835102567">
    <w:abstractNumId w:val="43"/>
  </w:num>
  <w:num w:numId="19" w16cid:durableId="1966807704">
    <w:abstractNumId w:val="44"/>
  </w:num>
  <w:num w:numId="20" w16cid:durableId="1330401671">
    <w:abstractNumId w:val="23"/>
  </w:num>
  <w:num w:numId="21" w16cid:durableId="1192495916">
    <w:abstractNumId w:val="41"/>
  </w:num>
  <w:num w:numId="22" w16cid:durableId="82845605">
    <w:abstractNumId w:val="22"/>
  </w:num>
  <w:num w:numId="23" w16cid:durableId="1261449128">
    <w:abstractNumId w:val="39"/>
  </w:num>
  <w:num w:numId="24" w16cid:durableId="1669995">
    <w:abstractNumId w:val="37"/>
  </w:num>
  <w:num w:numId="25" w16cid:durableId="965695596">
    <w:abstractNumId w:val="8"/>
  </w:num>
  <w:num w:numId="26" w16cid:durableId="331496830">
    <w:abstractNumId w:val="30"/>
  </w:num>
  <w:num w:numId="27" w16cid:durableId="1873108183">
    <w:abstractNumId w:val="34"/>
  </w:num>
  <w:num w:numId="28" w16cid:durableId="2007053589">
    <w:abstractNumId w:val="24"/>
  </w:num>
  <w:num w:numId="29" w16cid:durableId="1047875188">
    <w:abstractNumId w:val="7"/>
  </w:num>
  <w:num w:numId="30" w16cid:durableId="1202211274">
    <w:abstractNumId w:val="42"/>
  </w:num>
  <w:num w:numId="31" w16cid:durableId="608317447">
    <w:abstractNumId w:val="21"/>
  </w:num>
  <w:num w:numId="32" w16cid:durableId="184025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969405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26699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4641311">
    <w:abstractNumId w:val="17"/>
  </w:num>
  <w:num w:numId="36" w16cid:durableId="441845647">
    <w:abstractNumId w:val="25"/>
  </w:num>
  <w:num w:numId="37" w16cid:durableId="1186792935">
    <w:abstractNumId w:val="51"/>
  </w:num>
  <w:num w:numId="38" w16cid:durableId="330957378">
    <w:abstractNumId w:val="9"/>
  </w:num>
  <w:num w:numId="39" w16cid:durableId="1624724747">
    <w:abstractNumId w:val="50"/>
  </w:num>
  <w:num w:numId="40" w16cid:durableId="72822783">
    <w:abstractNumId w:val="45"/>
  </w:num>
  <w:num w:numId="41" w16cid:durableId="298650739">
    <w:abstractNumId w:val="18"/>
  </w:num>
  <w:num w:numId="42" w16cid:durableId="303436722">
    <w:abstractNumId w:val="48"/>
  </w:num>
  <w:num w:numId="43" w16cid:durableId="2123648526">
    <w:abstractNumId w:val="16"/>
  </w:num>
  <w:num w:numId="44" w16cid:durableId="1645349581">
    <w:abstractNumId w:val="28"/>
  </w:num>
  <w:num w:numId="45" w16cid:durableId="667366324">
    <w:abstractNumId w:val="3"/>
  </w:num>
  <w:num w:numId="46" w16cid:durableId="1972980105">
    <w:abstractNumId w:val="19"/>
  </w:num>
  <w:num w:numId="47" w16cid:durableId="1085347888">
    <w:abstractNumId w:val="49"/>
  </w:num>
  <w:num w:numId="48" w16cid:durableId="1074620062">
    <w:abstractNumId w:val="0"/>
  </w:num>
  <w:num w:numId="49" w16cid:durableId="1321084534">
    <w:abstractNumId w:val="36"/>
  </w:num>
  <w:num w:numId="50" w16cid:durableId="2146506134">
    <w:abstractNumId w:val="14"/>
  </w:num>
  <w:num w:numId="51" w16cid:durableId="28188418">
    <w:abstractNumId w:val="5"/>
  </w:num>
  <w:num w:numId="52" w16cid:durableId="2043744783">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0023"/>
    <w:rsid w:val="000009A9"/>
    <w:rsid w:val="00006C6F"/>
    <w:rsid w:val="00010454"/>
    <w:rsid w:val="00011A60"/>
    <w:rsid w:val="000124B4"/>
    <w:rsid w:val="000159DF"/>
    <w:rsid w:val="00017C07"/>
    <w:rsid w:val="00017C90"/>
    <w:rsid w:val="00020547"/>
    <w:rsid w:val="00022FD7"/>
    <w:rsid w:val="00023286"/>
    <w:rsid w:val="000262C9"/>
    <w:rsid w:val="000278FB"/>
    <w:rsid w:val="0003073C"/>
    <w:rsid w:val="00031154"/>
    <w:rsid w:val="00033128"/>
    <w:rsid w:val="00033C28"/>
    <w:rsid w:val="00035337"/>
    <w:rsid w:val="00036D20"/>
    <w:rsid w:val="000375A3"/>
    <w:rsid w:val="00040773"/>
    <w:rsid w:val="000441A4"/>
    <w:rsid w:val="000460AE"/>
    <w:rsid w:val="00053F79"/>
    <w:rsid w:val="00054071"/>
    <w:rsid w:val="0006126D"/>
    <w:rsid w:val="0006129C"/>
    <w:rsid w:val="00063775"/>
    <w:rsid w:val="00067123"/>
    <w:rsid w:val="00067F57"/>
    <w:rsid w:val="00071BEC"/>
    <w:rsid w:val="00074514"/>
    <w:rsid w:val="0007571C"/>
    <w:rsid w:val="0007613A"/>
    <w:rsid w:val="00080296"/>
    <w:rsid w:val="00082ACA"/>
    <w:rsid w:val="000832D4"/>
    <w:rsid w:val="00083EA0"/>
    <w:rsid w:val="00090160"/>
    <w:rsid w:val="00097CC7"/>
    <w:rsid w:val="000B3E7E"/>
    <w:rsid w:val="000D223C"/>
    <w:rsid w:val="000D266B"/>
    <w:rsid w:val="000D2E7E"/>
    <w:rsid w:val="000D44D4"/>
    <w:rsid w:val="000D4572"/>
    <w:rsid w:val="000E4006"/>
    <w:rsid w:val="000E68E3"/>
    <w:rsid w:val="000E6BFD"/>
    <w:rsid w:val="000F1E3A"/>
    <w:rsid w:val="000F74BD"/>
    <w:rsid w:val="00106534"/>
    <w:rsid w:val="001079BD"/>
    <w:rsid w:val="00115D7F"/>
    <w:rsid w:val="00124F26"/>
    <w:rsid w:val="0012632E"/>
    <w:rsid w:val="00133BE1"/>
    <w:rsid w:val="00136741"/>
    <w:rsid w:val="0014217A"/>
    <w:rsid w:val="00142EA8"/>
    <w:rsid w:val="00155DFD"/>
    <w:rsid w:val="00156EEC"/>
    <w:rsid w:val="001576FB"/>
    <w:rsid w:val="00160E85"/>
    <w:rsid w:val="00163AA4"/>
    <w:rsid w:val="00164AFF"/>
    <w:rsid w:val="00164E99"/>
    <w:rsid w:val="00170D23"/>
    <w:rsid w:val="0017202F"/>
    <w:rsid w:val="001720E5"/>
    <w:rsid w:val="00175A9D"/>
    <w:rsid w:val="001760EB"/>
    <w:rsid w:val="00182785"/>
    <w:rsid w:val="00183CC8"/>
    <w:rsid w:val="00187E9B"/>
    <w:rsid w:val="00191378"/>
    <w:rsid w:val="001927C2"/>
    <w:rsid w:val="00194B84"/>
    <w:rsid w:val="001951E6"/>
    <w:rsid w:val="001A04D1"/>
    <w:rsid w:val="001A04F5"/>
    <w:rsid w:val="001A0A7F"/>
    <w:rsid w:val="001A455D"/>
    <w:rsid w:val="001A4DCD"/>
    <w:rsid w:val="001B01F3"/>
    <w:rsid w:val="001B1E5F"/>
    <w:rsid w:val="001B376E"/>
    <w:rsid w:val="001C058F"/>
    <w:rsid w:val="001C5501"/>
    <w:rsid w:val="001D030A"/>
    <w:rsid w:val="001D12A8"/>
    <w:rsid w:val="001D4464"/>
    <w:rsid w:val="001D526D"/>
    <w:rsid w:val="001E0DA0"/>
    <w:rsid w:val="001E625A"/>
    <w:rsid w:val="001E7A7C"/>
    <w:rsid w:val="001E7C65"/>
    <w:rsid w:val="001F067E"/>
    <w:rsid w:val="001F2BED"/>
    <w:rsid w:val="001F4A55"/>
    <w:rsid w:val="001F60EB"/>
    <w:rsid w:val="001F718D"/>
    <w:rsid w:val="001F7AE3"/>
    <w:rsid w:val="00200780"/>
    <w:rsid w:val="00200F55"/>
    <w:rsid w:val="00201323"/>
    <w:rsid w:val="00203092"/>
    <w:rsid w:val="002058D7"/>
    <w:rsid w:val="002115CB"/>
    <w:rsid w:val="0021386E"/>
    <w:rsid w:val="0021438B"/>
    <w:rsid w:val="002145C1"/>
    <w:rsid w:val="00217F91"/>
    <w:rsid w:val="002208C0"/>
    <w:rsid w:val="00224C06"/>
    <w:rsid w:val="00225C04"/>
    <w:rsid w:val="00225CEF"/>
    <w:rsid w:val="00226328"/>
    <w:rsid w:val="00227EAF"/>
    <w:rsid w:val="00231FA1"/>
    <w:rsid w:val="00247C27"/>
    <w:rsid w:val="00250955"/>
    <w:rsid w:val="00255072"/>
    <w:rsid w:val="0025687C"/>
    <w:rsid w:val="00257A5C"/>
    <w:rsid w:val="002601CC"/>
    <w:rsid w:val="0026266F"/>
    <w:rsid w:val="00263AEB"/>
    <w:rsid w:val="00270E54"/>
    <w:rsid w:val="00272D8B"/>
    <w:rsid w:val="00274A48"/>
    <w:rsid w:val="00275FF8"/>
    <w:rsid w:val="0027616A"/>
    <w:rsid w:val="00280F3A"/>
    <w:rsid w:val="00281FD9"/>
    <w:rsid w:val="002820DF"/>
    <w:rsid w:val="00283BF0"/>
    <w:rsid w:val="00291CCC"/>
    <w:rsid w:val="00295462"/>
    <w:rsid w:val="002A0D75"/>
    <w:rsid w:val="002A433E"/>
    <w:rsid w:val="002A6415"/>
    <w:rsid w:val="002B4035"/>
    <w:rsid w:val="002B4A66"/>
    <w:rsid w:val="002B6D79"/>
    <w:rsid w:val="002B79FE"/>
    <w:rsid w:val="002B7B7C"/>
    <w:rsid w:val="002C272B"/>
    <w:rsid w:val="002C2BF2"/>
    <w:rsid w:val="002C2E85"/>
    <w:rsid w:val="002C64F0"/>
    <w:rsid w:val="002C7EF6"/>
    <w:rsid w:val="002D1BCA"/>
    <w:rsid w:val="002D336D"/>
    <w:rsid w:val="002D4924"/>
    <w:rsid w:val="002D6F22"/>
    <w:rsid w:val="002F2329"/>
    <w:rsid w:val="002F4756"/>
    <w:rsid w:val="002F57C6"/>
    <w:rsid w:val="00301699"/>
    <w:rsid w:val="00302509"/>
    <w:rsid w:val="00304179"/>
    <w:rsid w:val="003049C5"/>
    <w:rsid w:val="003055B2"/>
    <w:rsid w:val="00307333"/>
    <w:rsid w:val="0031034E"/>
    <w:rsid w:val="00324E4A"/>
    <w:rsid w:val="003303BF"/>
    <w:rsid w:val="00340C00"/>
    <w:rsid w:val="00351D2A"/>
    <w:rsid w:val="003537F3"/>
    <w:rsid w:val="003542EA"/>
    <w:rsid w:val="00356086"/>
    <w:rsid w:val="00360DCB"/>
    <w:rsid w:val="003614BE"/>
    <w:rsid w:val="00361A5E"/>
    <w:rsid w:val="003629B1"/>
    <w:rsid w:val="003653F6"/>
    <w:rsid w:val="0036575A"/>
    <w:rsid w:val="003702D1"/>
    <w:rsid w:val="00373DCF"/>
    <w:rsid w:val="00373FAD"/>
    <w:rsid w:val="00376245"/>
    <w:rsid w:val="003777B5"/>
    <w:rsid w:val="003802DD"/>
    <w:rsid w:val="0038039C"/>
    <w:rsid w:val="00382BD3"/>
    <w:rsid w:val="003832E7"/>
    <w:rsid w:val="003954A7"/>
    <w:rsid w:val="003A20A0"/>
    <w:rsid w:val="003A2902"/>
    <w:rsid w:val="003A4999"/>
    <w:rsid w:val="003A58B0"/>
    <w:rsid w:val="003A6D38"/>
    <w:rsid w:val="003B0E84"/>
    <w:rsid w:val="003B1A9B"/>
    <w:rsid w:val="003B3FDD"/>
    <w:rsid w:val="003B44D2"/>
    <w:rsid w:val="003B7192"/>
    <w:rsid w:val="003C282A"/>
    <w:rsid w:val="003C3389"/>
    <w:rsid w:val="003C402C"/>
    <w:rsid w:val="003C6AEF"/>
    <w:rsid w:val="003D05E4"/>
    <w:rsid w:val="003D0E73"/>
    <w:rsid w:val="003D47B8"/>
    <w:rsid w:val="003D5671"/>
    <w:rsid w:val="003D78D0"/>
    <w:rsid w:val="003E0144"/>
    <w:rsid w:val="003E0225"/>
    <w:rsid w:val="003F0028"/>
    <w:rsid w:val="003F0A31"/>
    <w:rsid w:val="003F338D"/>
    <w:rsid w:val="003F525E"/>
    <w:rsid w:val="00400DFC"/>
    <w:rsid w:val="004010E2"/>
    <w:rsid w:val="004023EB"/>
    <w:rsid w:val="00402425"/>
    <w:rsid w:val="0040268E"/>
    <w:rsid w:val="00404251"/>
    <w:rsid w:val="00410094"/>
    <w:rsid w:val="004110BA"/>
    <w:rsid w:val="004116CD"/>
    <w:rsid w:val="00411BA1"/>
    <w:rsid w:val="00412DC6"/>
    <w:rsid w:val="00415A63"/>
    <w:rsid w:val="00424387"/>
    <w:rsid w:val="00425009"/>
    <w:rsid w:val="00430D0A"/>
    <w:rsid w:val="00432045"/>
    <w:rsid w:val="004377B0"/>
    <w:rsid w:val="0044110D"/>
    <w:rsid w:val="0044267C"/>
    <w:rsid w:val="004434E6"/>
    <w:rsid w:val="00443AFE"/>
    <w:rsid w:val="00455E7B"/>
    <w:rsid w:val="004603A2"/>
    <w:rsid w:val="00460AB1"/>
    <w:rsid w:val="00465AA5"/>
    <w:rsid w:val="004707F8"/>
    <w:rsid w:val="004716B3"/>
    <w:rsid w:val="00472C81"/>
    <w:rsid w:val="00475032"/>
    <w:rsid w:val="0047687C"/>
    <w:rsid w:val="00476F23"/>
    <w:rsid w:val="00482D23"/>
    <w:rsid w:val="00482FCB"/>
    <w:rsid w:val="00485082"/>
    <w:rsid w:val="004859EF"/>
    <w:rsid w:val="00491326"/>
    <w:rsid w:val="00497A05"/>
    <w:rsid w:val="004A7F43"/>
    <w:rsid w:val="004B1668"/>
    <w:rsid w:val="004B3024"/>
    <w:rsid w:val="004B37B9"/>
    <w:rsid w:val="004C5119"/>
    <w:rsid w:val="004D34FF"/>
    <w:rsid w:val="004D5CDD"/>
    <w:rsid w:val="004E0850"/>
    <w:rsid w:val="004E2335"/>
    <w:rsid w:val="004E71D1"/>
    <w:rsid w:val="004E7E4C"/>
    <w:rsid w:val="004F0234"/>
    <w:rsid w:val="004F3AAA"/>
    <w:rsid w:val="005010EB"/>
    <w:rsid w:val="00501945"/>
    <w:rsid w:val="00503108"/>
    <w:rsid w:val="00511EC2"/>
    <w:rsid w:val="005164F5"/>
    <w:rsid w:val="005229EA"/>
    <w:rsid w:val="00523438"/>
    <w:rsid w:val="00524FDF"/>
    <w:rsid w:val="0052560F"/>
    <w:rsid w:val="0052611C"/>
    <w:rsid w:val="00526892"/>
    <w:rsid w:val="005309B4"/>
    <w:rsid w:val="00533D0A"/>
    <w:rsid w:val="00535E46"/>
    <w:rsid w:val="00540526"/>
    <w:rsid w:val="00542901"/>
    <w:rsid w:val="0054675E"/>
    <w:rsid w:val="005476D4"/>
    <w:rsid w:val="00552AC8"/>
    <w:rsid w:val="00552C04"/>
    <w:rsid w:val="00563817"/>
    <w:rsid w:val="005666F2"/>
    <w:rsid w:val="0056752D"/>
    <w:rsid w:val="00572064"/>
    <w:rsid w:val="00581086"/>
    <w:rsid w:val="0058231B"/>
    <w:rsid w:val="00584369"/>
    <w:rsid w:val="005843B8"/>
    <w:rsid w:val="00587A35"/>
    <w:rsid w:val="00590B66"/>
    <w:rsid w:val="00593DB0"/>
    <w:rsid w:val="005A0646"/>
    <w:rsid w:val="005A35AF"/>
    <w:rsid w:val="005A3677"/>
    <w:rsid w:val="005A53F1"/>
    <w:rsid w:val="005B15B8"/>
    <w:rsid w:val="005B58B6"/>
    <w:rsid w:val="005C19C6"/>
    <w:rsid w:val="005C5B40"/>
    <w:rsid w:val="005C7A4C"/>
    <w:rsid w:val="005D0C78"/>
    <w:rsid w:val="005D23FE"/>
    <w:rsid w:val="005D36B6"/>
    <w:rsid w:val="005D41F7"/>
    <w:rsid w:val="005D4F4E"/>
    <w:rsid w:val="005D539A"/>
    <w:rsid w:val="005E0AE5"/>
    <w:rsid w:val="005E27C0"/>
    <w:rsid w:val="005E3567"/>
    <w:rsid w:val="005E5C2B"/>
    <w:rsid w:val="005E6001"/>
    <w:rsid w:val="005F356B"/>
    <w:rsid w:val="005F3DA5"/>
    <w:rsid w:val="005F4693"/>
    <w:rsid w:val="005F4F2F"/>
    <w:rsid w:val="005F51D9"/>
    <w:rsid w:val="005F70F9"/>
    <w:rsid w:val="0060091E"/>
    <w:rsid w:val="006038C7"/>
    <w:rsid w:val="00611E3E"/>
    <w:rsid w:val="00615941"/>
    <w:rsid w:val="00623602"/>
    <w:rsid w:val="00625CDB"/>
    <w:rsid w:val="00625FEA"/>
    <w:rsid w:val="006276F9"/>
    <w:rsid w:val="00630C85"/>
    <w:rsid w:val="006347D2"/>
    <w:rsid w:val="0063625F"/>
    <w:rsid w:val="006379D0"/>
    <w:rsid w:val="0064279A"/>
    <w:rsid w:val="00642D44"/>
    <w:rsid w:val="00646591"/>
    <w:rsid w:val="00646B7A"/>
    <w:rsid w:val="00647A3D"/>
    <w:rsid w:val="00651C98"/>
    <w:rsid w:val="0065443B"/>
    <w:rsid w:val="00657CCA"/>
    <w:rsid w:val="00662245"/>
    <w:rsid w:val="00663238"/>
    <w:rsid w:val="00663ECC"/>
    <w:rsid w:val="00664043"/>
    <w:rsid w:val="006664D5"/>
    <w:rsid w:val="00670224"/>
    <w:rsid w:val="00671BC9"/>
    <w:rsid w:val="00673843"/>
    <w:rsid w:val="00675680"/>
    <w:rsid w:val="0068340D"/>
    <w:rsid w:val="006878D9"/>
    <w:rsid w:val="00692A87"/>
    <w:rsid w:val="00697551"/>
    <w:rsid w:val="006A1257"/>
    <w:rsid w:val="006A41C8"/>
    <w:rsid w:val="006A5D23"/>
    <w:rsid w:val="006B0427"/>
    <w:rsid w:val="006B2D2F"/>
    <w:rsid w:val="006B545A"/>
    <w:rsid w:val="006C284F"/>
    <w:rsid w:val="006C2F50"/>
    <w:rsid w:val="006D6A76"/>
    <w:rsid w:val="006E0328"/>
    <w:rsid w:val="006E095D"/>
    <w:rsid w:val="006E1C65"/>
    <w:rsid w:val="006E32F6"/>
    <w:rsid w:val="006E3BB4"/>
    <w:rsid w:val="006E3D58"/>
    <w:rsid w:val="006E709E"/>
    <w:rsid w:val="006F0940"/>
    <w:rsid w:val="006F2B45"/>
    <w:rsid w:val="006F2E28"/>
    <w:rsid w:val="006F4A20"/>
    <w:rsid w:val="006F4D29"/>
    <w:rsid w:val="006F55D5"/>
    <w:rsid w:val="006F7228"/>
    <w:rsid w:val="0070322B"/>
    <w:rsid w:val="00704EE5"/>
    <w:rsid w:val="007066E2"/>
    <w:rsid w:val="007077BA"/>
    <w:rsid w:val="00707E15"/>
    <w:rsid w:val="007107B9"/>
    <w:rsid w:val="007124FE"/>
    <w:rsid w:val="0071500D"/>
    <w:rsid w:val="00721002"/>
    <w:rsid w:val="0072241F"/>
    <w:rsid w:val="00722640"/>
    <w:rsid w:val="00722C17"/>
    <w:rsid w:val="00723F3C"/>
    <w:rsid w:val="0072715C"/>
    <w:rsid w:val="0072775B"/>
    <w:rsid w:val="0073197E"/>
    <w:rsid w:val="007330DA"/>
    <w:rsid w:val="00737156"/>
    <w:rsid w:val="00743446"/>
    <w:rsid w:val="00746080"/>
    <w:rsid w:val="007508EC"/>
    <w:rsid w:val="0075164C"/>
    <w:rsid w:val="007559E4"/>
    <w:rsid w:val="00760301"/>
    <w:rsid w:val="00764DF0"/>
    <w:rsid w:val="00765315"/>
    <w:rsid w:val="007717EF"/>
    <w:rsid w:val="0077202C"/>
    <w:rsid w:val="00772170"/>
    <w:rsid w:val="007729BA"/>
    <w:rsid w:val="00772B57"/>
    <w:rsid w:val="0077646A"/>
    <w:rsid w:val="00781D04"/>
    <w:rsid w:val="0078455D"/>
    <w:rsid w:val="007851BF"/>
    <w:rsid w:val="00787231"/>
    <w:rsid w:val="00791179"/>
    <w:rsid w:val="00792919"/>
    <w:rsid w:val="007943F3"/>
    <w:rsid w:val="007967EE"/>
    <w:rsid w:val="007A4700"/>
    <w:rsid w:val="007A49FD"/>
    <w:rsid w:val="007A58EC"/>
    <w:rsid w:val="007B03B0"/>
    <w:rsid w:val="007B264F"/>
    <w:rsid w:val="007B5D16"/>
    <w:rsid w:val="007B797C"/>
    <w:rsid w:val="007B7D6C"/>
    <w:rsid w:val="007C06FB"/>
    <w:rsid w:val="007C290B"/>
    <w:rsid w:val="007C2D45"/>
    <w:rsid w:val="007C5713"/>
    <w:rsid w:val="007C685F"/>
    <w:rsid w:val="007C6CEA"/>
    <w:rsid w:val="007D1458"/>
    <w:rsid w:val="007D5849"/>
    <w:rsid w:val="007F0053"/>
    <w:rsid w:val="007F13A0"/>
    <w:rsid w:val="007F1843"/>
    <w:rsid w:val="007F49EB"/>
    <w:rsid w:val="007F5A87"/>
    <w:rsid w:val="00805FDA"/>
    <w:rsid w:val="00806F68"/>
    <w:rsid w:val="0080753A"/>
    <w:rsid w:val="00811EE8"/>
    <w:rsid w:val="008128F4"/>
    <w:rsid w:val="00812C1B"/>
    <w:rsid w:val="00813915"/>
    <w:rsid w:val="008162D2"/>
    <w:rsid w:val="00816417"/>
    <w:rsid w:val="008173B1"/>
    <w:rsid w:val="00821BC7"/>
    <w:rsid w:val="008230C2"/>
    <w:rsid w:val="008234EB"/>
    <w:rsid w:val="00826161"/>
    <w:rsid w:val="00835AD0"/>
    <w:rsid w:val="00836B17"/>
    <w:rsid w:val="008413AE"/>
    <w:rsid w:val="00841787"/>
    <w:rsid w:val="00855F28"/>
    <w:rsid w:val="00856383"/>
    <w:rsid w:val="008563D8"/>
    <w:rsid w:val="008709A7"/>
    <w:rsid w:val="008747B3"/>
    <w:rsid w:val="00874EE6"/>
    <w:rsid w:val="008813C3"/>
    <w:rsid w:val="00882410"/>
    <w:rsid w:val="008829E4"/>
    <w:rsid w:val="00887401"/>
    <w:rsid w:val="008924FF"/>
    <w:rsid w:val="008926F0"/>
    <w:rsid w:val="00893BCC"/>
    <w:rsid w:val="008964E8"/>
    <w:rsid w:val="008A48F6"/>
    <w:rsid w:val="008A6B64"/>
    <w:rsid w:val="008B3530"/>
    <w:rsid w:val="008B659D"/>
    <w:rsid w:val="008C2335"/>
    <w:rsid w:val="008C25E8"/>
    <w:rsid w:val="008C2F67"/>
    <w:rsid w:val="008C32BA"/>
    <w:rsid w:val="008C7414"/>
    <w:rsid w:val="008D0E24"/>
    <w:rsid w:val="008D1424"/>
    <w:rsid w:val="008D2508"/>
    <w:rsid w:val="008D4D8A"/>
    <w:rsid w:val="008D6148"/>
    <w:rsid w:val="008E1794"/>
    <w:rsid w:val="008E2C20"/>
    <w:rsid w:val="008E5308"/>
    <w:rsid w:val="008E6045"/>
    <w:rsid w:val="008F0407"/>
    <w:rsid w:val="008F2BDC"/>
    <w:rsid w:val="009004E5"/>
    <w:rsid w:val="0090113B"/>
    <w:rsid w:val="00901DC4"/>
    <w:rsid w:val="00903301"/>
    <w:rsid w:val="00905D51"/>
    <w:rsid w:val="00906A69"/>
    <w:rsid w:val="00910756"/>
    <w:rsid w:val="00911C3C"/>
    <w:rsid w:val="00917B46"/>
    <w:rsid w:val="0092041E"/>
    <w:rsid w:val="00920548"/>
    <w:rsid w:val="009232E5"/>
    <w:rsid w:val="00931A47"/>
    <w:rsid w:val="0093258A"/>
    <w:rsid w:val="009340F4"/>
    <w:rsid w:val="0093460E"/>
    <w:rsid w:val="009353D9"/>
    <w:rsid w:val="00942CD7"/>
    <w:rsid w:val="0094373C"/>
    <w:rsid w:val="00946DEE"/>
    <w:rsid w:val="00951E2B"/>
    <w:rsid w:val="00952939"/>
    <w:rsid w:val="00956DFB"/>
    <w:rsid w:val="00961EA0"/>
    <w:rsid w:val="00967958"/>
    <w:rsid w:val="0097333B"/>
    <w:rsid w:val="00973CFD"/>
    <w:rsid w:val="009838AA"/>
    <w:rsid w:val="00986FDD"/>
    <w:rsid w:val="00990051"/>
    <w:rsid w:val="00990807"/>
    <w:rsid w:val="009941B2"/>
    <w:rsid w:val="00997488"/>
    <w:rsid w:val="009A5C44"/>
    <w:rsid w:val="009A64A3"/>
    <w:rsid w:val="009B03AF"/>
    <w:rsid w:val="009B0723"/>
    <w:rsid w:val="009B1CB2"/>
    <w:rsid w:val="009B2FE2"/>
    <w:rsid w:val="009B397E"/>
    <w:rsid w:val="009C4216"/>
    <w:rsid w:val="009C5630"/>
    <w:rsid w:val="009D1588"/>
    <w:rsid w:val="009D5F4B"/>
    <w:rsid w:val="009E018A"/>
    <w:rsid w:val="009E30A6"/>
    <w:rsid w:val="009E3400"/>
    <w:rsid w:val="009E626E"/>
    <w:rsid w:val="009E6CCD"/>
    <w:rsid w:val="009E7CBF"/>
    <w:rsid w:val="009F3632"/>
    <w:rsid w:val="00A01AEF"/>
    <w:rsid w:val="00A05104"/>
    <w:rsid w:val="00A06CD5"/>
    <w:rsid w:val="00A07077"/>
    <w:rsid w:val="00A14A4E"/>
    <w:rsid w:val="00A17694"/>
    <w:rsid w:val="00A176A4"/>
    <w:rsid w:val="00A20330"/>
    <w:rsid w:val="00A30331"/>
    <w:rsid w:val="00A4352B"/>
    <w:rsid w:val="00A4376E"/>
    <w:rsid w:val="00A44D0B"/>
    <w:rsid w:val="00A50705"/>
    <w:rsid w:val="00A50BE8"/>
    <w:rsid w:val="00A50DD0"/>
    <w:rsid w:val="00A516B0"/>
    <w:rsid w:val="00A51FCA"/>
    <w:rsid w:val="00A5398E"/>
    <w:rsid w:val="00A53AF5"/>
    <w:rsid w:val="00A53B92"/>
    <w:rsid w:val="00A53C1E"/>
    <w:rsid w:val="00A5543D"/>
    <w:rsid w:val="00A5620A"/>
    <w:rsid w:val="00A62ADF"/>
    <w:rsid w:val="00A66E13"/>
    <w:rsid w:val="00A73056"/>
    <w:rsid w:val="00A77273"/>
    <w:rsid w:val="00A82303"/>
    <w:rsid w:val="00A901EC"/>
    <w:rsid w:val="00AA06D9"/>
    <w:rsid w:val="00AA5802"/>
    <w:rsid w:val="00AB0ACD"/>
    <w:rsid w:val="00AB0ED0"/>
    <w:rsid w:val="00AB251C"/>
    <w:rsid w:val="00AB39EB"/>
    <w:rsid w:val="00AB622B"/>
    <w:rsid w:val="00AB7BD1"/>
    <w:rsid w:val="00AC09F8"/>
    <w:rsid w:val="00AC1B3D"/>
    <w:rsid w:val="00AC2406"/>
    <w:rsid w:val="00AC6106"/>
    <w:rsid w:val="00AC7F39"/>
    <w:rsid w:val="00AD112D"/>
    <w:rsid w:val="00AD3FCF"/>
    <w:rsid w:val="00AD52DB"/>
    <w:rsid w:val="00AD53AC"/>
    <w:rsid w:val="00AE2707"/>
    <w:rsid w:val="00AE29C6"/>
    <w:rsid w:val="00AE55AE"/>
    <w:rsid w:val="00AF0355"/>
    <w:rsid w:val="00AF085E"/>
    <w:rsid w:val="00AF361D"/>
    <w:rsid w:val="00AF5207"/>
    <w:rsid w:val="00AF584F"/>
    <w:rsid w:val="00AF6385"/>
    <w:rsid w:val="00AF7466"/>
    <w:rsid w:val="00B03265"/>
    <w:rsid w:val="00B03802"/>
    <w:rsid w:val="00B03ACA"/>
    <w:rsid w:val="00B06342"/>
    <w:rsid w:val="00B069AA"/>
    <w:rsid w:val="00B11274"/>
    <w:rsid w:val="00B122EE"/>
    <w:rsid w:val="00B1520B"/>
    <w:rsid w:val="00B1572A"/>
    <w:rsid w:val="00B17479"/>
    <w:rsid w:val="00B178BA"/>
    <w:rsid w:val="00B23A36"/>
    <w:rsid w:val="00B2492E"/>
    <w:rsid w:val="00B253CE"/>
    <w:rsid w:val="00B25576"/>
    <w:rsid w:val="00B25DED"/>
    <w:rsid w:val="00B25EF5"/>
    <w:rsid w:val="00B33DC0"/>
    <w:rsid w:val="00B36A64"/>
    <w:rsid w:val="00B419F2"/>
    <w:rsid w:val="00B50EB2"/>
    <w:rsid w:val="00B51653"/>
    <w:rsid w:val="00B614C9"/>
    <w:rsid w:val="00B62F7F"/>
    <w:rsid w:val="00B6722A"/>
    <w:rsid w:val="00B674C3"/>
    <w:rsid w:val="00B67831"/>
    <w:rsid w:val="00B67FC4"/>
    <w:rsid w:val="00B7335D"/>
    <w:rsid w:val="00B73C68"/>
    <w:rsid w:val="00B7492F"/>
    <w:rsid w:val="00B8119C"/>
    <w:rsid w:val="00B81FD8"/>
    <w:rsid w:val="00B82D78"/>
    <w:rsid w:val="00B84096"/>
    <w:rsid w:val="00B843A1"/>
    <w:rsid w:val="00B87832"/>
    <w:rsid w:val="00BA13EC"/>
    <w:rsid w:val="00BA2139"/>
    <w:rsid w:val="00BA22FD"/>
    <w:rsid w:val="00BA434C"/>
    <w:rsid w:val="00BB5275"/>
    <w:rsid w:val="00BC01BC"/>
    <w:rsid w:val="00BD4F65"/>
    <w:rsid w:val="00BD7607"/>
    <w:rsid w:val="00BE33CD"/>
    <w:rsid w:val="00BE35E4"/>
    <w:rsid w:val="00BF2E14"/>
    <w:rsid w:val="00BF77EF"/>
    <w:rsid w:val="00BF78EE"/>
    <w:rsid w:val="00C03078"/>
    <w:rsid w:val="00C05D37"/>
    <w:rsid w:val="00C06F9E"/>
    <w:rsid w:val="00C12A1D"/>
    <w:rsid w:val="00C12D35"/>
    <w:rsid w:val="00C13E6B"/>
    <w:rsid w:val="00C16440"/>
    <w:rsid w:val="00C2370B"/>
    <w:rsid w:val="00C241DC"/>
    <w:rsid w:val="00C25BDA"/>
    <w:rsid w:val="00C26415"/>
    <w:rsid w:val="00C27193"/>
    <w:rsid w:val="00C304CB"/>
    <w:rsid w:val="00C32B0E"/>
    <w:rsid w:val="00C33603"/>
    <w:rsid w:val="00C41077"/>
    <w:rsid w:val="00C46479"/>
    <w:rsid w:val="00C53FA8"/>
    <w:rsid w:val="00C54621"/>
    <w:rsid w:val="00C548F5"/>
    <w:rsid w:val="00C55DEE"/>
    <w:rsid w:val="00C60297"/>
    <w:rsid w:val="00C6076D"/>
    <w:rsid w:val="00C624D5"/>
    <w:rsid w:val="00C634E8"/>
    <w:rsid w:val="00C65363"/>
    <w:rsid w:val="00C6718D"/>
    <w:rsid w:val="00C6744C"/>
    <w:rsid w:val="00C709FE"/>
    <w:rsid w:val="00C70CAC"/>
    <w:rsid w:val="00C75940"/>
    <w:rsid w:val="00C76473"/>
    <w:rsid w:val="00C76C0D"/>
    <w:rsid w:val="00C770B9"/>
    <w:rsid w:val="00C811E4"/>
    <w:rsid w:val="00C81F89"/>
    <w:rsid w:val="00C82E3D"/>
    <w:rsid w:val="00C848A0"/>
    <w:rsid w:val="00C859E5"/>
    <w:rsid w:val="00C878C5"/>
    <w:rsid w:val="00C90F3C"/>
    <w:rsid w:val="00C927FF"/>
    <w:rsid w:val="00C935E0"/>
    <w:rsid w:val="00C952CD"/>
    <w:rsid w:val="00C96AEA"/>
    <w:rsid w:val="00CA7C71"/>
    <w:rsid w:val="00CA7CA5"/>
    <w:rsid w:val="00CB1F0B"/>
    <w:rsid w:val="00CB2D02"/>
    <w:rsid w:val="00CB4142"/>
    <w:rsid w:val="00CC0B6D"/>
    <w:rsid w:val="00CC4C4B"/>
    <w:rsid w:val="00CD0048"/>
    <w:rsid w:val="00CD01B4"/>
    <w:rsid w:val="00CD5A5E"/>
    <w:rsid w:val="00CE1CD3"/>
    <w:rsid w:val="00CE4F01"/>
    <w:rsid w:val="00CF2F83"/>
    <w:rsid w:val="00CF57CE"/>
    <w:rsid w:val="00CF6765"/>
    <w:rsid w:val="00D00EA1"/>
    <w:rsid w:val="00D0576E"/>
    <w:rsid w:val="00D059F0"/>
    <w:rsid w:val="00D05A71"/>
    <w:rsid w:val="00D05D58"/>
    <w:rsid w:val="00D07AE6"/>
    <w:rsid w:val="00D11D18"/>
    <w:rsid w:val="00D13EED"/>
    <w:rsid w:val="00D16534"/>
    <w:rsid w:val="00D1742F"/>
    <w:rsid w:val="00D21B51"/>
    <w:rsid w:val="00D26B70"/>
    <w:rsid w:val="00D27F42"/>
    <w:rsid w:val="00D30F16"/>
    <w:rsid w:val="00D34465"/>
    <w:rsid w:val="00D40A37"/>
    <w:rsid w:val="00D40AD6"/>
    <w:rsid w:val="00D42D98"/>
    <w:rsid w:val="00D55546"/>
    <w:rsid w:val="00D579AE"/>
    <w:rsid w:val="00D57BAA"/>
    <w:rsid w:val="00D57C39"/>
    <w:rsid w:val="00D57E8C"/>
    <w:rsid w:val="00D6213C"/>
    <w:rsid w:val="00D647C0"/>
    <w:rsid w:val="00D67C65"/>
    <w:rsid w:val="00D7154C"/>
    <w:rsid w:val="00D72238"/>
    <w:rsid w:val="00D72FCE"/>
    <w:rsid w:val="00D77124"/>
    <w:rsid w:val="00D77694"/>
    <w:rsid w:val="00D77B0F"/>
    <w:rsid w:val="00D805AE"/>
    <w:rsid w:val="00D81689"/>
    <w:rsid w:val="00D8260E"/>
    <w:rsid w:val="00D8325C"/>
    <w:rsid w:val="00D86357"/>
    <w:rsid w:val="00D97696"/>
    <w:rsid w:val="00D97CE6"/>
    <w:rsid w:val="00DA03DA"/>
    <w:rsid w:val="00DA321C"/>
    <w:rsid w:val="00DA5D9F"/>
    <w:rsid w:val="00DB2C1F"/>
    <w:rsid w:val="00DB44F7"/>
    <w:rsid w:val="00DB6B52"/>
    <w:rsid w:val="00DB72C4"/>
    <w:rsid w:val="00DC489D"/>
    <w:rsid w:val="00DC54F7"/>
    <w:rsid w:val="00DC6259"/>
    <w:rsid w:val="00DC6674"/>
    <w:rsid w:val="00DD0BCF"/>
    <w:rsid w:val="00DD43A9"/>
    <w:rsid w:val="00DD4C7F"/>
    <w:rsid w:val="00DD57B2"/>
    <w:rsid w:val="00DD5F6B"/>
    <w:rsid w:val="00DD6F1F"/>
    <w:rsid w:val="00DE2087"/>
    <w:rsid w:val="00DE5488"/>
    <w:rsid w:val="00DE75AC"/>
    <w:rsid w:val="00DF2D7B"/>
    <w:rsid w:val="00DF5A52"/>
    <w:rsid w:val="00DF7888"/>
    <w:rsid w:val="00E0422B"/>
    <w:rsid w:val="00E102A2"/>
    <w:rsid w:val="00E10FA9"/>
    <w:rsid w:val="00E168FF"/>
    <w:rsid w:val="00E17C58"/>
    <w:rsid w:val="00E21CD2"/>
    <w:rsid w:val="00E231C2"/>
    <w:rsid w:val="00E24CAD"/>
    <w:rsid w:val="00E25B8A"/>
    <w:rsid w:val="00E2705A"/>
    <w:rsid w:val="00E31A69"/>
    <w:rsid w:val="00E31B0D"/>
    <w:rsid w:val="00E34E27"/>
    <w:rsid w:val="00E37A13"/>
    <w:rsid w:val="00E429DA"/>
    <w:rsid w:val="00E57BF6"/>
    <w:rsid w:val="00E616AB"/>
    <w:rsid w:val="00E6224F"/>
    <w:rsid w:val="00E62C2A"/>
    <w:rsid w:val="00E66BD3"/>
    <w:rsid w:val="00E72B4B"/>
    <w:rsid w:val="00E7585C"/>
    <w:rsid w:val="00E76B1B"/>
    <w:rsid w:val="00E846A1"/>
    <w:rsid w:val="00E8586E"/>
    <w:rsid w:val="00E867A1"/>
    <w:rsid w:val="00E86F26"/>
    <w:rsid w:val="00E92690"/>
    <w:rsid w:val="00E96A06"/>
    <w:rsid w:val="00E96A51"/>
    <w:rsid w:val="00E97A88"/>
    <w:rsid w:val="00EA0919"/>
    <w:rsid w:val="00EA14C1"/>
    <w:rsid w:val="00EA2121"/>
    <w:rsid w:val="00EA56C0"/>
    <w:rsid w:val="00EA6E1C"/>
    <w:rsid w:val="00EB1FFD"/>
    <w:rsid w:val="00EB4D24"/>
    <w:rsid w:val="00EB5240"/>
    <w:rsid w:val="00EC0B55"/>
    <w:rsid w:val="00EC2373"/>
    <w:rsid w:val="00EC520E"/>
    <w:rsid w:val="00EC5E39"/>
    <w:rsid w:val="00ED15CF"/>
    <w:rsid w:val="00ED63DF"/>
    <w:rsid w:val="00EE0584"/>
    <w:rsid w:val="00EE3753"/>
    <w:rsid w:val="00EE4A4C"/>
    <w:rsid w:val="00EF0555"/>
    <w:rsid w:val="00EF6D21"/>
    <w:rsid w:val="00F01019"/>
    <w:rsid w:val="00F034BF"/>
    <w:rsid w:val="00F059BE"/>
    <w:rsid w:val="00F117DD"/>
    <w:rsid w:val="00F2155C"/>
    <w:rsid w:val="00F233A3"/>
    <w:rsid w:val="00F23D7A"/>
    <w:rsid w:val="00F26D30"/>
    <w:rsid w:val="00F31B22"/>
    <w:rsid w:val="00F36CAF"/>
    <w:rsid w:val="00F371BD"/>
    <w:rsid w:val="00F404A4"/>
    <w:rsid w:val="00F41A38"/>
    <w:rsid w:val="00F42A06"/>
    <w:rsid w:val="00F4755A"/>
    <w:rsid w:val="00F50A26"/>
    <w:rsid w:val="00F51A42"/>
    <w:rsid w:val="00F57152"/>
    <w:rsid w:val="00F61826"/>
    <w:rsid w:val="00F6390F"/>
    <w:rsid w:val="00F7362C"/>
    <w:rsid w:val="00F7370D"/>
    <w:rsid w:val="00F74A3E"/>
    <w:rsid w:val="00F764E0"/>
    <w:rsid w:val="00F833A5"/>
    <w:rsid w:val="00F87D46"/>
    <w:rsid w:val="00F92F61"/>
    <w:rsid w:val="00F93016"/>
    <w:rsid w:val="00F97794"/>
    <w:rsid w:val="00F97EAA"/>
    <w:rsid w:val="00FA027D"/>
    <w:rsid w:val="00FA0339"/>
    <w:rsid w:val="00FA1B59"/>
    <w:rsid w:val="00FA1E63"/>
    <w:rsid w:val="00FB2447"/>
    <w:rsid w:val="00FB3DE7"/>
    <w:rsid w:val="00FB6F10"/>
    <w:rsid w:val="00FC4CF8"/>
    <w:rsid w:val="00FC5DA7"/>
    <w:rsid w:val="00FD0F5D"/>
    <w:rsid w:val="00FD258D"/>
    <w:rsid w:val="00FD6C21"/>
    <w:rsid w:val="00FD7A76"/>
    <w:rsid w:val="00FE2022"/>
    <w:rsid w:val="00FE226D"/>
    <w:rsid w:val="00FE53E6"/>
    <w:rsid w:val="00FE54C4"/>
    <w:rsid w:val="00FE64BB"/>
    <w:rsid w:val="00FF2457"/>
    <w:rsid w:val="00FF781C"/>
    <w:rsid w:val="138CF7EB"/>
    <w:rsid w:val="161CA94D"/>
    <w:rsid w:val="1A530391"/>
    <w:rsid w:val="274F240E"/>
    <w:rsid w:val="3689445F"/>
    <w:rsid w:val="372444F5"/>
    <w:rsid w:val="3B0D0E40"/>
    <w:rsid w:val="460DB740"/>
    <w:rsid w:val="489020F5"/>
    <w:rsid w:val="526F7035"/>
    <w:rsid w:val="643BB039"/>
    <w:rsid w:val="64EE9912"/>
    <w:rsid w:val="7485E906"/>
    <w:rsid w:val="756A48EC"/>
    <w:rsid w:val="7E44FD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385F0043-D48E-43AE-B945-D233D24C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styleId="Mention">
    <w:name w:val="Mention"/>
    <w:basedOn w:val="DefaultParagraphFont"/>
    <w:uiPriority w:val="99"/>
    <w:unhideWhenUsed/>
    <w:rsid w:val="00460A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_x002e_ xmlns="135af73b-165d-49a8-a0c6-a1ff58b9cb2d" xsi:nil="true"/>
    <Owner xmlns="135af73b-165d-49a8-a0c6-a1ff58b9cb2d" xsi:nil="true"/>
    <Order0 xmlns="135af73b-165d-49a8-a0c6-a1ff58b9cb2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A41252D04EB244E8A13BE976871780F" ma:contentTypeVersion="8" ma:contentTypeDescription="Create a new document." ma:contentTypeScope="" ma:versionID="88d059754213eb660d625c53ecd9cd5d">
  <xsd:schema xmlns:xsd="http://www.w3.org/2001/XMLSchema" xmlns:xs="http://www.w3.org/2001/XMLSchema" xmlns:p="http://schemas.microsoft.com/office/2006/metadata/properties" xmlns:ns2="135af73b-165d-49a8-a0c6-a1ff58b9cb2d" targetNamespace="http://schemas.microsoft.com/office/2006/metadata/properties" ma:root="true" ma:fieldsID="a3946edffef2b869ddaba7d008d35ee6" ns2:_="">
    <xsd:import namespace="135af73b-165d-49a8-a0c6-a1ff58b9cb2d"/>
    <xsd:element name="properties">
      <xsd:complexType>
        <xsd:sequence>
          <xsd:element name="documentManagement">
            <xsd:complexType>
              <xsd:all>
                <xsd:element ref="ns2:Owner" minOccurs="0"/>
                <xsd:element ref="ns2:Descrip_x002e_" minOccurs="0"/>
                <xsd:element ref="ns2:MediaServiceMetadata" minOccurs="0"/>
                <xsd:element ref="ns2:MediaServiceFastMetadata"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af73b-165d-49a8-a0c6-a1ff58b9cb2d" elementFormDefault="qualified">
    <xsd:import namespace="http://schemas.microsoft.com/office/2006/documentManagement/types"/>
    <xsd:import namespace="http://schemas.microsoft.com/office/infopath/2007/PartnerControls"/>
    <xsd:element name="Owner" ma:index="8" nillable="true" ma:displayName="Owner" ma:format="Dropdown" ma:internalName="Owner">
      <xsd:simpleType>
        <xsd:restriction base="dms:Choice">
          <xsd:enumeration value="Applications"/>
          <xsd:enumeration value="Registrar's Office"/>
          <xsd:enumeration value="Consumer Protection &amp; Industry Performance"/>
          <xsd:enumeration value="Public Affairs"/>
          <xsd:enumeration value="Executive Office"/>
        </xsd:restriction>
      </xsd:simpleType>
    </xsd:element>
    <xsd:element name="Descrip_x002e_" ma:index="9" nillable="true" ma:displayName="Descrip." ma:format="Dropdown" ma:internalName="Descrip_x002e_">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format="Dropdown"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FD318-E47C-4F5B-9EEC-F73DF3D93425}">
  <ds:schemaRefs>
    <ds:schemaRef ds:uri="http://schemas.microsoft.com/sharepoint/v3/contenttype/forms"/>
  </ds:schemaRefs>
</ds:datastoreItem>
</file>

<file path=customXml/itemProps2.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135af73b-165d-49a8-a0c6-a1ff58b9cb2d"/>
  </ds:schemaRefs>
</ds:datastoreItem>
</file>

<file path=customXml/itemProps3.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4.xml><?xml version="1.0" encoding="utf-8"?>
<ds:datastoreItem xmlns:ds="http://schemas.openxmlformats.org/officeDocument/2006/customXml" ds:itemID="{0F795003-A123-47B0-8634-A210404E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af73b-165d-49a8-a0c6-a1ff58b9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736</Words>
  <Characters>4262</Characters>
  <Application>Microsoft Office Word</Application>
  <DocSecurity>0</DocSecurity>
  <Lines>101</Lines>
  <Paragraphs>51</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4947</CharactersWithSpaces>
  <SharedDoc>false</SharedDoc>
  <HLinks>
    <vt:vector size="12" baseType="variant">
      <vt:variant>
        <vt:i4>1703998</vt:i4>
      </vt:variant>
      <vt:variant>
        <vt:i4>3</vt:i4>
      </vt:variant>
      <vt:variant>
        <vt:i4>0</vt:i4>
      </vt:variant>
      <vt:variant>
        <vt:i4>5</vt:i4>
      </vt:variant>
      <vt:variant>
        <vt:lpwstr>mailto:Martinda@oeb.ca</vt:lpwstr>
      </vt:variant>
      <vt:variant>
        <vt:lpwstr/>
      </vt:variant>
      <vt:variant>
        <vt:i4>1703998</vt:i4>
      </vt:variant>
      <vt:variant>
        <vt:i4>0</vt:i4>
      </vt:variant>
      <vt:variant>
        <vt:i4>0</vt:i4>
      </vt:variant>
      <vt:variant>
        <vt:i4>5</vt:i4>
      </vt:variant>
      <vt:variant>
        <vt:lpwstr>mailto:Martinda@oeb.ca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subject/>
  <dc:creator>OEB</dc:creator>
  <cp:keywords/>
  <cp:lastModifiedBy>Urooj Iqbal</cp:lastModifiedBy>
  <cp:revision>11</cp:revision>
  <cp:lastPrinted>2014-09-29T17:43:00Z</cp:lastPrinted>
  <dcterms:created xsi:type="dcterms:W3CDTF">2025-11-19T21:02:00Z</dcterms:created>
  <dcterms:modified xsi:type="dcterms:W3CDTF">2025-11-21T12:22:00Z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0x0101007A41252D04EB244E8A13BE976871780F</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