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E0D6" w14:textId="3189B046" w:rsidR="00A07077" w:rsidRPr="00D57E8C" w:rsidRDefault="00204499" w:rsidP="00A07077">
      <w:pPr>
        <w:pStyle w:val="Default"/>
        <w:jc w:val="center"/>
        <w:rPr>
          <w:rFonts w:ascii="Arial" w:hAnsi="Arial" w:cs="Arial"/>
          <w:sz w:val="28"/>
          <w:szCs w:val="28"/>
        </w:rPr>
      </w:pPr>
      <w:r>
        <w:rPr>
          <w:rFonts w:ascii="Arial" w:hAnsi="Arial" w:cs="Arial"/>
          <w:b/>
          <w:bCs/>
          <w:sz w:val="28"/>
          <w:szCs w:val="28"/>
        </w:rPr>
        <w:t>Fort Frances Power Corporation</w:t>
      </w:r>
    </w:p>
    <w:p w14:paraId="33D6510D" w14:textId="6F73544A" w:rsidR="00A07077" w:rsidRDefault="00623602" w:rsidP="00AB251C">
      <w:pPr>
        <w:pStyle w:val="Default"/>
        <w:spacing w:after="360"/>
        <w:contextualSpacing/>
        <w:jc w:val="center"/>
        <w:rPr>
          <w:rFonts w:ascii="Arial" w:hAnsi="Arial" w:cs="Arial"/>
          <w:b/>
          <w:bCs/>
          <w:sz w:val="28"/>
          <w:szCs w:val="28"/>
        </w:rPr>
      </w:pPr>
      <w:r>
        <w:rPr>
          <w:rFonts w:ascii="Arial" w:hAnsi="Arial" w:cs="Arial"/>
          <w:b/>
          <w:bCs/>
          <w:sz w:val="28"/>
          <w:szCs w:val="28"/>
        </w:rPr>
        <w:t>EB-20</w:t>
      </w:r>
      <w:r w:rsidR="00392051">
        <w:rPr>
          <w:rFonts w:ascii="Arial" w:hAnsi="Arial" w:cs="Arial"/>
          <w:b/>
          <w:bCs/>
          <w:sz w:val="28"/>
          <w:szCs w:val="28"/>
        </w:rPr>
        <w:t>25-0038</w:t>
      </w:r>
    </w:p>
    <w:p w14:paraId="5999C199" w14:textId="5509DB8A" w:rsidR="00D77124" w:rsidRDefault="00C053A1" w:rsidP="00AB251C">
      <w:pPr>
        <w:pStyle w:val="Default"/>
        <w:spacing w:after="360"/>
        <w:contextualSpacing/>
        <w:jc w:val="center"/>
        <w:rPr>
          <w:rFonts w:ascii="Arial" w:hAnsi="Arial" w:cs="Arial"/>
          <w:b/>
          <w:bCs/>
          <w:sz w:val="28"/>
          <w:szCs w:val="28"/>
        </w:rPr>
      </w:pPr>
      <w:r>
        <w:rPr>
          <w:rFonts w:ascii="Arial" w:hAnsi="Arial" w:cs="Arial"/>
          <w:b/>
          <w:bCs/>
          <w:sz w:val="28"/>
          <w:szCs w:val="28"/>
        </w:rPr>
        <w:t>December 11, 2025</w:t>
      </w:r>
    </w:p>
    <w:p w14:paraId="2A0CB1B0" w14:textId="638B3B97" w:rsidR="00E86F26" w:rsidRPr="004D54A1" w:rsidRDefault="00E86F26" w:rsidP="00AB251C">
      <w:pPr>
        <w:autoSpaceDE w:val="0"/>
        <w:autoSpaceDN w:val="0"/>
        <w:adjustRightInd w:val="0"/>
        <w:spacing w:after="240" w:line="240" w:lineRule="auto"/>
        <w:rPr>
          <w:rFonts w:ascii="Arial" w:eastAsia="Calibri" w:hAnsi="Arial" w:cs="Arial"/>
          <w:sz w:val="24"/>
          <w:szCs w:val="24"/>
        </w:rPr>
      </w:pPr>
      <w:bookmarkStart w:id="0" w:name="_Hlk55806661"/>
      <w:r w:rsidRPr="004D54A1">
        <w:rPr>
          <w:rFonts w:ascii="Arial" w:eastAsia="Calibri" w:hAnsi="Arial" w:cs="Arial"/>
          <w:sz w:val="24"/>
          <w:szCs w:val="24"/>
        </w:rPr>
        <w:t xml:space="preserve">Please note, </w:t>
      </w:r>
      <w:r w:rsidR="00392051" w:rsidRPr="004D54A1">
        <w:rPr>
          <w:rFonts w:ascii="Arial" w:eastAsia="Calibri" w:hAnsi="Arial" w:cs="Arial"/>
          <w:sz w:val="24"/>
          <w:szCs w:val="24"/>
        </w:rPr>
        <w:t>Fort Frances Power Corporation</w:t>
      </w:r>
      <w:r w:rsidR="00D77124" w:rsidRPr="004D54A1">
        <w:rPr>
          <w:rFonts w:ascii="Arial" w:eastAsia="Calibri" w:hAnsi="Arial" w:cs="Arial"/>
          <w:sz w:val="24"/>
          <w:szCs w:val="24"/>
        </w:rPr>
        <w:t xml:space="preserve"> (</w:t>
      </w:r>
      <w:r w:rsidR="00392051" w:rsidRPr="004D54A1">
        <w:rPr>
          <w:rFonts w:ascii="Arial" w:eastAsia="Calibri" w:hAnsi="Arial" w:cs="Arial"/>
          <w:sz w:val="24"/>
          <w:szCs w:val="24"/>
        </w:rPr>
        <w:t>FFPC</w:t>
      </w:r>
      <w:r w:rsidR="00D77124" w:rsidRPr="004D54A1">
        <w:rPr>
          <w:rFonts w:ascii="Arial" w:eastAsia="Calibri" w:hAnsi="Arial" w:cs="Arial"/>
          <w:sz w:val="24"/>
          <w:szCs w:val="24"/>
        </w:rPr>
        <w:t>)</w:t>
      </w:r>
      <w:r w:rsidRPr="004D54A1">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4D54A1">
        <w:rPr>
          <w:rFonts w:ascii="Arial" w:eastAsia="Calibri" w:hAnsi="Arial" w:cs="Arial"/>
          <w:i/>
          <w:iCs/>
          <w:sz w:val="24"/>
          <w:szCs w:val="24"/>
        </w:rPr>
        <w:t>Freedom of Information and Protection of Privacy Act</w:t>
      </w:r>
      <w:r w:rsidRPr="004D54A1">
        <w:rPr>
          <w:rFonts w:ascii="Arial" w:eastAsia="Calibri" w:hAnsi="Arial" w:cs="Arial"/>
          <w:sz w:val="24"/>
          <w:szCs w:val="24"/>
        </w:rPr>
        <w:t xml:space="preserve">, unless filed in accordance with rule 9A of the OEB’s </w:t>
      </w:r>
      <w:r w:rsidRPr="004D54A1">
        <w:rPr>
          <w:rFonts w:ascii="Arial" w:eastAsia="Calibri" w:hAnsi="Arial" w:cs="Arial"/>
          <w:i/>
          <w:iCs/>
          <w:sz w:val="24"/>
          <w:szCs w:val="24"/>
        </w:rPr>
        <w:t>Rules of Practice and Procedure</w:t>
      </w:r>
      <w:r w:rsidRPr="004D54A1">
        <w:rPr>
          <w:rFonts w:ascii="Arial" w:eastAsia="Calibri" w:hAnsi="Arial" w:cs="Arial"/>
          <w:sz w:val="24"/>
          <w:szCs w:val="24"/>
        </w:rPr>
        <w:t>.</w:t>
      </w:r>
    </w:p>
    <w:p w14:paraId="73DD0515" w14:textId="77777777" w:rsidR="00204499" w:rsidRPr="004D54A1" w:rsidRDefault="00D57E8C" w:rsidP="00204499">
      <w:pPr>
        <w:spacing w:after="240"/>
        <w:rPr>
          <w:rFonts w:ascii="Arial" w:hAnsi="Arial" w:cs="Arial"/>
          <w:b/>
          <w:sz w:val="24"/>
          <w:szCs w:val="24"/>
        </w:rPr>
      </w:pPr>
      <w:bookmarkStart w:id="1" w:name="_Hlk216336125"/>
      <w:bookmarkEnd w:id="0"/>
      <w:r w:rsidRPr="004D54A1">
        <w:rPr>
          <w:rFonts w:ascii="Arial" w:hAnsi="Arial" w:cs="Arial"/>
          <w:b/>
          <w:sz w:val="24"/>
          <w:szCs w:val="24"/>
        </w:rPr>
        <w:t>Staff Question-1</w:t>
      </w:r>
    </w:p>
    <w:p w14:paraId="1E7D1620" w14:textId="0118FDE1" w:rsidR="00204499" w:rsidRPr="004D54A1" w:rsidRDefault="00204499" w:rsidP="00204499">
      <w:pPr>
        <w:spacing w:after="240"/>
        <w:rPr>
          <w:rStyle w:val="normaltextrun"/>
          <w:rFonts w:ascii="Arial" w:hAnsi="Arial" w:cs="Arial"/>
          <w:b/>
          <w:bCs/>
          <w:sz w:val="24"/>
          <w:szCs w:val="24"/>
        </w:rPr>
      </w:pPr>
      <w:r w:rsidRPr="005879A3">
        <w:rPr>
          <w:rStyle w:val="normaltextrun"/>
          <w:rFonts w:ascii="Arial" w:hAnsi="Arial" w:cs="Arial"/>
          <w:b/>
          <w:bCs/>
          <w:color w:val="000000"/>
          <w:sz w:val="24"/>
          <w:szCs w:val="24"/>
        </w:rPr>
        <w:t>Ref 1: IRM Rate Generator Model, Tab 3</w:t>
      </w:r>
    </w:p>
    <w:p w14:paraId="3FC68857" w14:textId="77777777" w:rsidR="00204499" w:rsidRPr="004D54A1" w:rsidRDefault="00204499" w:rsidP="00204499">
      <w:pPr>
        <w:pStyle w:val="paragraph"/>
        <w:spacing w:before="0" w:beforeAutospacing="0" w:after="0" w:afterAutospacing="0" w:line="276" w:lineRule="auto"/>
        <w:textAlignment w:val="baseline"/>
        <w:rPr>
          <w:rStyle w:val="normaltextrun"/>
          <w:rFonts w:ascii="Arial" w:hAnsi="Arial" w:cs="Arial"/>
          <w:b/>
          <w:bCs/>
          <w:color w:val="000000"/>
        </w:rPr>
      </w:pPr>
      <w:r w:rsidRPr="004D54A1">
        <w:rPr>
          <w:rStyle w:val="normaltextrun"/>
          <w:rFonts w:ascii="Arial" w:hAnsi="Arial" w:cs="Arial"/>
          <w:b/>
          <w:bCs/>
          <w:color w:val="000000"/>
        </w:rPr>
        <w:t>Preamble:</w:t>
      </w:r>
    </w:p>
    <w:p w14:paraId="7D9C8275" w14:textId="77777777" w:rsidR="006A6AE9" w:rsidRDefault="006A6AE9" w:rsidP="00204499">
      <w:pPr>
        <w:pStyle w:val="paragraph"/>
        <w:spacing w:before="0" w:beforeAutospacing="0" w:after="0" w:afterAutospacing="0" w:line="276" w:lineRule="auto"/>
        <w:textAlignment w:val="baseline"/>
        <w:rPr>
          <w:rStyle w:val="normaltextrun"/>
          <w:rFonts w:ascii="Arial" w:hAnsi="Arial" w:cs="Arial"/>
          <w:color w:val="000000"/>
        </w:rPr>
      </w:pPr>
    </w:p>
    <w:p w14:paraId="3E694CB8" w14:textId="6D09A526" w:rsidR="00204499" w:rsidRPr="004D54A1" w:rsidRDefault="00204499" w:rsidP="00204499">
      <w:pPr>
        <w:pStyle w:val="paragraph"/>
        <w:spacing w:before="0" w:beforeAutospacing="0" w:after="0" w:afterAutospacing="0" w:line="276" w:lineRule="auto"/>
        <w:textAlignment w:val="baseline"/>
        <w:rPr>
          <w:rFonts w:ascii="Arial" w:hAnsi="Arial" w:cs="Arial"/>
          <w:color w:val="000000"/>
        </w:rPr>
      </w:pPr>
      <w:r w:rsidRPr="004D54A1">
        <w:rPr>
          <w:rStyle w:val="normaltextrun"/>
          <w:rFonts w:ascii="Arial" w:hAnsi="Arial" w:cs="Arial"/>
          <w:color w:val="000000"/>
        </w:rPr>
        <w:t xml:space="preserve">On December </w:t>
      </w:r>
      <w:r w:rsidR="00065801" w:rsidRPr="004D54A1">
        <w:rPr>
          <w:rStyle w:val="normaltextrun"/>
          <w:rFonts w:ascii="Arial" w:hAnsi="Arial" w:cs="Arial"/>
          <w:color w:val="000000"/>
        </w:rPr>
        <w:t>10</w:t>
      </w:r>
      <w:r w:rsidRPr="004D54A1">
        <w:rPr>
          <w:rStyle w:val="normaltextrun"/>
          <w:rFonts w:ascii="Arial" w:hAnsi="Arial" w:cs="Arial"/>
          <w:color w:val="000000"/>
        </w:rPr>
        <w:t>, 2026, the OEB published the 2026 Quarter 1 prescribed accounting interest rates applicable to the carrying charges of deferral, variance and construction work in progress (CWIP) accounts of natural gas utilities, electricity distributors and other rate-regulated entities.</w:t>
      </w:r>
      <w:r w:rsidRPr="004D54A1">
        <w:rPr>
          <w:rStyle w:val="eop"/>
          <w:rFonts w:ascii="Arial" w:hAnsi="Arial" w:cs="Arial"/>
          <w:color w:val="000000"/>
        </w:rPr>
        <w:t> </w:t>
      </w:r>
    </w:p>
    <w:p w14:paraId="68B103E3" w14:textId="77777777" w:rsidR="00204499" w:rsidRPr="004D54A1" w:rsidRDefault="00204499" w:rsidP="00204499">
      <w:pPr>
        <w:pStyle w:val="paragraph"/>
        <w:spacing w:before="0" w:beforeAutospacing="0" w:after="0" w:afterAutospacing="0" w:line="276" w:lineRule="auto"/>
        <w:textAlignment w:val="baseline"/>
        <w:rPr>
          <w:rStyle w:val="eop"/>
          <w:rFonts w:ascii="Arial" w:hAnsi="Arial" w:cs="Arial"/>
          <w:color w:val="000000"/>
        </w:rPr>
      </w:pPr>
    </w:p>
    <w:p w14:paraId="69EEFB85" w14:textId="77777777" w:rsidR="00204499" w:rsidRPr="004D54A1" w:rsidRDefault="00204499" w:rsidP="00204499">
      <w:pPr>
        <w:pStyle w:val="paragraph"/>
        <w:spacing w:before="0" w:beforeAutospacing="0" w:after="0" w:afterAutospacing="0" w:line="276" w:lineRule="auto"/>
        <w:textAlignment w:val="baseline"/>
        <w:rPr>
          <w:rFonts w:ascii="Arial" w:hAnsi="Arial" w:cs="Arial"/>
          <w:color w:val="000000"/>
        </w:rPr>
      </w:pPr>
      <w:r w:rsidRPr="004D54A1">
        <w:rPr>
          <w:rStyle w:val="eop"/>
          <w:rFonts w:ascii="Arial" w:hAnsi="Arial" w:cs="Arial"/>
          <w:b/>
          <w:bCs/>
          <w:color w:val="000000"/>
        </w:rPr>
        <w:t>Question(s):</w:t>
      </w:r>
      <w:r w:rsidRPr="004D54A1">
        <w:rPr>
          <w:rStyle w:val="eop"/>
          <w:rFonts w:ascii="Arial" w:hAnsi="Arial" w:cs="Arial"/>
          <w:color w:val="000000"/>
        </w:rPr>
        <w:t> </w:t>
      </w:r>
    </w:p>
    <w:p w14:paraId="10341847" w14:textId="0C2906C1" w:rsidR="00204499" w:rsidRPr="004D54A1" w:rsidRDefault="00204499" w:rsidP="00204499">
      <w:pPr>
        <w:pStyle w:val="paragraph"/>
        <w:numPr>
          <w:ilvl w:val="0"/>
          <w:numId w:val="28"/>
        </w:numPr>
        <w:spacing w:before="0" w:beforeAutospacing="0" w:after="0" w:afterAutospacing="0" w:line="276" w:lineRule="auto"/>
        <w:textAlignment w:val="baseline"/>
        <w:rPr>
          <w:rStyle w:val="eop"/>
          <w:rFonts w:ascii="Arial" w:hAnsi="Arial" w:cs="Arial"/>
        </w:rPr>
      </w:pPr>
      <w:r w:rsidRPr="004D54A1">
        <w:rPr>
          <w:rStyle w:val="normaltextrun"/>
          <w:rFonts w:ascii="Arial" w:hAnsi="Arial" w:cs="Arial"/>
        </w:rPr>
        <w:t>Please update Tab 3 (Continuity Schedule) as necessary to reflect the Q1 2026 OEB-prescribed interest rate of</w:t>
      </w:r>
      <w:r w:rsidR="00065801" w:rsidRPr="004D54A1">
        <w:rPr>
          <w:rStyle w:val="normaltextrun"/>
          <w:rFonts w:ascii="Arial" w:hAnsi="Arial" w:cs="Arial"/>
        </w:rPr>
        <w:t xml:space="preserve"> 2.55</w:t>
      </w:r>
      <w:r w:rsidRPr="004D54A1">
        <w:rPr>
          <w:rStyle w:val="normaltextrun"/>
          <w:rFonts w:ascii="Arial" w:hAnsi="Arial" w:cs="Arial"/>
        </w:rPr>
        <w:t>%.</w:t>
      </w:r>
      <w:r w:rsidRPr="004D54A1">
        <w:rPr>
          <w:rStyle w:val="eop"/>
          <w:rFonts w:ascii="Arial" w:hAnsi="Arial" w:cs="Arial"/>
        </w:rPr>
        <w:t> </w:t>
      </w:r>
    </w:p>
    <w:p w14:paraId="43AE605B" w14:textId="77777777" w:rsidR="00D57E8C" w:rsidRPr="004D54A1" w:rsidRDefault="00D57E8C" w:rsidP="00AB251C">
      <w:pPr>
        <w:spacing w:after="240"/>
        <w:rPr>
          <w:rFonts w:ascii="Arial" w:hAnsi="Arial" w:cs="Arial"/>
          <w:b/>
          <w:sz w:val="24"/>
          <w:szCs w:val="24"/>
        </w:rPr>
      </w:pPr>
    </w:p>
    <w:p w14:paraId="74ABCE6D" w14:textId="7E1B1E9C" w:rsidR="00404EAD" w:rsidRPr="004D54A1" w:rsidRDefault="00392051" w:rsidP="00404EAD">
      <w:pPr>
        <w:spacing w:after="240"/>
        <w:rPr>
          <w:rStyle w:val="normaltextrun"/>
          <w:rFonts w:ascii="Arial" w:hAnsi="Arial" w:cs="Arial"/>
          <w:b/>
          <w:sz w:val="24"/>
          <w:szCs w:val="24"/>
        </w:rPr>
      </w:pPr>
      <w:r w:rsidRPr="004D54A1">
        <w:rPr>
          <w:rFonts w:ascii="Arial" w:hAnsi="Arial" w:cs="Arial"/>
          <w:b/>
          <w:sz w:val="24"/>
          <w:szCs w:val="24"/>
        </w:rPr>
        <w:t>Staff Question-2</w:t>
      </w:r>
    </w:p>
    <w:p w14:paraId="14BAE73C" w14:textId="1CF4BFBB" w:rsidR="00404EAD" w:rsidRPr="005879A3" w:rsidRDefault="00404EAD" w:rsidP="00B009C4">
      <w:pPr>
        <w:pStyle w:val="paragraph"/>
        <w:spacing w:before="0" w:beforeAutospacing="0" w:after="0" w:afterAutospacing="0"/>
        <w:textAlignment w:val="baseline"/>
        <w:rPr>
          <w:rFonts w:ascii="Arial" w:hAnsi="Arial" w:cs="Arial"/>
        </w:rPr>
      </w:pPr>
      <w:r w:rsidRPr="004D54A1">
        <w:rPr>
          <w:rStyle w:val="normaltextrun"/>
          <w:rFonts w:ascii="Arial" w:hAnsi="Arial" w:cs="Arial"/>
          <w:b/>
          <w:bCs/>
          <w:lang w:val="en-CA"/>
        </w:rPr>
        <w:t>Ref 1:</w:t>
      </w:r>
      <w:r w:rsidRPr="005879A3">
        <w:rPr>
          <w:rStyle w:val="tabchar"/>
          <w:rFonts w:ascii="Arial" w:hAnsi="Arial" w:cs="Arial"/>
        </w:rPr>
        <w:tab/>
      </w:r>
      <w:r w:rsidRPr="004D54A1">
        <w:rPr>
          <w:rStyle w:val="normaltextrun"/>
          <w:rFonts w:ascii="Arial" w:hAnsi="Arial" w:cs="Arial"/>
          <w:b/>
          <w:bCs/>
          <w:lang w:val="en-CA"/>
        </w:rPr>
        <w:t>202</w:t>
      </w:r>
      <w:r w:rsidR="006A6AE9">
        <w:rPr>
          <w:rStyle w:val="normaltextrun"/>
          <w:rFonts w:ascii="Arial" w:hAnsi="Arial" w:cs="Arial"/>
          <w:b/>
          <w:bCs/>
          <w:lang w:val="en-CA"/>
        </w:rPr>
        <w:t>6</w:t>
      </w:r>
      <w:r w:rsidRPr="004D54A1">
        <w:rPr>
          <w:rStyle w:val="normaltextrun"/>
          <w:rFonts w:ascii="Arial" w:hAnsi="Arial" w:cs="Arial"/>
          <w:b/>
          <w:bCs/>
          <w:lang w:val="en-CA"/>
        </w:rPr>
        <w:t xml:space="preserve"> Rate Generator Model, Tabs 11, 15 and 20</w:t>
      </w:r>
      <w:r w:rsidRPr="004D54A1">
        <w:rPr>
          <w:rStyle w:val="eop"/>
          <w:rFonts w:ascii="Arial" w:hAnsi="Arial" w:cs="Arial"/>
        </w:rPr>
        <w:t> </w:t>
      </w:r>
    </w:p>
    <w:p w14:paraId="6145A2CA" w14:textId="77777777" w:rsidR="00404EAD" w:rsidRPr="005879A3" w:rsidRDefault="00404EAD" w:rsidP="005879A3">
      <w:pPr>
        <w:pStyle w:val="paragraph"/>
        <w:spacing w:before="0" w:beforeAutospacing="0" w:after="0" w:afterAutospacing="0"/>
        <w:ind w:left="540" w:hanging="540"/>
        <w:textAlignment w:val="baseline"/>
        <w:rPr>
          <w:rFonts w:ascii="Arial" w:hAnsi="Arial" w:cs="Arial"/>
        </w:rPr>
      </w:pPr>
      <w:r w:rsidRPr="004D54A1">
        <w:rPr>
          <w:rStyle w:val="normaltextrun"/>
          <w:rFonts w:ascii="Arial" w:hAnsi="Arial" w:cs="Arial"/>
          <w:b/>
          <w:bCs/>
          <w:lang w:val="en-CA"/>
        </w:rPr>
        <w:t>Ref 2:</w:t>
      </w:r>
      <w:r w:rsidRPr="005879A3">
        <w:rPr>
          <w:rStyle w:val="tabchar"/>
          <w:rFonts w:ascii="Arial" w:hAnsi="Arial" w:cs="Arial"/>
        </w:rPr>
        <w:tab/>
      </w:r>
      <w:r w:rsidRPr="004D54A1">
        <w:rPr>
          <w:rStyle w:val="normaltextrun"/>
          <w:rFonts w:ascii="Arial" w:hAnsi="Arial" w:cs="Arial"/>
          <w:b/>
          <w:bCs/>
          <w:lang w:val="en-CA"/>
        </w:rPr>
        <w:t>OEB Letter, EB-2025-0232, 2026 Preliminary Uniform Transmission Rates and Hydro One Sub-Transmission Rates, October 9, 2025</w:t>
      </w:r>
      <w:r w:rsidRPr="004D54A1">
        <w:rPr>
          <w:rStyle w:val="eop"/>
          <w:rFonts w:ascii="Arial" w:hAnsi="Arial" w:cs="Arial"/>
        </w:rPr>
        <w:t> </w:t>
      </w:r>
    </w:p>
    <w:p w14:paraId="70C5AF17" w14:textId="77777777" w:rsidR="00B009C4" w:rsidRPr="004D54A1" w:rsidRDefault="00B009C4" w:rsidP="00404EAD">
      <w:pPr>
        <w:pStyle w:val="paragraph"/>
        <w:spacing w:before="0" w:beforeAutospacing="0" w:after="0" w:afterAutospacing="0"/>
        <w:textAlignment w:val="baseline"/>
        <w:rPr>
          <w:rStyle w:val="normaltextrun"/>
          <w:rFonts w:ascii="Arial" w:hAnsi="Arial" w:cs="Arial"/>
          <w:b/>
          <w:bCs/>
          <w:lang w:val="en-CA"/>
        </w:rPr>
      </w:pPr>
      <w:bookmarkStart w:id="2" w:name="_Hlk216173039"/>
    </w:p>
    <w:p w14:paraId="47830FDA" w14:textId="5E7605B4" w:rsidR="00404EAD" w:rsidRPr="005879A3" w:rsidRDefault="00404EAD" w:rsidP="00404EAD">
      <w:pPr>
        <w:pStyle w:val="paragraph"/>
        <w:spacing w:before="0" w:beforeAutospacing="0" w:after="0" w:afterAutospacing="0"/>
        <w:textAlignment w:val="baseline"/>
        <w:rPr>
          <w:rFonts w:ascii="Arial" w:hAnsi="Arial" w:cs="Arial"/>
        </w:rPr>
      </w:pPr>
      <w:r w:rsidRPr="004D54A1">
        <w:rPr>
          <w:rStyle w:val="normaltextrun"/>
          <w:rFonts w:ascii="Arial" w:hAnsi="Arial" w:cs="Arial"/>
          <w:b/>
          <w:bCs/>
          <w:lang w:val="en-CA"/>
        </w:rPr>
        <w:t>Preamble</w:t>
      </w:r>
      <w:bookmarkEnd w:id="2"/>
      <w:r w:rsidRPr="004D54A1">
        <w:rPr>
          <w:rStyle w:val="normaltextrun"/>
          <w:rFonts w:ascii="Arial" w:hAnsi="Arial" w:cs="Arial"/>
          <w:b/>
          <w:bCs/>
          <w:lang w:val="en-CA"/>
        </w:rPr>
        <w:t>:</w:t>
      </w:r>
      <w:r w:rsidRPr="004D54A1">
        <w:rPr>
          <w:rStyle w:val="eop"/>
          <w:rFonts w:ascii="Arial" w:hAnsi="Arial" w:cs="Arial"/>
        </w:rPr>
        <w:t> </w:t>
      </w:r>
    </w:p>
    <w:p w14:paraId="0A03EA53" w14:textId="77777777" w:rsidR="00404EAD" w:rsidRPr="005879A3" w:rsidRDefault="00404EAD" w:rsidP="00404EAD">
      <w:pPr>
        <w:pStyle w:val="paragraph"/>
        <w:spacing w:before="0" w:beforeAutospacing="0" w:after="0" w:afterAutospacing="0"/>
        <w:textAlignment w:val="baseline"/>
        <w:rPr>
          <w:rFonts w:ascii="Arial" w:hAnsi="Arial" w:cs="Arial"/>
        </w:rPr>
      </w:pPr>
      <w:r w:rsidRPr="004D54A1">
        <w:rPr>
          <w:rStyle w:val="eop"/>
          <w:rFonts w:ascii="Arial" w:hAnsi="Arial" w:cs="Arial"/>
        </w:rPr>
        <w:t> </w:t>
      </w:r>
    </w:p>
    <w:p w14:paraId="53413A9B" w14:textId="77777777" w:rsidR="00404EAD" w:rsidRPr="004D54A1" w:rsidRDefault="00404EAD" w:rsidP="00404EAD">
      <w:pPr>
        <w:pStyle w:val="paragraph"/>
        <w:spacing w:before="0" w:beforeAutospacing="0" w:after="0" w:afterAutospacing="0" w:line="276" w:lineRule="auto"/>
        <w:textAlignment w:val="baseline"/>
        <w:rPr>
          <w:rStyle w:val="eop"/>
          <w:rFonts w:ascii="Arial" w:hAnsi="Arial" w:cs="Arial"/>
        </w:rPr>
      </w:pPr>
      <w:r w:rsidRPr="004D54A1">
        <w:rPr>
          <w:rStyle w:val="normaltextrun"/>
          <w:rFonts w:ascii="Arial" w:hAnsi="Arial" w:cs="Arial"/>
          <w:lang w:val="en-CA"/>
        </w:rPr>
        <w:t>On October 9, 2025, the OEB issued a letter regarding 2026 Preliminary Uniform Transmission Rates (UTRs) and Hydro One Sub-Transmission Rates. The OEB determined the use of preliminary UTRs to calculate 2026 Retail Service Transmission Rates (RTSRs) to improve regulatory efficiency, allowing for this data to feed into the rate applications including annual updates for electricity distributors on a timelier basis. The OEB also directed distributors to update their 2026 application with Hydro One Network Inc.’s (HONI) proposed host RTSRs. </w:t>
      </w:r>
      <w:r w:rsidRPr="004D54A1">
        <w:rPr>
          <w:rStyle w:val="eop"/>
          <w:rFonts w:ascii="Arial" w:hAnsi="Arial" w:cs="Arial"/>
        </w:rPr>
        <w:t> </w:t>
      </w:r>
    </w:p>
    <w:p w14:paraId="72831206" w14:textId="77777777" w:rsidR="003547DD" w:rsidRPr="005879A3" w:rsidRDefault="003547DD" w:rsidP="00404EAD">
      <w:pPr>
        <w:pStyle w:val="paragraph"/>
        <w:spacing w:before="0" w:beforeAutospacing="0" w:after="0" w:afterAutospacing="0" w:line="276" w:lineRule="auto"/>
        <w:textAlignment w:val="baseline"/>
        <w:rPr>
          <w:rFonts w:ascii="Arial" w:hAnsi="Arial" w:cs="Arial"/>
        </w:rPr>
      </w:pPr>
    </w:p>
    <w:p w14:paraId="08723EF4" w14:textId="36D099E3" w:rsidR="00404EAD" w:rsidRPr="005879A3" w:rsidRDefault="00404EAD" w:rsidP="00404EAD">
      <w:pPr>
        <w:pStyle w:val="paragraph"/>
        <w:spacing w:before="0" w:beforeAutospacing="0" w:after="0" w:afterAutospacing="0" w:line="276" w:lineRule="auto"/>
        <w:textAlignment w:val="baseline"/>
        <w:rPr>
          <w:rFonts w:ascii="Arial" w:hAnsi="Arial" w:cs="Arial"/>
        </w:rPr>
      </w:pPr>
      <w:r w:rsidRPr="004D54A1">
        <w:rPr>
          <w:rStyle w:val="normaltextrun"/>
          <w:rFonts w:ascii="Arial" w:hAnsi="Arial" w:cs="Arial"/>
          <w:lang w:val="en-CA"/>
        </w:rPr>
        <w:lastRenderedPageBreak/>
        <w:t xml:space="preserve">OEB staff has updated </w:t>
      </w:r>
      <w:r w:rsidR="00472B61" w:rsidRPr="004D54A1">
        <w:rPr>
          <w:rStyle w:val="normaltextrun"/>
          <w:rFonts w:ascii="Arial" w:hAnsi="Arial" w:cs="Arial"/>
          <w:lang w:val="en-CA"/>
        </w:rPr>
        <w:t>FFPC</w:t>
      </w:r>
      <w:r w:rsidRPr="004D54A1">
        <w:rPr>
          <w:rStyle w:val="normaltextrun"/>
          <w:rFonts w:ascii="Arial" w:hAnsi="Arial" w:cs="Arial"/>
          <w:lang w:val="en-CA"/>
        </w:rPr>
        <w:t xml:space="preserve"> Rate Generator Model</w:t>
      </w:r>
      <w:r w:rsidRPr="005879A3">
        <w:rPr>
          <w:rStyle w:val="normaltextrun"/>
          <w:rFonts w:ascii="Arial" w:hAnsi="Arial" w:cs="Arial"/>
          <w:lang w:val="en-CA"/>
        </w:rPr>
        <w:t>s</w:t>
      </w:r>
      <w:r w:rsidRPr="004D54A1">
        <w:rPr>
          <w:rStyle w:val="normaltextrun"/>
          <w:rFonts w:ascii="Arial" w:hAnsi="Arial" w:cs="Arial"/>
          <w:lang w:val="en-CA"/>
        </w:rPr>
        <w:t xml:space="preserve"> with the preliminary UTRs and proposed host RTSR by HONI as follows:</w:t>
      </w:r>
      <w:r w:rsidRPr="004D54A1">
        <w:rPr>
          <w:rStyle w:val="eop"/>
          <w:rFonts w:ascii="Arial" w:hAnsi="Arial" w:cs="Arial"/>
        </w:rPr>
        <w:t> </w:t>
      </w:r>
    </w:p>
    <w:p w14:paraId="470D5D05" w14:textId="77777777" w:rsidR="00404EAD" w:rsidRPr="004D54A1" w:rsidRDefault="00404EAD" w:rsidP="00404EAD">
      <w:pPr>
        <w:pStyle w:val="paragraph"/>
        <w:spacing w:before="0" w:beforeAutospacing="0" w:after="0" w:afterAutospacing="0"/>
        <w:jc w:val="center"/>
        <w:textAlignment w:val="baseline"/>
        <w:rPr>
          <w:rStyle w:val="normaltextrun"/>
          <w:rFonts w:ascii="Arial" w:hAnsi="Arial" w:cs="Arial"/>
          <w:b/>
          <w:bCs/>
          <w:lang w:val="en-CA"/>
        </w:rPr>
      </w:pPr>
    </w:p>
    <w:p w14:paraId="7E441514" w14:textId="77777777" w:rsidR="00404EAD" w:rsidRPr="004D54A1" w:rsidRDefault="00404EAD" w:rsidP="00404EAD">
      <w:pPr>
        <w:pStyle w:val="paragraph"/>
        <w:spacing w:before="0" w:beforeAutospacing="0" w:after="0" w:afterAutospacing="0"/>
        <w:jc w:val="center"/>
        <w:textAlignment w:val="baseline"/>
        <w:rPr>
          <w:rStyle w:val="normaltextrun"/>
          <w:rFonts w:ascii="Arial" w:hAnsi="Arial" w:cs="Arial"/>
          <w:b/>
          <w:bCs/>
          <w:lang w:val="en-CA"/>
        </w:rPr>
      </w:pPr>
    </w:p>
    <w:p w14:paraId="61A12EA2" w14:textId="77777777" w:rsidR="00404EAD" w:rsidRPr="004D54A1" w:rsidRDefault="00404EAD" w:rsidP="00404EAD">
      <w:pPr>
        <w:pStyle w:val="paragraph"/>
        <w:spacing w:before="0" w:beforeAutospacing="0" w:after="0" w:afterAutospacing="0"/>
        <w:jc w:val="center"/>
        <w:textAlignment w:val="baseline"/>
        <w:rPr>
          <w:rStyle w:val="normaltextrun"/>
          <w:rFonts w:ascii="Arial" w:hAnsi="Arial" w:cs="Arial"/>
          <w:b/>
          <w:bCs/>
          <w:lang w:val="en-CA"/>
        </w:rPr>
      </w:pPr>
    </w:p>
    <w:p w14:paraId="21E5C6AC" w14:textId="1A233CDA" w:rsidR="00404EAD" w:rsidRPr="005879A3" w:rsidRDefault="00404EAD" w:rsidP="00404EAD">
      <w:pPr>
        <w:pStyle w:val="paragraph"/>
        <w:spacing w:before="0" w:beforeAutospacing="0" w:after="0" w:afterAutospacing="0"/>
        <w:jc w:val="center"/>
        <w:textAlignment w:val="baseline"/>
        <w:rPr>
          <w:rFonts w:ascii="Arial" w:hAnsi="Arial" w:cs="Arial"/>
        </w:rPr>
      </w:pPr>
      <w:r w:rsidRPr="004D54A1">
        <w:rPr>
          <w:rStyle w:val="normaltextrun"/>
          <w:rFonts w:ascii="Arial" w:hAnsi="Arial" w:cs="Arial"/>
          <w:b/>
          <w:bCs/>
          <w:lang w:val="en-CA"/>
        </w:rPr>
        <w:t xml:space="preserve">Table </w:t>
      </w:r>
      <w:r w:rsidR="00782B6F" w:rsidRPr="004D54A1">
        <w:rPr>
          <w:rStyle w:val="normaltextrun"/>
          <w:rFonts w:ascii="Arial" w:hAnsi="Arial" w:cs="Arial"/>
          <w:b/>
          <w:bCs/>
          <w:lang w:val="en-CA"/>
        </w:rPr>
        <w:t>1</w:t>
      </w:r>
      <w:r w:rsidRPr="004D54A1">
        <w:rPr>
          <w:rStyle w:val="normaltextrun"/>
          <w:rFonts w:ascii="Arial" w:hAnsi="Arial" w:cs="Arial"/>
          <w:b/>
          <w:bCs/>
          <w:lang w:val="en-CA"/>
        </w:rPr>
        <w:t xml:space="preserve">: Updated Uniform Transmission Rates </w:t>
      </w:r>
      <w:r w:rsidR="00472B61" w:rsidRPr="004D54A1">
        <w:rPr>
          <w:rStyle w:val="normaltextrun"/>
          <w:rFonts w:ascii="Arial" w:hAnsi="Arial" w:cs="Arial"/>
          <w:b/>
          <w:bCs/>
          <w:lang w:val="en-CA"/>
        </w:rPr>
        <w:t>FFPC</w:t>
      </w:r>
      <w:r w:rsidRPr="004D54A1">
        <w:rPr>
          <w:rStyle w:val="normaltextrun"/>
          <w:rFonts w:ascii="Arial" w:hAnsi="Arial" w:cs="Arial"/>
          <w:b/>
          <w:bCs/>
          <w:lang w:val="en-CA"/>
        </w:rPr>
        <w:t xml:space="preserve"> Continuity</w:t>
      </w:r>
      <w:r w:rsidRPr="004D54A1">
        <w:rPr>
          <w:rStyle w:val="eop"/>
          <w:rFonts w:ascii="Arial" w:hAnsi="Arial" w:cs="Arial"/>
        </w:rPr>
        <w:t> </w:t>
      </w:r>
    </w:p>
    <w:p w14:paraId="07037886" w14:textId="77777777" w:rsidR="00404EAD" w:rsidRPr="005879A3" w:rsidRDefault="00404EAD" w:rsidP="00404EAD">
      <w:pPr>
        <w:pStyle w:val="paragraph"/>
        <w:spacing w:before="0" w:beforeAutospacing="0" w:after="0" w:afterAutospacing="0"/>
        <w:textAlignment w:val="baseline"/>
        <w:rPr>
          <w:rFonts w:ascii="Arial" w:hAnsi="Arial" w:cs="Arial"/>
        </w:rPr>
      </w:pPr>
      <w:r w:rsidRPr="004D54A1">
        <w:rPr>
          <w:rStyle w:val="normaltextrun"/>
          <w:rFonts w:ascii="Arial" w:hAnsi="Arial" w:cs="Arial"/>
          <w:b/>
          <w:bCs/>
          <w:lang w:val="en-CA"/>
        </w:rPr>
        <w:t> </w:t>
      </w:r>
      <w:r w:rsidRPr="004D54A1">
        <w:rPr>
          <w:rStyle w:val="eop"/>
          <w:rFonts w:ascii="Arial" w:hAnsi="Arial" w:cs="Arial"/>
        </w:rPr>
        <w:t> </w:t>
      </w:r>
    </w:p>
    <w:p w14:paraId="2B335D76" w14:textId="77777777" w:rsidR="00404EAD" w:rsidRPr="005879A3" w:rsidRDefault="00404EAD" w:rsidP="00404EAD">
      <w:pPr>
        <w:pStyle w:val="paragraph"/>
        <w:spacing w:before="0" w:beforeAutospacing="0" w:after="0" w:afterAutospacing="0"/>
        <w:textAlignment w:val="baseline"/>
        <w:rPr>
          <w:rFonts w:ascii="Arial" w:hAnsi="Arial" w:cs="Arial"/>
        </w:rPr>
      </w:pPr>
      <w:r w:rsidRPr="005879A3">
        <w:rPr>
          <w:rStyle w:val="wacimagecontainer"/>
          <w:rFonts w:ascii="Arial" w:hAnsi="Arial" w:cs="Arial"/>
          <w:noProof/>
        </w:rPr>
        <w:drawing>
          <wp:inline distT="0" distB="0" distL="0" distR="0" wp14:anchorId="020059A9" wp14:editId="627C5773">
            <wp:extent cx="5943600" cy="970915"/>
            <wp:effectExtent l="0" t="0" r="0" b="635"/>
            <wp:docPr id="1"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970915"/>
                    </a:xfrm>
                    <a:prstGeom prst="rect">
                      <a:avLst/>
                    </a:prstGeom>
                    <a:noFill/>
                    <a:ln>
                      <a:noFill/>
                    </a:ln>
                  </pic:spPr>
                </pic:pic>
              </a:graphicData>
            </a:graphic>
          </wp:inline>
        </w:drawing>
      </w:r>
      <w:r w:rsidRPr="004D54A1">
        <w:rPr>
          <w:rStyle w:val="eop"/>
          <w:rFonts w:ascii="Arial" w:hAnsi="Arial" w:cs="Arial"/>
        </w:rPr>
        <w:t> </w:t>
      </w:r>
    </w:p>
    <w:p w14:paraId="6C9534DB" w14:textId="77777777" w:rsidR="00404EAD" w:rsidRPr="005879A3" w:rsidRDefault="00404EAD" w:rsidP="00404EAD">
      <w:pPr>
        <w:pStyle w:val="paragraph"/>
        <w:spacing w:before="0" w:beforeAutospacing="0" w:after="0" w:afterAutospacing="0"/>
        <w:textAlignment w:val="baseline"/>
        <w:rPr>
          <w:rFonts w:ascii="Arial" w:hAnsi="Arial" w:cs="Arial"/>
        </w:rPr>
      </w:pPr>
      <w:r w:rsidRPr="004D54A1">
        <w:rPr>
          <w:rStyle w:val="eop"/>
          <w:rFonts w:ascii="Arial" w:hAnsi="Arial" w:cs="Arial"/>
        </w:rPr>
        <w:t> </w:t>
      </w:r>
    </w:p>
    <w:p w14:paraId="3319B038" w14:textId="05CAC04B" w:rsidR="00404EAD" w:rsidRPr="005879A3" w:rsidRDefault="00404EAD" w:rsidP="00404EAD">
      <w:pPr>
        <w:pStyle w:val="paragraph"/>
        <w:spacing w:before="0" w:beforeAutospacing="0" w:after="0" w:afterAutospacing="0"/>
        <w:jc w:val="center"/>
        <w:textAlignment w:val="baseline"/>
        <w:rPr>
          <w:rFonts w:ascii="Arial" w:hAnsi="Arial" w:cs="Arial"/>
        </w:rPr>
      </w:pPr>
      <w:r w:rsidRPr="004D54A1">
        <w:rPr>
          <w:rStyle w:val="normaltextrun"/>
          <w:rFonts w:ascii="Arial" w:hAnsi="Arial" w:cs="Arial"/>
          <w:b/>
          <w:bCs/>
          <w:lang w:val="en-CA"/>
        </w:rPr>
        <w:t xml:space="preserve">Table </w:t>
      </w:r>
      <w:r w:rsidR="00782B6F" w:rsidRPr="004D54A1">
        <w:rPr>
          <w:rStyle w:val="normaltextrun"/>
          <w:rFonts w:ascii="Arial" w:hAnsi="Arial" w:cs="Arial"/>
          <w:b/>
          <w:bCs/>
          <w:lang w:val="en-CA"/>
        </w:rPr>
        <w:t>2</w:t>
      </w:r>
      <w:r w:rsidRPr="004D54A1">
        <w:rPr>
          <w:rStyle w:val="normaltextrun"/>
          <w:rFonts w:ascii="Arial" w:hAnsi="Arial" w:cs="Arial"/>
          <w:b/>
          <w:bCs/>
          <w:lang w:val="en-CA"/>
        </w:rPr>
        <w:t>: Updated HONI Sub-Transmission Rates</w:t>
      </w:r>
      <w:r w:rsidRPr="004D54A1">
        <w:rPr>
          <w:rStyle w:val="eop"/>
          <w:rFonts w:ascii="Arial" w:hAnsi="Arial" w:cs="Arial"/>
        </w:rPr>
        <w:t> </w:t>
      </w:r>
    </w:p>
    <w:p w14:paraId="7B8A1527" w14:textId="77777777" w:rsidR="00404EAD" w:rsidRPr="005879A3" w:rsidRDefault="00404EAD" w:rsidP="00404EAD">
      <w:pPr>
        <w:pStyle w:val="paragraph"/>
        <w:spacing w:before="0" w:beforeAutospacing="0" w:after="0" w:afterAutospacing="0"/>
        <w:textAlignment w:val="baseline"/>
        <w:rPr>
          <w:rFonts w:ascii="Arial" w:hAnsi="Arial" w:cs="Arial"/>
        </w:rPr>
      </w:pPr>
      <w:r w:rsidRPr="005879A3">
        <w:rPr>
          <w:rStyle w:val="wacimagecontainer"/>
          <w:rFonts w:ascii="Arial" w:hAnsi="Arial" w:cs="Arial"/>
          <w:noProof/>
        </w:rPr>
        <w:drawing>
          <wp:inline distT="0" distB="0" distL="0" distR="0" wp14:anchorId="5733B351" wp14:editId="7573016A">
            <wp:extent cx="5943600" cy="1146810"/>
            <wp:effectExtent l="0" t="0" r="0" b="0"/>
            <wp:docPr id="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omput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146810"/>
                    </a:xfrm>
                    <a:prstGeom prst="rect">
                      <a:avLst/>
                    </a:prstGeom>
                    <a:noFill/>
                    <a:ln>
                      <a:noFill/>
                    </a:ln>
                  </pic:spPr>
                </pic:pic>
              </a:graphicData>
            </a:graphic>
          </wp:inline>
        </w:drawing>
      </w:r>
      <w:r w:rsidRPr="004D54A1">
        <w:rPr>
          <w:rStyle w:val="eop"/>
          <w:rFonts w:ascii="Arial" w:hAnsi="Arial" w:cs="Arial"/>
        </w:rPr>
        <w:t> </w:t>
      </w:r>
    </w:p>
    <w:p w14:paraId="7B5A7DF0" w14:textId="77777777" w:rsidR="00404EAD" w:rsidRPr="005879A3" w:rsidRDefault="00404EAD" w:rsidP="00404EAD">
      <w:pPr>
        <w:pStyle w:val="paragraph"/>
        <w:spacing w:before="0" w:beforeAutospacing="0" w:after="0" w:afterAutospacing="0"/>
        <w:textAlignment w:val="baseline"/>
        <w:rPr>
          <w:rFonts w:ascii="Arial" w:hAnsi="Arial" w:cs="Arial"/>
        </w:rPr>
      </w:pPr>
      <w:r w:rsidRPr="004D54A1">
        <w:rPr>
          <w:rStyle w:val="normaltextrun"/>
          <w:rFonts w:ascii="Arial" w:hAnsi="Arial" w:cs="Arial"/>
          <w:lang w:val="en-CA"/>
        </w:rPr>
        <w:t> </w:t>
      </w:r>
      <w:r w:rsidRPr="004D54A1">
        <w:rPr>
          <w:rStyle w:val="eop"/>
          <w:rFonts w:ascii="Arial" w:hAnsi="Arial" w:cs="Arial"/>
        </w:rPr>
        <w:t> </w:t>
      </w:r>
    </w:p>
    <w:p w14:paraId="599E5B4B" w14:textId="77777777" w:rsidR="00404EAD" w:rsidRPr="005879A3" w:rsidRDefault="00404EAD" w:rsidP="00404EAD">
      <w:pPr>
        <w:pStyle w:val="paragraph"/>
        <w:spacing w:before="0" w:beforeAutospacing="0" w:after="0" w:afterAutospacing="0"/>
        <w:textAlignment w:val="baseline"/>
        <w:rPr>
          <w:rFonts w:ascii="Arial" w:hAnsi="Arial" w:cs="Arial"/>
        </w:rPr>
      </w:pPr>
      <w:r w:rsidRPr="004D54A1">
        <w:rPr>
          <w:rStyle w:val="normaltextrun"/>
          <w:rFonts w:ascii="Arial" w:hAnsi="Arial" w:cs="Arial"/>
          <w:b/>
          <w:bCs/>
          <w:u w:val="single"/>
          <w:lang w:val="en-CA"/>
        </w:rPr>
        <w:t>Question(s):</w:t>
      </w:r>
      <w:r w:rsidRPr="004D54A1">
        <w:rPr>
          <w:rStyle w:val="eop"/>
          <w:rFonts w:ascii="Arial" w:hAnsi="Arial" w:cs="Arial"/>
        </w:rPr>
        <w:t> </w:t>
      </w:r>
    </w:p>
    <w:p w14:paraId="2B2136DF" w14:textId="77777777" w:rsidR="00404EAD" w:rsidRPr="005879A3" w:rsidRDefault="00404EAD" w:rsidP="00404EAD">
      <w:pPr>
        <w:pStyle w:val="paragraph"/>
        <w:spacing w:before="0" w:beforeAutospacing="0" w:after="0" w:afterAutospacing="0"/>
        <w:textAlignment w:val="baseline"/>
        <w:rPr>
          <w:rFonts w:ascii="Arial" w:hAnsi="Arial" w:cs="Arial"/>
        </w:rPr>
      </w:pPr>
      <w:r w:rsidRPr="004D54A1">
        <w:rPr>
          <w:rStyle w:val="eop"/>
          <w:rFonts w:ascii="Arial" w:hAnsi="Arial" w:cs="Arial"/>
        </w:rPr>
        <w:t> </w:t>
      </w:r>
    </w:p>
    <w:p w14:paraId="3442CEB2" w14:textId="734C1796" w:rsidR="00404EAD" w:rsidRPr="004D54A1" w:rsidRDefault="00404EAD" w:rsidP="00404EAD">
      <w:pPr>
        <w:pStyle w:val="paragraph"/>
        <w:numPr>
          <w:ilvl w:val="0"/>
          <w:numId w:val="30"/>
        </w:numPr>
        <w:spacing w:before="0" w:beforeAutospacing="0" w:after="0" w:afterAutospacing="0"/>
        <w:textAlignment w:val="baseline"/>
        <w:rPr>
          <w:rFonts w:ascii="Arial" w:hAnsi="Arial" w:cs="Arial"/>
        </w:rPr>
      </w:pPr>
      <w:r w:rsidRPr="004D54A1">
        <w:rPr>
          <w:rStyle w:val="normaltextrun"/>
          <w:rFonts w:ascii="Arial" w:hAnsi="Arial" w:cs="Arial"/>
          <w:lang w:val="en-CA"/>
        </w:rPr>
        <w:t>Please confirm the accuracy of the</w:t>
      </w:r>
      <w:r w:rsidR="00B66629" w:rsidRPr="004D54A1">
        <w:rPr>
          <w:rStyle w:val="normaltextrun"/>
          <w:rFonts w:ascii="Arial" w:hAnsi="Arial" w:cs="Arial"/>
          <w:lang w:val="en-CA"/>
        </w:rPr>
        <w:t xml:space="preserve"> </w:t>
      </w:r>
      <w:r w:rsidRPr="004D54A1">
        <w:rPr>
          <w:rStyle w:val="normaltextrun"/>
          <w:rFonts w:ascii="Arial" w:hAnsi="Arial" w:cs="Arial"/>
          <w:lang w:val="en-CA"/>
        </w:rPr>
        <w:t>Rate Generator Model</w:t>
      </w:r>
      <w:r w:rsidRPr="00907460">
        <w:rPr>
          <w:rStyle w:val="normaltextrun"/>
          <w:rFonts w:ascii="Arial" w:hAnsi="Arial" w:cs="Arial"/>
          <w:lang w:val="en-CA"/>
        </w:rPr>
        <w:t xml:space="preserve"> </w:t>
      </w:r>
      <w:r w:rsidRPr="004D54A1">
        <w:rPr>
          <w:rStyle w:val="normaltextrun"/>
          <w:rFonts w:ascii="Arial" w:hAnsi="Arial" w:cs="Arial"/>
          <w:lang w:val="en-CA"/>
        </w:rPr>
        <w:t>update, as well as the accuracy of the resulting RTSR following these updates.</w:t>
      </w:r>
      <w:r w:rsidRPr="004D54A1">
        <w:rPr>
          <w:rStyle w:val="eop"/>
          <w:rFonts w:ascii="Arial" w:hAnsi="Arial" w:cs="Arial"/>
        </w:rPr>
        <w:t> </w:t>
      </w:r>
    </w:p>
    <w:p w14:paraId="6F89819C" w14:textId="77777777" w:rsidR="00392051" w:rsidRPr="004D54A1" w:rsidRDefault="00392051" w:rsidP="00AB251C">
      <w:pPr>
        <w:spacing w:after="240"/>
        <w:rPr>
          <w:rFonts w:ascii="Arial" w:hAnsi="Arial" w:cs="Arial"/>
          <w:b/>
          <w:sz w:val="24"/>
          <w:szCs w:val="24"/>
        </w:rPr>
      </w:pPr>
    </w:p>
    <w:p w14:paraId="335E6FB6" w14:textId="77777777" w:rsidR="00404EAD" w:rsidRPr="004D54A1" w:rsidRDefault="00404EAD" w:rsidP="00404EAD">
      <w:pPr>
        <w:rPr>
          <w:rFonts w:ascii="Arial" w:hAnsi="Arial" w:cs="Arial"/>
          <w:b/>
          <w:sz w:val="24"/>
          <w:szCs w:val="24"/>
        </w:rPr>
      </w:pPr>
      <w:r w:rsidRPr="004D54A1">
        <w:rPr>
          <w:rFonts w:ascii="Arial" w:hAnsi="Arial" w:cs="Arial"/>
          <w:b/>
          <w:sz w:val="24"/>
          <w:szCs w:val="24"/>
        </w:rPr>
        <w:t>Staff Question-3</w:t>
      </w:r>
    </w:p>
    <w:p w14:paraId="3C19ED1E" w14:textId="1F20310C" w:rsidR="00996E79" w:rsidRPr="004D54A1" w:rsidRDefault="00404EAD" w:rsidP="009E02BF">
      <w:pPr>
        <w:spacing w:after="0"/>
        <w:rPr>
          <w:rFonts w:ascii="Arial" w:eastAsia="Calibri" w:hAnsi="Arial" w:cs="Arial"/>
          <w:b/>
          <w:sz w:val="24"/>
          <w:szCs w:val="24"/>
        </w:rPr>
      </w:pPr>
      <w:r w:rsidRPr="004D54A1">
        <w:rPr>
          <w:rFonts w:ascii="Arial" w:eastAsia="Calibri" w:hAnsi="Arial" w:cs="Arial"/>
          <w:b/>
          <w:sz w:val="24"/>
          <w:szCs w:val="24"/>
        </w:rPr>
        <w:t>Ref 1: 2026 Rate Generator Model, Tab 18</w:t>
      </w:r>
    </w:p>
    <w:p w14:paraId="7B04ACE4" w14:textId="77777777" w:rsidR="00404EAD" w:rsidRDefault="00404EAD" w:rsidP="009E02BF">
      <w:pPr>
        <w:spacing w:after="0"/>
        <w:rPr>
          <w:rFonts w:ascii="Arial" w:eastAsia="Calibri" w:hAnsi="Arial" w:cs="Arial"/>
          <w:b/>
          <w:sz w:val="24"/>
          <w:szCs w:val="24"/>
        </w:rPr>
      </w:pPr>
    </w:p>
    <w:p w14:paraId="443AE3C4" w14:textId="2E61589E" w:rsidR="006A6AE9" w:rsidRDefault="006A6AE9" w:rsidP="009E02BF">
      <w:pPr>
        <w:spacing w:after="0"/>
        <w:rPr>
          <w:rFonts w:ascii="Arial" w:eastAsia="Calibri" w:hAnsi="Arial" w:cs="Arial"/>
          <w:b/>
          <w:sz w:val="24"/>
          <w:szCs w:val="24"/>
        </w:rPr>
      </w:pPr>
      <w:r>
        <w:rPr>
          <w:rFonts w:ascii="Arial" w:eastAsia="Calibri" w:hAnsi="Arial" w:cs="Arial"/>
          <w:b/>
          <w:sz w:val="24"/>
          <w:szCs w:val="24"/>
        </w:rPr>
        <w:t>Preamble:</w:t>
      </w:r>
    </w:p>
    <w:p w14:paraId="247E20E1" w14:textId="77777777" w:rsidR="006A6AE9" w:rsidRPr="004D54A1" w:rsidRDefault="006A6AE9" w:rsidP="009E02BF">
      <w:pPr>
        <w:spacing w:after="0"/>
        <w:rPr>
          <w:rFonts w:ascii="Arial" w:eastAsia="Calibri" w:hAnsi="Arial" w:cs="Arial"/>
          <w:b/>
          <w:sz w:val="24"/>
          <w:szCs w:val="24"/>
        </w:rPr>
      </w:pPr>
    </w:p>
    <w:p w14:paraId="4EE2E49D" w14:textId="433DD3F9" w:rsidR="009E02BF" w:rsidRPr="005879A3" w:rsidRDefault="009E02BF" w:rsidP="00A47F5C">
      <w:pPr>
        <w:spacing w:after="0"/>
        <w:rPr>
          <w:rFonts w:ascii="Arial" w:eastAsia="Calibri" w:hAnsi="Arial" w:cs="Arial"/>
          <w:bCs/>
          <w:sz w:val="24"/>
          <w:szCs w:val="24"/>
        </w:rPr>
      </w:pPr>
      <w:r w:rsidRPr="005879A3">
        <w:rPr>
          <w:rFonts w:ascii="Arial" w:eastAsia="Calibri" w:hAnsi="Arial" w:cs="Arial"/>
          <w:bCs/>
          <w:sz w:val="24"/>
          <w:szCs w:val="24"/>
        </w:rPr>
        <w:t>Effective</w:t>
      </w:r>
      <w:r w:rsidR="001A4AFD" w:rsidRPr="005879A3">
        <w:rPr>
          <w:rFonts w:ascii="Arial" w:eastAsia="Calibri" w:hAnsi="Arial" w:cs="Arial"/>
          <w:bCs/>
          <w:sz w:val="24"/>
          <w:szCs w:val="24"/>
        </w:rPr>
        <w:t xml:space="preserve"> November 1, 2025, the </w:t>
      </w:r>
      <w:r w:rsidR="009A7D40" w:rsidRPr="005879A3">
        <w:rPr>
          <w:rFonts w:ascii="Arial" w:eastAsia="Calibri" w:hAnsi="Arial" w:cs="Arial"/>
          <w:bCs/>
          <w:sz w:val="24"/>
          <w:szCs w:val="24"/>
        </w:rPr>
        <w:t>Time</w:t>
      </w:r>
      <w:r w:rsidR="00A47F5C" w:rsidRPr="005879A3">
        <w:rPr>
          <w:rFonts w:ascii="Arial" w:eastAsia="Calibri" w:hAnsi="Arial" w:cs="Arial"/>
          <w:bCs/>
          <w:sz w:val="24"/>
          <w:szCs w:val="24"/>
        </w:rPr>
        <w:t>-of-Use RPP prices and percentages were updated</w:t>
      </w:r>
      <w:r w:rsidR="00D6373C" w:rsidRPr="005879A3">
        <w:rPr>
          <w:rFonts w:ascii="Arial" w:eastAsia="Calibri" w:hAnsi="Arial" w:cs="Arial"/>
          <w:bCs/>
          <w:sz w:val="24"/>
          <w:szCs w:val="24"/>
        </w:rPr>
        <w:t xml:space="preserve"> as noted in Table 1 below. In addition, the Ontario Electricity Rebate was changed to 23.5%.</w:t>
      </w:r>
    </w:p>
    <w:p w14:paraId="34D8D95E" w14:textId="77777777" w:rsidR="00D6373C" w:rsidRPr="004D54A1" w:rsidRDefault="00D6373C" w:rsidP="00A47F5C">
      <w:pPr>
        <w:spacing w:after="0"/>
        <w:rPr>
          <w:rFonts w:ascii="Arial" w:eastAsia="Calibri" w:hAnsi="Arial" w:cs="Arial"/>
          <w:b/>
          <w:sz w:val="24"/>
          <w:szCs w:val="24"/>
        </w:rPr>
      </w:pPr>
    </w:p>
    <w:p w14:paraId="18929449" w14:textId="77777777" w:rsidR="00C053A1" w:rsidRDefault="00C053A1" w:rsidP="00404EAD">
      <w:pPr>
        <w:spacing w:after="240"/>
        <w:jc w:val="center"/>
        <w:rPr>
          <w:rFonts w:ascii="Arial" w:eastAsia="Calibri" w:hAnsi="Arial" w:cs="Arial"/>
          <w:b/>
          <w:sz w:val="24"/>
          <w:szCs w:val="24"/>
        </w:rPr>
      </w:pPr>
    </w:p>
    <w:p w14:paraId="6546DAC3" w14:textId="77777777" w:rsidR="00C053A1" w:rsidRDefault="00C053A1" w:rsidP="00404EAD">
      <w:pPr>
        <w:spacing w:after="240"/>
        <w:jc w:val="center"/>
        <w:rPr>
          <w:rFonts w:ascii="Arial" w:eastAsia="Calibri" w:hAnsi="Arial" w:cs="Arial"/>
          <w:b/>
          <w:sz w:val="24"/>
          <w:szCs w:val="24"/>
        </w:rPr>
      </w:pPr>
    </w:p>
    <w:p w14:paraId="3DB4376C" w14:textId="77777777" w:rsidR="00C053A1" w:rsidRDefault="00C053A1" w:rsidP="00404EAD">
      <w:pPr>
        <w:spacing w:after="240"/>
        <w:jc w:val="center"/>
        <w:rPr>
          <w:rFonts w:ascii="Arial" w:eastAsia="Calibri" w:hAnsi="Arial" w:cs="Arial"/>
          <w:b/>
          <w:sz w:val="24"/>
          <w:szCs w:val="24"/>
        </w:rPr>
      </w:pPr>
    </w:p>
    <w:p w14:paraId="7D698E9A" w14:textId="1B844E15" w:rsidR="00404EAD" w:rsidRPr="005879A3" w:rsidRDefault="00404EAD" w:rsidP="00404EAD">
      <w:pPr>
        <w:spacing w:after="240"/>
        <w:jc w:val="center"/>
        <w:rPr>
          <w:rFonts w:ascii="Arial" w:eastAsia="Calibri" w:hAnsi="Arial" w:cs="Arial"/>
          <w:b/>
          <w:noProof/>
          <w:sz w:val="24"/>
          <w:szCs w:val="24"/>
        </w:rPr>
      </w:pPr>
      <w:r w:rsidRPr="004D54A1">
        <w:rPr>
          <w:rFonts w:ascii="Arial" w:eastAsia="Calibri" w:hAnsi="Arial" w:cs="Arial"/>
          <w:b/>
          <w:sz w:val="24"/>
          <w:szCs w:val="24"/>
        </w:rPr>
        <w:lastRenderedPageBreak/>
        <w:t xml:space="preserve">Table </w:t>
      </w:r>
      <w:r w:rsidR="00782B6F" w:rsidRPr="004D54A1">
        <w:rPr>
          <w:rFonts w:ascii="Arial" w:eastAsia="Calibri" w:hAnsi="Arial" w:cs="Arial"/>
          <w:b/>
          <w:sz w:val="24"/>
          <w:szCs w:val="24"/>
        </w:rPr>
        <w:t>1</w:t>
      </w:r>
      <w:r w:rsidRPr="004D54A1">
        <w:rPr>
          <w:rFonts w:ascii="Arial" w:eastAsia="Calibri" w:hAnsi="Arial" w:cs="Arial"/>
          <w:b/>
          <w:sz w:val="24"/>
          <w:szCs w:val="24"/>
        </w:rPr>
        <w:t>: Updated Time of Use RPP Prices</w:t>
      </w:r>
    </w:p>
    <w:p w14:paraId="559099D0" w14:textId="77777777" w:rsidR="00404EAD" w:rsidRPr="004D54A1" w:rsidRDefault="00404EAD" w:rsidP="005879A3">
      <w:pPr>
        <w:spacing w:after="0"/>
        <w:jc w:val="center"/>
        <w:rPr>
          <w:rFonts w:ascii="Arial" w:eastAsia="Calibri" w:hAnsi="Arial" w:cs="Arial"/>
          <w:b/>
          <w:sz w:val="24"/>
          <w:szCs w:val="24"/>
        </w:rPr>
      </w:pPr>
      <w:r w:rsidRPr="004D54A1">
        <w:rPr>
          <w:rFonts w:ascii="Arial" w:hAnsi="Arial" w:cs="Arial"/>
          <w:b/>
          <w:noProof/>
          <w:sz w:val="24"/>
          <w:szCs w:val="24"/>
        </w:rPr>
        <w:drawing>
          <wp:inline distT="0" distB="0" distL="0" distR="0" wp14:anchorId="3DAD797C" wp14:editId="431A4F22">
            <wp:extent cx="5943600" cy="1038225"/>
            <wp:effectExtent l="0" t="0" r="0" b="9525"/>
            <wp:docPr id="62580490" name="Picture 1" descr="A black lin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71662" name="Picture 1" descr="A black line with white lines&#10;&#10;AI-generated content may be incorrect."/>
                    <pic:cNvPicPr/>
                  </pic:nvPicPr>
                  <pic:blipFill>
                    <a:blip r:embed="rId13"/>
                    <a:stretch>
                      <a:fillRect/>
                    </a:stretch>
                  </pic:blipFill>
                  <pic:spPr>
                    <a:xfrm>
                      <a:off x="0" y="0"/>
                      <a:ext cx="5943600" cy="1038225"/>
                    </a:xfrm>
                    <a:prstGeom prst="rect">
                      <a:avLst/>
                    </a:prstGeom>
                  </pic:spPr>
                </pic:pic>
              </a:graphicData>
            </a:graphic>
          </wp:inline>
        </w:drawing>
      </w:r>
    </w:p>
    <w:p w14:paraId="2769A1BF" w14:textId="03DE37E0" w:rsidR="00404EAD" w:rsidRPr="005879A3" w:rsidRDefault="005C499D" w:rsidP="00A47F5C">
      <w:pPr>
        <w:spacing w:after="0"/>
        <w:rPr>
          <w:rFonts w:ascii="Arial" w:eastAsia="Calibri" w:hAnsi="Arial" w:cs="Arial"/>
          <w:bCs/>
          <w:sz w:val="24"/>
          <w:szCs w:val="24"/>
        </w:rPr>
      </w:pPr>
      <w:r w:rsidRPr="004D54A1">
        <w:rPr>
          <w:rFonts w:ascii="Arial" w:eastAsia="Calibri" w:hAnsi="Arial" w:cs="Arial"/>
          <w:bCs/>
          <w:sz w:val="24"/>
          <w:szCs w:val="24"/>
        </w:rPr>
        <w:t xml:space="preserve">On December 11, 2025, the OEB established an updated Capacity Based Recovery and Rural and Remote Electricity Rate Protection </w:t>
      </w:r>
      <w:r w:rsidR="00D91AD0" w:rsidRPr="004D54A1">
        <w:rPr>
          <w:rFonts w:ascii="Arial" w:eastAsia="Calibri" w:hAnsi="Arial" w:cs="Arial"/>
          <w:bCs/>
          <w:sz w:val="24"/>
          <w:szCs w:val="24"/>
        </w:rPr>
        <w:t xml:space="preserve">rates of </w:t>
      </w:r>
      <w:r w:rsidR="00053849" w:rsidRPr="004D54A1">
        <w:rPr>
          <w:rFonts w:ascii="Arial" w:eastAsia="Calibri" w:hAnsi="Arial" w:cs="Arial"/>
          <w:bCs/>
          <w:sz w:val="24"/>
          <w:szCs w:val="24"/>
        </w:rPr>
        <w:t>$0.0006.</w:t>
      </w:r>
    </w:p>
    <w:p w14:paraId="60A54F8F" w14:textId="77777777" w:rsidR="00A47F5C" w:rsidRPr="004D54A1" w:rsidRDefault="00A47F5C" w:rsidP="005879A3">
      <w:pPr>
        <w:spacing w:after="0"/>
        <w:rPr>
          <w:rFonts w:ascii="Arial" w:eastAsia="Calibri" w:hAnsi="Arial" w:cs="Arial"/>
          <w:b/>
          <w:sz w:val="24"/>
          <w:szCs w:val="24"/>
        </w:rPr>
      </w:pPr>
    </w:p>
    <w:p w14:paraId="1A6EE66B" w14:textId="77777777" w:rsidR="00404EAD" w:rsidRPr="004D54A1" w:rsidRDefault="00404EAD" w:rsidP="00404EAD">
      <w:pPr>
        <w:rPr>
          <w:rFonts w:ascii="Arial" w:hAnsi="Arial" w:cs="Arial"/>
          <w:b/>
          <w:bCs/>
          <w:sz w:val="24"/>
          <w:szCs w:val="24"/>
          <w:u w:val="single"/>
        </w:rPr>
      </w:pPr>
      <w:bookmarkStart w:id="3" w:name="_Hlk216173139"/>
      <w:r w:rsidRPr="004D54A1">
        <w:rPr>
          <w:rFonts w:ascii="Arial" w:hAnsi="Arial" w:cs="Arial"/>
          <w:b/>
          <w:bCs/>
          <w:sz w:val="24"/>
          <w:szCs w:val="24"/>
          <w:u w:val="single"/>
        </w:rPr>
        <w:t>Question(s):</w:t>
      </w:r>
    </w:p>
    <w:bookmarkEnd w:id="3"/>
    <w:p w14:paraId="2B8A5C08" w14:textId="784F57F2" w:rsidR="00404EAD" w:rsidRPr="004D54A1" w:rsidRDefault="00404EAD" w:rsidP="00404EAD">
      <w:pPr>
        <w:numPr>
          <w:ilvl w:val="0"/>
          <w:numId w:val="33"/>
        </w:numPr>
        <w:spacing w:after="240"/>
        <w:contextualSpacing/>
        <w:rPr>
          <w:rFonts w:ascii="Arial" w:eastAsia="Calibri" w:hAnsi="Arial" w:cs="Arial"/>
          <w:bCs/>
          <w:sz w:val="24"/>
          <w:szCs w:val="24"/>
        </w:rPr>
      </w:pPr>
      <w:r w:rsidRPr="004D54A1">
        <w:rPr>
          <w:rFonts w:ascii="Arial" w:eastAsia="Calibri" w:hAnsi="Arial" w:cs="Arial"/>
          <w:sz w:val="24"/>
          <w:szCs w:val="24"/>
        </w:rPr>
        <w:t>The Rate Generator Model was updated to reflect the updated values established in References 1. Please</w:t>
      </w:r>
      <w:r w:rsidRPr="004D54A1">
        <w:rPr>
          <w:rFonts w:ascii="Arial" w:eastAsia="Calibri" w:hAnsi="Arial" w:cs="Arial"/>
          <w:bCs/>
          <w:sz w:val="24"/>
          <w:szCs w:val="24"/>
        </w:rPr>
        <w:t xml:space="preserve"> confirm the accuracy of the Rate Generator Model update, </w:t>
      </w:r>
      <w:r w:rsidRPr="004D54A1">
        <w:rPr>
          <w:rFonts w:ascii="Arial" w:eastAsia="Calibri" w:hAnsi="Arial" w:cs="Arial"/>
          <w:sz w:val="24"/>
          <w:szCs w:val="24"/>
        </w:rPr>
        <w:t>as outlined below</w:t>
      </w:r>
      <w:r w:rsidRPr="004D54A1">
        <w:rPr>
          <w:rFonts w:ascii="Arial" w:eastAsia="Calibri" w:hAnsi="Arial" w:cs="Arial"/>
          <w:bCs/>
          <w:sz w:val="24"/>
          <w:szCs w:val="24"/>
        </w:rPr>
        <w:t>.</w:t>
      </w:r>
    </w:p>
    <w:bookmarkEnd w:id="1"/>
    <w:p w14:paraId="1021BAAE" w14:textId="77777777" w:rsidR="00404EAD" w:rsidRPr="004D54A1" w:rsidRDefault="00404EAD" w:rsidP="00404EAD">
      <w:pPr>
        <w:pStyle w:val="ListParagraph"/>
        <w:spacing w:line="240" w:lineRule="auto"/>
        <w:rPr>
          <w:rFonts w:ascii="Arial" w:hAnsi="Arial" w:cs="Arial"/>
          <w:sz w:val="24"/>
          <w:szCs w:val="24"/>
        </w:rPr>
      </w:pPr>
    </w:p>
    <w:p w14:paraId="2A8D17AD" w14:textId="36067CDD" w:rsidR="00782B6F" w:rsidRPr="004D54A1" w:rsidRDefault="00782B6F" w:rsidP="00782B6F">
      <w:pPr>
        <w:rPr>
          <w:rFonts w:ascii="Arial" w:hAnsi="Arial" w:cs="Arial"/>
          <w:b/>
          <w:sz w:val="24"/>
          <w:szCs w:val="24"/>
        </w:rPr>
      </w:pPr>
      <w:r w:rsidRPr="004D54A1">
        <w:rPr>
          <w:rFonts w:ascii="Arial" w:hAnsi="Arial" w:cs="Arial"/>
          <w:b/>
          <w:sz w:val="24"/>
          <w:szCs w:val="24"/>
        </w:rPr>
        <w:t>Staff Question-4</w:t>
      </w:r>
    </w:p>
    <w:p w14:paraId="01D22284" w14:textId="13C1E3A7" w:rsidR="00782B6F" w:rsidRPr="004D54A1" w:rsidRDefault="00782B6F" w:rsidP="00041858">
      <w:pPr>
        <w:spacing w:after="0"/>
        <w:rPr>
          <w:rFonts w:ascii="Arial" w:eastAsia="Calibri" w:hAnsi="Arial" w:cs="Arial"/>
          <w:b/>
          <w:sz w:val="24"/>
          <w:szCs w:val="24"/>
        </w:rPr>
      </w:pPr>
      <w:r w:rsidRPr="004D54A1">
        <w:rPr>
          <w:rFonts w:ascii="Arial" w:eastAsia="Calibri" w:hAnsi="Arial" w:cs="Arial"/>
          <w:b/>
          <w:sz w:val="24"/>
          <w:szCs w:val="24"/>
        </w:rPr>
        <w:t>Ref 1: 2026 IRM Rate Generator Model, Tab 3</w:t>
      </w:r>
    </w:p>
    <w:p w14:paraId="7F09B465" w14:textId="7C72AA65" w:rsidR="00F34362" w:rsidRPr="004D54A1" w:rsidRDefault="00F34362" w:rsidP="00EE6294">
      <w:pPr>
        <w:spacing w:after="0"/>
        <w:ind w:left="540" w:hanging="540"/>
        <w:rPr>
          <w:rFonts w:ascii="Arial" w:eastAsia="Calibri" w:hAnsi="Arial" w:cs="Arial"/>
          <w:b/>
          <w:sz w:val="24"/>
          <w:szCs w:val="24"/>
        </w:rPr>
      </w:pPr>
      <w:r w:rsidRPr="004D54A1">
        <w:rPr>
          <w:rFonts w:ascii="Arial" w:eastAsia="Calibri" w:hAnsi="Arial" w:cs="Arial"/>
          <w:b/>
          <w:sz w:val="24"/>
          <w:szCs w:val="24"/>
        </w:rPr>
        <w:t xml:space="preserve">Ref 2: Chapter 3 - Filing Requirements </w:t>
      </w:r>
      <w:proofErr w:type="gramStart"/>
      <w:r w:rsidRPr="004D54A1">
        <w:rPr>
          <w:rFonts w:ascii="Arial" w:eastAsia="Calibri" w:hAnsi="Arial" w:cs="Arial"/>
          <w:b/>
          <w:sz w:val="24"/>
          <w:szCs w:val="24"/>
        </w:rPr>
        <w:t>For</w:t>
      </w:r>
      <w:proofErr w:type="gramEnd"/>
      <w:r w:rsidRPr="004D54A1">
        <w:rPr>
          <w:rFonts w:ascii="Arial" w:eastAsia="Calibri" w:hAnsi="Arial" w:cs="Arial"/>
          <w:b/>
          <w:sz w:val="24"/>
          <w:szCs w:val="24"/>
        </w:rPr>
        <w:t xml:space="preserve"> Electricity Distribution Rate   Application, June 19, 2025</w:t>
      </w:r>
    </w:p>
    <w:p w14:paraId="1A3C2428" w14:textId="77777777" w:rsidR="00F34362" w:rsidRPr="005879A3" w:rsidRDefault="00F34362" w:rsidP="00F34362">
      <w:pPr>
        <w:spacing w:after="0"/>
        <w:rPr>
          <w:rStyle w:val="normaltextrun"/>
          <w:rFonts w:ascii="Arial" w:hAnsi="Arial" w:cs="Arial"/>
          <w:b/>
          <w:bCs/>
          <w:sz w:val="24"/>
          <w:szCs w:val="24"/>
        </w:rPr>
      </w:pPr>
    </w:p>
    <w:p w14:paraId="4E2D939E" w14:textId="1A5DC430" w:rsidR="00F34362" w:rsidRPr="005879A3" w:rsidRDefault="00F34362" w:rsidP="00F34362">
      <w:pPr>
        <w:spacing w:after="0"/>
        <w:rPr>
          <w:rStyle w:val="normaltextrun"/>
          <w:rFonts w:ascii="Arial" w:hAnsi="Arial" w:cs="Arial"/>
          <w:b/>
          <w:bCs/>
          <w:sz w:val="24"/>
          <w:szCs w:val="24"/>
        </w:rPr>
      </w:pPr>
      <w:r w:rsidRPr="005879A3">
        <w:rPr>
          <w:rStyle w:val="normaltextrun"/>
          <w:rFonts w:ascii="Arial" w:hAnsi="Arial" w:cs="Arial"/>
          <w:b/>
          <w:bCs/>
          <w:sz w:val="24"/>
          <w:szCs w:val="24"/>
        </w:rPr>
        <w:t>Preamble:</w:t>
      </w:r>
    </w:p>
    <w:p w14:paraId="1340EA34" w14:textId="77777777" w:rsidR="00F34362" w:rsidRPr="005879A3" w:rsidRDefault="00F34362" w:rsidP="00F34362">
      <w:pPr>
        <w:spacing w:after="0"/>
        <w:rPr>
          <w:rFonts w:ascii="Arial" w:hAnsi="Arial" w:cs="Arial"/>
          <w:b/>
          <w:bCs/>
          <w:sz w:val="24"/>
          <w:szCs w:val="24"/>
        </w:rPr>
      </w:pPr>
    </w:p>
    <w:p w14:paraId="09091D16" w14:textId="71439460" w:rsidR="00404EAD" w:rsidRPr="005879A3" w:rsidRDefault="00F34362" w:rsidP="00F34362">
      <w:pPr>
        <w:spacing w:after="0"/>
        <w:rPr>
          <w:rStyle w:val="normaltextrun"/>
          <w:rFonts w:ascii="Arial" w:eastAsia="Times New Roman" w:hAnsi="Arial" w:cs="Arial"/>
          <w:sz w:val="24"/>
          <w:szCs w:val="24"/>
        </w:rPr>
      </w:pPr>
      <w:r w:rsidRPr="004D54A1">
        <w:rPr>
          <w:rStyle w:val="normaltextrun"/>
          <w:rFonts w:ascii="Arial" w:eastAsia="Times New Roman" w:hAnsi="Arial" w:cs="Arial"/>
          <w:sz w:val="24"/>
          <w:szCs w:val="24"/>
        </w:rPr>
        <w:t xml:space="preserve">As per </w:t>
      </w:r>
      <w:r w:rsidR="00E72BF8" w:rsidRPr="004D54A1">
        <w:rPr>
          <w:rStyle w:val="normaltextrun"/>
          <w:rFonts w:ascii="Arial" w:eastAsia="Times New Roman" w:hAnsi="Arial" w:cs="Arial"/>
          <w:sz w:val="24"/>
          <w:szCs w:val="24"/>
        </w:rPr>
        <w:t>R</w:t>
      </w:r>
      <w:r w:rsidRPr="004D54A1">
        <w:rPr>
          <w:rStyle w:val="normaltextrun"/>
          <w:rFonts w:ascii="Arial" w:eastAsia="Times New Roman" w:hAnsi="Arial" w:cs="Arial"/>
          <w:sz w:val="24"/>
          <w:szCs w:val="24"/>
        </w:rPr>
        <w:t xml:space="preserve">eference 2, for </w:t>
      </w:r>
      <w:r w:rsidR="00E72BF8" w:rsidRPr="004D54A1">
        <w:rPr>
          <w:rStyle w:val="normaltextrun"/>
          <w:rFonts w:ascii="Arial" w:eastAsia="Times New Roman" w:hAnsi="Arial" w:cs="Arial"/>
          <w:sz w:val="24"/>
          <w:szCs w:val="24"/>
        </w:rPr>
        <w:t xml:space="preserve">the </w:t>
      </w:r>
      <w:r w:rsidRPr="004D54A1">
        <w:rPr>
          <w:rStyle w:val="normaltextrun"/>
          <w:rFonts w:ascii="Arial" w:eastAsia="Times New Roman" w:hAnsi="Arial" w:cs="Arial"/>
          <w:sz w:val="24"/>
          <w:szCs w:val="24"/>
        </w:rPr>
        <w:t>May 1 rate year</w:t>
      </w:r>
      <w:r w:rsidR="00E72BF8" w:rsidRPr="004D54A1">
        <w:rPr>
          <w:rStyle w:val="normaltextrun"/>
          <w:rFonts w:ascii="Arial" w:eastAsia="Times New Roman" w:hAnsi="Arial" w:cs="Arial"/>
          <w:sz w:val="24"/>
          <w:szCs w:val="24"/>
        </w:rPr>
        <w:t>,</w:t>
      </w:r>
      <w:r w:rsidRPr="004D54A1">
        <w:rPr>
          <w:rStyle w:val="normaltextrun"/>
          <w:rFonts w:ascii="Arial" w:eastAsia="Times New Roman" w:hAnsi="Arial" w:cs="Arial"/>
          <w:sz w:val="24"/>
          <w:szCs w:val="24"/>
        </w:rPr>
        <w:t xml:space="preserve"> </w:t>
      </w:r>
      <w:r w:rsidR="00E72BF8" w:rsidRPr="004D54A1">
        <w:rPr>
          <w:rStyle w:val="normaltextrun"/>
          <w:rFonts w:ascii="Arial" w:eastAsia="Times New Roman" w:hAnsi="Arial" w:cs="Arial"/>
          <w:sz w:val="24"/>
          <w:szCs w:val="24"/>
        </w:rPr>
        <w:t>i</w:t>
      </w:r>
      <w:r w:rsidRPr="004D54A1">
        <w:rPr>
          <w:rStyle w:val="normaltextrun"/>
          <w:rFonts w:ascii="Arial" w:eastAsia="Times New Roman" w:hAnsi="Arial" w:cs="Arial"/>
          <w:sz w:val="24"/>
          <w:szCs w:val="24"/>
        </w:rPr>
        <w:t xml:space="preserve">f 2021 rate riders expire on the following year April 30, 2022, the balance of sub-account 1595 (2021) is eligible to be disposed after the account balance as of December 31, </w:t>
      </w:r>
      <w:proofErr w:type="gramStart"/>
      <w:r w:rsidRPr="004D54A1">
        <w:rPr>
          <w:rStyle w:val="normaltextrun"/>
          <w:rFonts w:ascii="Arial" w:eastAsia="Times New Roman" w:hAnsi="Arial" w:cs="Arial"/>
          <w:sz w:val="24"/>
          <w:szCs w:val="24"/>
        </w:rPr>
        <w:t>2024</w:t>
      </w:r>
      <w:proofErr w:type="gramEnd"/>
      <w:r w:rsidRPr="004D54A1">
        <w:rPr>
          <w:rStyle w:val="normaltextrun"/>
          <w:rFonts w:ascii="Arial" w:eastAsia="Times New Roman" w:hAnsi="Arial" w:cs="Arial"/>
          <w:sz w:val="24"/>
          <w:szCs w:val="24"/>
        </w:rPr>
        <w:t xml:space="preserve"> which is two years after the rate riders’ expiration has been audited. Therefore, sub-account 1595 (2021) would be eligible for disposition in the 2026 rate year.</w:t>
      </w:r>
    </w:p>
    <w:p w14:paraId="1776501A" w14:textId="77777777" w:rsidR="00F34362" w:rsidRPr="005879A3" w:rsidRDefault="00F34362" w:rsidP="00F34362">
      <w:pPr>
        <w:spacing w:after="0"/>
        <w:rPr>
          <w:rFonts w:ascii="Arial" w:eastAsia="Times New Roman" w:hAnsi="Arial" w:cs="Arial"/>
          <w:sz w:val="24"/>
          <w:szCs w:val="24"/>
        </w:rPr>
      </w:pPr>
    </w:p>
    <w:p w14:paraId="75D35FBD" w14:textId="77777777" w:rsidR="00F34362" w:rsidRPr="004D54A1" w:rsidRDefault="00F34362" w:rsidP="00F34362">
      <w:pPr>
        <w:rPr>
          <w:rFonts w:ascii="Arial" w:hAnsi="Arial" w:cs="Arial"/>
          <w:b/>
          <w:bCs/>
          <w:sz w:val="24"/>
          <w:szCs w:val="24"/>
          <w:u w:val="single"/>
        </w:rPr>
      </w:pPr>
      <w:r w:rsidRPr="004D54A1">
        <w:rPr>
          <w:rFonts w:ascii="Arial" w:hAnsi="Arial" w:cs="Arial"/>
          <w:b/>
          <w:bCs/>
          <w:sz w:val="24"/>
          <w:szCs w:val="24"/>
          <w:u w:val="single"/>
        </w:rPr>
        <w:t>Question(s):</w:t>
      </w:r>
    </w:p>
    <w:p w14:paraId="5B2C7DDF" w14:textId="1A4253AE" w:rsidR="00F34362" w:rsidRPr="004D54A1" w:rsidRDefault="00F34362" w:rsidP="00F34362">
      <w:pPr>
        <w:pStyle w:val="ListParagraph"/>
        <w:numPr>
          <w:ilvl w:val="0"/>
          <w:numId w:val="34"/>
        </w:numPr>
        <w:rPr>
          <w:rFonts w:ascii="Arial" w:hAnsi="Arial" w:cs="Arial"/>
          <w:sz w:val="24"/>
          <w:szCs w:val="24"/>
        </w:rPr>
      </w:pPr>
      <w:r w:rsidRPr="004D54A1">
        <w:rPr>
          <w:rFonts w:ascii="Arial" w:hAnsi="Arial" w:cs="Arial"/>
          <w:sz w:val="24"/>
          <w:szCs w:val="24"/>
        </w:rPr>
        <w:t xml:space="preserve">On Tab 3 of the </w:t>
      </w:r>
      <w:r w:rsidR="00B66629" w:rsidRPr="004D54A1">
        <w:rPr>
          <w:rFonts w:ascii="Arial" w:hAnsi="Arial" w:cs="Arial"/>
          <w:sz w:val="24"/>
          <w:szCs w:val="24"/>
        </w:rPr>
        <w:t>R</w:t>
      </w:r>
      <w:r w:rsidRPr="004D54A1">
        <w:rPr>
          <w:rFonts w:ascii="Arial" w:hAnsi="Arial" w:cs="Arial"/>
          <w:sz w:val="24"/>
          <w:szCs w:val="24"/>
        </w:rPr>
        <w:t xml:space="preserve">ate </w:t>
      </w:r>
      <w:r w:rsidR="00B66629" w:rsidRPr="004D54A1">
        <w:rPr>
          <w:rFonts w:ascii="Arial" w:hAnsi="Arial" w:cs="Arial"/>
          <w:sz w:val="24"/>
          <w:szCs w:val="24"/>
        </w:rPr>
        <w:t>G</w:t>
      </w:r>
      <w:r w:rsidRPr="004D54A1">
        <w:rPr>
          <w:rFonts w:ascii="Arial" w:hAnsi="Arial" w:cs="Arial"/>
          <w:sz w:val="24"/>
          <w:szCs w:val="24"/>
        </w:rPr>
        <w:t xml:space="preserve">enerator </w:t>
      </w:r>
      <w:r w:rsidR="00B66629" w:rsidRPr="004D54A1">
        <w:rPr>
          <w:rFonts w:ascii="Arial" w:hAnsi="Arial" w:cs="Arial"/>
          <w:sz w:val="24"/>
          <w:szCs w:val="24"/>
        </w:rPr>
        <w:t>M</w:t>
      </w:r>
      <w:r w:rsidRPr="004D54A1">
        <w:rPr>
          <w:rFonts w:ascii="Arial" w:hAnsi="Arial" w:cs="Arial"/>
          <w:sz w:val="24"/>
          <w:szCs w:val="24"/>
        </w:rPr>
        <w:t>odel FFPC has selected not to dispose of 1595 (2021)</w:t>
      </w:r>
      <w:r w:rsidR="00F27CBF" w:rsidRPr="004D54A1">
        <w:rPr>
          <w:rFonts w:ascii="Arial" w:hAnsi="Arial" w:cs="Arial"/>
          <w:sz w:val="24"/>
          <w:szCs w:val="24"/>
        </w:rPr>
        <w:t>.</w:t>
      </w:r>
      <w:r w:rsidRPr="004D54A1">
        <w:rPr>
          <w:rFonts w:ascii="Arial" w:hAnsi="Arial" w:cs="Arial"/>
          <w:sz w:val="24"/>
          <w:szCs w:val="24"/>
        </w:rPr>
        <w:t xml:space="preserve"> </w:t>
      </w:r>
      <w:r w:rsidR="00F27CBF" w:rsidRPr="004D54A1">
        <w:rPr>
          <w:rFonts w:ascii="Arial" w:hAnsi="Arial" w:cs="Arial"/>
          <w:sz w:val="24"/>
          <w:szCs w:val="24"/>
        </w:rPr>
        <w:t>P</w:t>
      </w:r>
      <w:r w:rsidRPr="004D54A1">
        <w:rPr>
          <w:rFonts w:ascii="Arial" w:hAnsi="Arial" w:cs="Arial"/>
          <w:sz w:val="24"/>
          <w:szCs w:val="24"/>
        </w:rPr>
        <w:t xml:space="preserve">lease explain why </w:t>
      </w:r>
      <w:r w:rsidR="00F27CBF" w:rsidRPr="004D54A1">
        <w:rPr>
          <w:rFonts w:ascii="Arial" w:hAnsi="Arial" w:cs="Arial"/>
          <w:sz w:val="24"/>
          <w:szCs w:val="24"/>
        </w:rPr>
        <w:t xml:space="preserve">FFPC does not want to dispose of this balance </w:t>
      </w:r>
      <w:r w:rsidRPr="004D54A1">
        <w:rPr>
          <w:rFonts w:ascii="Arial" w:hAnsi="Arial" w:cs="Arial"/>
          <w:sz w:val="24"/>
          <w:szCs w:val="24"/>
        </w:rPr>
        <w:t xml:space="preserve">or update the Rate Generator </w:t>
      </w:r>
      <w:r w:rsidR="0029038A" w:rsidRPr="004D54A1">
        <w:rPr>
          <w:rFonts w:ascii="Arial" w:hAnsi="Arial" w:cs="Arial"/>
          <w:sz w:val="24"/>
          <w:szCs w:val="24"/>
        </w:rPr>
        <w:t>Model</w:t>
      </w:r>
      <w:r w:rsidR="004843A6" w:rsidRPr="004D54A1">
        <w:rPr>
          <w:rFonts w:ascii="Arial" w:hAnsi="Arial" w:cs="Arial"/>
          <w:sz w:val="24"/>
          <w:szCs w:val="24"/>
        </w:rPr>
        <w:t xml:space="preserve"> </w:t>
      </w:r>
      <w:r w:rsidRPr="004D54A1">
        <w:rPr>
          <w:rFonts w:ascii="Arial" w:hAnsi="Arial" w:cs="Arial"/>
          <w:sz w:val="24"/>
          <w:szCs w:val="24"/>
        </w:rPr>
        <w:t xml:space="preserve">to </w:t>
      </w:r>
      <w:r w:rsidR="004843A6" w:rsidRPr="004D54A1">
        <w:rPr>
          <w:rFonts w:ascii="Arial" w:hAnsi="Arial" w:cs="Arial"/>
          <w:sz w:val="24"/>
          <w:szCs w:val="24"/>
        </w:rPr>
        <w:t>dispose of this balance</w:t>
      </w:r>
      <w:r w:rsidRPr="004D54A1">
        <w:rPr>
          <w:rFonts w:ascii="Arial" w:hAnsi="Arial" w:cs="Arial"/>
          <w:sz w:val="24"/>
          <w:szCs w:val="24"/>
        </w:rPr>
        <w:t>.</w:t>
      </w:r>
    </w:p>
    <w:p w14:paraId="2DA8D74D" w14:textId="77777777" w:rsidR="00404EAD" w:rsidRPr="002D056D" w:rsidRDefault="00404EAD" w:rsidP="00AB251C">
      <w:pPr>
        <w:spacing w:after="240"/>
        <w:rPr>
          <w:rFonts w:ascii="Arial" w:hAnsi="Arial" w:cs="Arial"/>
          <w:b/>
          <w:sz w:val="24"/>
          <w:szCs w:val="24"/>
        </w:rPr>
      </w:pPr>
    </w:p>
    <w:sectPr w:rsidR="00404EAD" w:rsidRPr="002D056D" w:rsidSect="00EA0919">
      <w:headerReference w:type="default" r:id="rId14"/>
      <w:footerReference w:type="default" r:id="rId15"/>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2D9F4" w14:textId="77777777" w:rsidR="000935D0" w:rsidRDefault="000935D0" w:rsidP="00D77124">
      <w:pPr>
        <w:spacing w:after="0" w:line="240" w:lineRule="auto"/>
      </w:pPr>
      <w:r>
        <w:separator/>
      </w:r>
    </w:p>
  </w:endnote>
  <w:endnote w:type="continuationSeparator" w:id="0">
    <w:p w14:paraId="6A6F7550" w14:textId="77777777" w:rsidR="000935D0" w:rsidRDefault="000935D0"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49787"/>
      <w:docPartObj>
        <w:docPartGallery w:val="Page Numbers (Bottom of Page)"/>
        <w:docPartUnique/>
      </w:docPartObj>
    </w:sdtPr>
    <w:sdtEndPr>
      <w:rPr>
        <w:rFonts w:ascii="Arial" w:hAnsi="Arial" w:cs="Arial"/>
        <w:noProof/>
      </w:rPr>
    </w:sdtEndPr>
    <w:sdtContent>
      <w:p w14:paraId="5232008B" w14:textId="2FEE7BF1" w:rsidR="00D77124" w:rsidRPr="00041858" w:rsidRDefault="00D77124">
        <w:pPr>
          <w:pStyle w:val="Footer"/>
          <w:jc w:val="center"/>
          <w:rPr>
            <w:rFonts w:ascii="Arial" w:hAnsi="Arial" w:cs="Arial"/>
          </w:rPr>
        </w:pPr>
        <w:r w:rsidRPr="00041858">
          <w:rPr>
            <w:rFonts w:ascii="Arial" w:hAnsi="Arial" w:cs="Arial"/>
          </w:rPr>
          <w:fldChar w:fldCharType="begin"/>
        </w:r>
        <w:r w:rsidRPr="00041858">
          <w:rPr>
            <w:rFonts w:ascii="Arial" w:hAnsi="Arial" w:cs="Arial"/>
          </w:rPr>
          <w:instrText xml:space="preserve"> PAGE   \* MERGEFORMAT </w:instrText>
        </w:r>
        <w:r w:rsidRPr="00041858">
          <w:rPr>
            <w:rFonts w:ascii="Arial" w:hAnsi="Arial" w:cs="Arial"/>
          </w:rPr>
          <w:fldChar w:fldCharType="separate"/>
        </w:r>
        <w:r w:rsidRPr="00041858">
          <w:rPr>
            <w:rFonts w:ascii="Arial" w:hAnsi="Arial" w:cs="Arial"/>
            <w:noProof/>
          </w:rPr>
          <w:t>2</w:t>
        </w:r>
        <w:r w:rsidRPr="00041858">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D39BB" w14:textId="77777777" w:rsidR="000935D0" w:rsidRDefault="000935D0" w:rsidP="00D77124">
      <w:pPr>
        <w:spacing w:after="0" w:line="240" w:lineRule="auto"/>
      </w:pPr>
      <w:r>
        <w:separator/>
      </w:r>
    </w:p>
  </w:footnote>
  <w:footnote w:type="continuationSeparator" w:id="0">
    <w:p w14:paraId="27E03D77" w14:textId="77777777" w:rsidR="000935D0" w:rsidRDefault="000935D0" w:rsidP="00D7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9E7D" w14:textId="2EAFD66C" w:rsidR="00DC489D" w:rsidRDefault="00DC489D">
    <w:pPr>
      <w:pStyle w:val="Header"/>
    </w:pPr>
    <w:r>
      <w:ptab w:relativeTo="margin" w:alignment="center" w:leader="none"/>
    </w:r>
    <w:r>
      <w:ptab w:relativeTo="margin" w:alignment="right" w:leader="none"/>
    </w:r>
    <w:r w:rsidR="00204499">
      <w:t>Fort Frances Power Corporation</w:t>
    </w:r>
  </w:p>
  <w:p w14:paraId="4C4BD2A4" w14:textId="27F660F2" w:rsidR="00DC489D" w:rsidRDefault="00DC489D">
    <w:pPr>
      <w:pStyle w:val="Header"/>
    </w:pPr>
    <w:r>
      <w:tab/>
    </w:r>
    <w:r>
      <w:tab/>
      <w:t>OEB Staff Questions</w:t>
    </w:r>
  </w:p>
  <w:p w14:paraId="31F1E28E" w14:textId="3E730213" w:rsidR="00DC489D" w:rsidRDefault="00DC489D">
    <w:pPr>
      <w:pStyle w:val="Header"/>
    </w:pPr>
    <w:r>
      <w:tab/>
    </w:r>
    <w:r>
      <w:tab/>
      <w:t>EB-20</w:t>
    </w:r>
    <w:r w:rsidR="00204499">
      <w:t>25-0038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483724"/>
    <w:multiLevelType w:val="hybridMultilevel"/>
    <w:tmpl w:val="0EEEFB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F3A97"/>
    <w:multiLevelType w:val="multilevel"/>
    <w:tmpl w:val="E81ACD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DA6F75"/>
    <w:multiLevelType w:val="hybridMultilevel"/>
    <w:tmpl w:val="760AF9C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BA63F45"/>
    <w:multiLevelType w:val="hybridMultilevel"/>
    <w:tmpl w:val="0EEEFB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7D31EEC"/>
    <w:multiLevelType w:val="hybridMultilevel"/>
    <w:tmpl w:val="AC0E19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ACF24EE"/>
    <w:multiLevelType w:val="hybridMultilevel"/>
    <w:tmpl w:val="C0FC39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5E64ADB"/>
    <w:multiLevelType w:val="hybridMultilevel"/>
    <w:tmpl w:val="9022F45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77389052">
    <w:abstractNumId w:val="0"/>
  </w:num>
  <w:num w:numId="2" w16cid:durableId="1817183121">
    <w:abstractNumId w:val="8"/>
  </w:num>
  <w:num w:numId="3" w16cid:durableId="1825269186">
    <w:abstractNumId w:val="25"/>
  </w:num>
  <w:num w:numId="4" w16cid:durableId="1119179632">
    <w:abstractNumId w:val="33"/>
  </w:num>
  <w:num w:numId="5" w16cid:durableId="2091417003">
    <w:abstractNumId w:val="14"/>
  </w:num>
  <w:num w:numId="6" w16cid:durableId="252014472">
    <w:abstractNumId w:val="11"/>
  </w:num>
  <w:num w:numId="7" w16cid:durableId="1793011066">
    <w:abstractNumId w:val="21"/>
  </w:num>
  <w:num w:numId="8" w16cid:durableId="1794320803">
    <w:abstractNumId w:val="16"/>
  </w:num>
  <w:num w:numId="9" w16cid:durableId="1829709702">
    <w:abstractNumId w:val="18"/>
  </w:num>
  <w:num w:numId="10" w16cid:durableId="1115251463">
    <w:abstractNumId w:val="7"/>
  </w:num>
  <w:num w:numId="11" w16cid:durableId="1887520468">
    <w:abstractNumId w:val="20"/>
  </w:num>
  <w:num w:numId="12" w16cid:durableId="1441336080">
    <w:abstractNumId w:val="27"/>
  </w:num>
  <w:num w:numId="13" w16cid:durableId="1780180625">
    <w:abstractNumId w:val="6"/>
  </w:num>
  <w:num w:numId="14" w16cid:durableId="1590384501">
    <w:abstractNumId w:val="1"/>
  </w:num>
  <w:num w:numId="15" w16cid:durableId="427196099">
    <w:abstractNumId w:val="32"/>
  </w:num>
  <w:num w:numId="16" w16cid:durableId="1661301170">
    <w:abstractNumId w:val="9"/>
  </w:num>
  <w:num w:numId="17" w16cid:durableId="580800399">
    <w:abstractNumId w:val="23"/>
  </w:num>
  <w:num w:numId="18" w16cid:durableId="1835102567">
    <w:abstractNumId w:val="29"/>
  </w:num>
  <w:num w:numId="19" w16cid:durableId="1966807704">
    <w:abstractNumId w:val="30"/>
  </w:num>
  <w:num w:numId="20" w16cid:durableId="1330401671">
    <w:abstractNumId w:val="13"/>
  </w:num>
  <w:num w:numId="21" w16cid:durableId="1192495916">
    <w:abstractNumId w:val="28"/>
  </w:num>
  <w:num w:numId="22" w16cid:durableId="82845605">
    <w:abstractNumId w:val="12"/>
  </w:num>
  <w:num w:numId="23" w16cid:durableId="1261449128">
    <w:abstractNumId w:val="26"/>
  </w:num>
  <w:num w:numId="24" w16cid:durableId="1669995">
    <w:abstractNumId w:val="24"/>
  </w:num>
  <w:num w:numId="25" w16cid:durableId="965695596">
    <w:abstractNumId w:val="2"/>
  </w:num>
  <w:num w:numId="26" w16cid:durableId="331496830">
    <w:abstractNumId w:val="19"/>
  </w:num>
  <w:num w:numId="27" w16cid:durableId="1873108183">
    <w:abstractNumId w:val="22"/>
  </w:num>
  <w:num w:numId="28" w16cid:durableId="59714707">
    <w:abstractNumId w:val="15"/>
  </w:num>
  <w:num w:numId="29" w16cid:durableId="780763041">
    <w:abstractNumId w:val="4"/>
  </w:num>
  <w:num w:numId="30" w16cid:durableId="1819027174">
    <w:abstractNumId w:val="3"/>
  </w:num>
  <w:num w:numId="31" w16cid:durableId="781455513">
    <w:abstractNumId w:val="31"/>
  </w:num>
  <w:num w:numId="32" w16cid:durableId="1752003682">
    <w:abstractNumId w:val="5"/>
  </w:num>
  <w:num w:numId="33" w16cid:durableId="2071271558">
    <w:abstractNumId w:val="17"/>
  </w:num>
  <w:num w:numId="34" w16cid:durableId="19040945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41858"/>
    <w:rsid w:val="00053849"/>
    <w:rsid w:val="00054071"/>
    <w:rsid w:val="0006126D"/>
    <w:rsid w:val="00065801"/>
    <w:rsid w:val="0006668C"/>
    <w:rsid w:val="00067F57"/>
    <w:rsid w:val="00071BEC"/>
    <w:rsid w:val="00074514"/>
    <w:rsid w:val="000832D4"/>
    <w:rsid w:val="00090160"/>
    <w:rsid w:val="000935D0"/>
    <w:rsid w:val="000B3E7E"/>
    <w:rsid w:val="000D223C"/>
    <w:rsid w:val="000D29AE"/>
    <w:rsid w:val="000E3A05"/>
    <w:rsid w:val="000E4006"/>
    <w:rsid w:val="000F1E3A"/>
    <w:rsid w:val="00133BE1"/>
    <w:rsid w:val="00164E99"/>
    <w:rsid w:val="00183CC8"/>
    <w:rsid w:val="00187E9B"/>
    <w:rsid w:val="00190C8A"/>
    <w:rsid w:val="001927C2"/>
    <w:rsid w:val="001A4AFD"/>
    <w:rsid w:val="001A4DCD"/>
    <w:rsid w:val="001C255E"/>
    <w:rsid w:val="001D526D"/>
    <w:rsid w:val="00203092"/>
    <w:rsid w:val="00204499"/>
    <w:rsid w:val="002208C0"/>
    <w:rsid w:val="00224C06"/>
    <w:rsid w:val="00241849"/>
    <w:rsid w:val="0025687C"/>
    <w:rsid w:val="00266A5E"/>
    <w:rsid w:val="00274A48"/>
    <w:rsid w:val="00275A54"/>
    <w:rsid w:val="00282489"/>
    <w:rsid w:val="0029038A"/>
    <w:rsid w:val="00291CCC"/>
    <w:rsid w:val="002A6415"/>
    <w:rsid w:val="002B7B7C"/>
    <w:rsid w:val="002C2BF2"/>
    <w:rsid w:val="002C77ED"/>
    <w:rsid w:val="002C7EF6"/>
    <w:rsid w:val="002D4924"/>
    <w:rsid w:val="002E4887"/>
    <w:rsid w:val="002F4756"/>
    <w:rsid w:val="00302509"/>
    <w:rsid w:val="003049C5"/>
    <w:rsid w:val="003303BF"/>
    <w:rsid w:val="00340C00"/>
    <w:rsid w:val="003547DD"/>
    <w:rsid w:val="003702D1"/>
    <w:rsid w:val="00373FAD"/>
    <w:rsid w:val="003777B5"/>
    <w:rsid w:val="003832E7"/>
    <w:rsid w:val="00392051"/>
    <w:rsid w:val="003A20A0"/>
    <w:rsid w:val="003A58B0"/>
    <w:rsid w:val="00400DFC"/>
    <w:rsid w:val="00404EAD"/>
    <w:rsid w:val="00412DC6"/>
    <w:rsid w:val="00425009"/>
    <w:rsid w:val="004377B0"/>
    <w:rsid w:val="00472B61"/>
    <w:rsid w:val="00472C81"/>
    <w:rsid w:val="00475032"/>
    <w:rsid w:val="004843A6"/>
    <w:rsid w:val="004859EF"/>
    <w:rsid w:val="004D54A1"/>
    <w:rsid w:val="00511EC2"/>
    <w:rsid w:val="005164F5"/>
    <w:rsid w:val="0052560F"/>
    <w:rsid w:val="005666F2"/>
    <w:rsid w:val="00572064"/>
    <w:rsid w:val="00584369"/>
    <w:rsid w:val="005879A3"/>
    <w:rsid w:val="00587A35"/>
    <w:rsid w:val="005C499D"/>
    <w:rsid w:val="005E27C0"/>
    <w:rsid w:val="005E6001"/>
    <w:rsid w:val="005F4693"/>
    <w:rsid w:val="0061277A"/>
    <w:rsid w:val="00623602"/>
    <w:rsid w:val="0064279A"/>
    <w:rsid w:val="00651C98"/>
    <w:rsid w:val="006A1257"/>
    <w:rsid w:val="006A5D23"/>
    <w:rsid w:val="006A6AE9"/>
    <w:rsid w:val="006E3D58"/>
    <w:rsid w:val="00704EE5"/>
    <w:rsid w:val="007066E2"/>
    <w:rsid w:val="0072241F"/>
    <w:rsid w:val="00722640"/>
    <w:rsid w:val="0073197E"/>
    <w:rsid w:val="00746080"/>
    <w:rsid w:val="007508EC"/>
    <w:rsid w:val="00772B57"/>
    <w:rsid w:val="00781D04"/>
    <w:rsid w:val="00782B6F"/>
    <w:rsid w:val="007C2D45"/>
    <w:rsid w:val="007F49EB"/>
    <w:rsid w:val="00805FDA"/>
    <w:rsid w:val="00812C1B"/>
    <w:rsid w:val="008173B1"/>
    <w:rsid w:val="00835AD0"/>
    <w:rsid w:val="00841787"/>
    <w:rsid w:val="008554AB"/>
    <w:rsid w:val="0085744D"/>
    <w:rsid w:val="008747B3"/>
    <w:rsid w:val="008813C3"/>
    <w:rsid w:val="008926F0"/>
    <w:rsid w:val="008964E8"/>
    <w:rsid w:val="008A48F6"/>
    <w:rsid w:val="008E6045"/>
    <w:rsid w:val="0090113B"/>
    <w:rsid w:val="00907460"/>
    <w:rsid w:val="0093258A"/>
    <w:rsid w:val="0094373C"/>
    <w:rsid w:val="00946DEE"/>
    <w:rsid w:val="00951E2B"/>
    <w:rsid w:val="00952939"/>
    <w:rsid w:val="00961EA0"/>
    <w:rsid w:val="00996E79"/>
    <w:rsid w:val="009A15FE"/>
    <w:rsid w:val="009A5C44"/>
    <w:rsid w:val="009A7D40"/>
    <w:rsid w:val="009B03AF"/>
    <w:rsid w:val="009C4216"/>
    <w:rsid w:val="009D5F4B"/>
    <w:rsid w:val="009E02BF"/>
    <w:rsid w:val="009E626E"/>
    <w:rsid w:val="009E7CBF"/>
    <w:rsid w:val="00A07077"/>
    <w:rsid w:val="00A47F5C"/>
    <w:rsid w:val="00A50DD0"/>
    <w:rsid w:val="00A516B0"/>
    <w:rsid w:val="00A5620A"/>
    <w:rsid w:val="00AA06D9"/>
    <w:rsid w:val="00AB251C"/>
    <w:rsid w:val="00AC2406"/>
    <w:rsid w:val="00AD3FCF"/>
    <w:rsid w:val="00AD53AC"/>
    <w:rsid w:val="00B009C4"/>
    <w:rsid w:val="00B03802"/>
    <w:rsid w:val="00B069AA"/>
    <w:rsid w:val="00B23A36"/>
    <w:rsid w:val="00B25576"/>
    <w:rsid w:val="00B25EF5"/>
    <w:rsid w:val="00B50EB2"/>
    <w:rsid w:val="00B66629"/>
    <w:rsid w:val="00B6722A"/>
    <w:rsid w:val="00B82D78"/>
    <w:rsid w:val="00BA434C"/>
    <w:rsid w:val="00BD4F65"/>
    <w:rsid w:val="00BD7607"/>
    <w:rsid w:val="00C053A1"/>
    <w:rsid w:val="00C06F9E"/>
    <w:rsid w:val="00C13E6B"/>
    <w:rsid w:val="00C16F53"/>
    <w:rsid w:val="00C2370B"/>
    <w:rsid w:val="00C27193"/>
    <w:rsid w:val="00C624D5"/>
    <w:rsid w:val="00C848A0"/>
    <w:rsid w:val="00C859E5"/>
    <w:rsid w:val="00C878C5"/>
    <w:rsid w:val="00C96AEA"/>
    <w:rsid w:val="00CC0B6D"/>
    <w:rsid w:val="00CD01B4"/>
    <w:rsid w:val="00CE1CD3"/>
    <w:rsid w:val="00CE3337"/>
    <w:rsid w:val="00CE4F01"/>
    <w:rsid w:val="00D30F16"/>
    <w:rsid w:val="00D55546"/>
    <w:rsid w:val="00D57E8C"/>
    <w:rsid w:val="00D6213C"/>
    <w:rsid w:val="00D6373C"/>
    <w:rsid w:val="00D647C0"/>
    <w:rsid w:val="00D769A6"/>
    <w:rsid w:val="00D77124"/>
    <w:rsid w:val="00D77694"/>
    <w:rsid w:val="00D77B0F"/>
    <w:rsid w:val="00D91AD0"/>
    <w:rsid w:val="00DB3085"/>
    <w:rsid w:val="00DB6B52"/>
    <w:rsid w:val="00DC489D"/>
    <w:rsid w:val="00DC54F7"/>
    <w:rsid w:val="00DE5488"/>
    <w:rsid w:val="00DE75AC"/>
    <w:rsid w:val="00DF5A52"/>
    <w:rsid w:val="00E17C58"/>
    <w:rsid w:val="00E231C2"/>
    <w:rsid w:val="00E429DA"/>
    <w:rsid w:val="00E558B9"/>
    <w:rsid w:val="00E57653"/>
    <w:rsid w:val="00E616AB"/>
    <w:rsid w:val="00E62C2A"/>
    <w:rsid w:val="00E72BF8"/>
    <w:rsid w:val="00E8586E"/>
    <w:rsid w:val="00E86F26"/>
    <w:rsid w:val="00E96A06"/>
    <w:rsid w:val="00EA0919"/>
    <w:rsid w:val="00EB5240"/>
    <w:rsid w:val="00EC0B55"/>
    <w:rsid w:val="00EE3753"/>
    <w:rsid w:val="00EE6294"/>
    <w:rsid w:val="00EF4469"/>
    <w:rsid w:val="00F034BF"/>
    <w:rsid w:val="00F233A3"/>
    <w:rsid w:val="00F23D7A"/>
    <w:rsid w:val="00F26D30"/>
    <w:rsid w:val="00F27CBF"/>
    <w:rsid w:val="00F34362"/>
    <w:rsid w:val="00F54F3E"/>
    <w:rsid w:val="00F57152"/>
    <w:rsid w:val="00F7362C"/>
    <w:rsid w:val="00F92F61"/>
    <w:rsid w:val="00FB6F10"/>
    <w:rsid w:val="00FC4CF8"/>
    <w:rsid w:val="00FC5DA7"/>
    <w:rsid w:val="00FC7337"/>
    <w:rsid w:val="00FF2A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paragraph" w:customStyle="1" w:styleId="paragraph">
    <w:name w:val="paragraph"/>
    <w:basedOn w:val="Normal"/>
    <w:rsid w:val="002044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04499"/>
  </w:style>
  <w:style w:type="character" w:customStyle="1" w:styleId="eop">
    <w:name w:val="eop"/>
    <w:basedOn w:val="DefaultParagraphFont"/>
    <w:rsid w:val="00204499"/>
  </w:style>
  <w:style w:type="character" w:customStyle="1" w:styleId="tabchar">
    <w:name w:val="tabchar"/>
    <w:basedOn w:val="DefaultParagraphFont"/>
    <w:rsid w:val="00404EAD"/>
  </w:style>
  <w:style w:type="character" w:customStyle="1" w:styleId="wacimagecontainer">
    <w:name w:val="wacimagecontainer"/>
    <w:basedOn w:val="DefaultParagraphFont"/>
    <w:rsid w:val="00404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anche_x0020_Number xmlns="8367ee9a-2bad-4275-a510-c35595ceaaf6" xsi:nil="true"/>
    <TaxCatchAll xmlns="01471336-afb1-4cde-a276-2d6acc6bcfc0" xsi:nil="true"/>
    <Hearing_x0020_Authority xmlns="8367ee9a-2bad-4275-a510-c35595ceaaf6" xsi:nil="true"/>
    <JessySerrao xmlns="8367ee9a-2bad-4275-a510-c35595ceaaf6" xsi:nil="true"/>
    <lcf76f155ced4ddcb4097134ff3c332f xmlns="8367ee9a-2bad-4275-a510-c35595ceaaf6">
      <Terms xmlns="http://schemas.microsoft.com/office/infopath/2007/PartnerControls"/>
    </lcf76f155ced4ddcb4097134ff3c332f>
    <Rate_x0020_Zones xmlns="8367ee9a-2bad-4275-a510-c35595ceaaf6" xsi:nil="true"/>
    <_Flow_SignoffStatus xmlns="8367ee9a-2bad-4275-a510-c35595ceaaf6" xsi:nil="true"/>
    <Mechanisim xmlns="8367ee9a-2bad-4275-a510-c35595ceaaf6" xsi:nil="true"/>
    <Legal_x0020_Counsel xmlns="8367ee9a-2bad-4275-a510-c35595ceaaf6" xsi:nil="true"/>
    <Case_x0020_Manager xmlns="8367ee9a-2bad-4275-a510-c35595ceaaf6" xsi:nil="true"/>
    <Mechanism xmlns="8367ee9a-2bad-4275-a510-c35595ceaaf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1EF994162927F4EBBA0833824D20125" ma:contentTypeVersion="34" ma:contentTypeDescription="Create a new document." ma:contentTypeScope="" ma:versionID="e5005968cf9a4ef33b49241b6c0cb690">
  <xsd:schema xmlns:xsd="http://www.w3.org/2001/XMLSchema" xmlns:xs="http://www.w3.org/2001/XMLSchema" xmlns:p="http://schemas.microsoft.com/office/2006/metadata/properties" xmlns:ns2="8367ee9a-2bad-4275-a510-c35595ceaaf6" xmlns:ns3="01471336-afb1-4cde-a276-2d6acc6bcfc0" targetNamespace="http://schemas.microsoft.com/office/2006/metadata/properties" ma:root="true" ma:fieldsID="6ad9016cf60c9cb2bdb94d2628fc2918" ns2:_="" ns3:_="">
    <xsd:import namespace="8367ee9a-2bad-4275-a510-c35595ceaaf6"/>
    <xsd:import namespace="01471336-afb1-4cde-a276-2d6acc6bcfc0"/>
    <xsd:element name="properties">
      <xsd:complexType>
        <xsd:sequence>
          <xsd:element name="documentManagement">
            <xsd:complexType>
              <xsd:all>
                <xsd:element ref="ns2:Case_x0020_Manager" minOccurs="0"/>
                <xsd:element ref="ns2:Mechanism" minOccurs="0"/>
                <xsd:element ref="ns2:Mechanisim" minOccurs="0"/>
                <xsd:element ref="ns2:Hearing_x0020_Authority" minOccurs="0"/>
                <xsd:element ref="ns2:Rate_x0020_Zones" minOccurs="0"/>
                <xsd:element ref="ns2:Legal_x0020_Counsel"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Metadata" minOccurs="0"/>
                <xsd:element ref="ns2:Tranche_x0020_Number" minOccurs="0"/>
                <xsd:element ref="ns2:_Flow_SignoffStatus" minOccurs="0"/>
                <xsd:element ref="ns2:JessySerra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7ee9a-2bad-4275-a510-c35595ceaaf6" elementFormDefault="qualified">
    <xsd:import namespace="http://schemas.microsoft.com/office/2006/documentManagement/types"/>
    <xsd:import namespace="http://schemas.microsoft.com/office/infopath/2007/PartnerControls"/>
    <xsd:element name="Case_x0020_Manager" ma:index="3" nillable="true" ma:displayName="Case Manager" ma:format="Dropdown" ma:internalName="Case_x0020_Manager">
      <xsd:complexType>
        <xsd:complexContent>
          <xsd:extension base="dms:MultiChoice">
            <xsd:sequence>
              <xsd:element name="Value" maxOccurs="unbounded" minOccurs="0" nillable="true">
                <xsd:simpleType>
                  <xsd:restriction base="dms:Choice">
                    <xsd:enumeration value="Wolly Bibiresanmi"/>
                    <xsd:enumeration value="Yaroslav Paliy"/>
                    <xsd:enumeration value="Urooj Iqbal"/>
                    <xsd:enumeration value="Kelli Benincasa"/>
                    <xsd:enumeration value="Lizzie Zhang"/>
                    <xsd:enumeration value="Hatem Hassan"/>
                    <xsd:enumeration value="Abla Nur"/>
                    <xsd:enumeration value="Iris Qi"/>
                    <xsd:enumeration value="Harshleen Kaur"/>
                    <xsd:enumeration value="Muzammel Hussain"/>
                    <xsd:enumeration value="Tina Zhu"/>
                    <xsd:enumeration value="Adam Hafejee"/>
                    <xsd:enumeration value="Analyst 2"/>
                    <xsd:enumeration value="Andrew Frank"/>
                    <xsd:enumeration value="Arlene Bernardo"/>
                    <xsd:enumeration value="Ashley Sanasie"/>
                    <xsd:enumeration value="Cecilia Wang"/>
                    <xsd:enumeration value="David Xing"/>
                    <xsd:enumeration value="Mariana Svistun"/>
                    <xsd:enumeration value="Marly Augustine"/>
                    <xsd:enumeration value="Michael Bell"/>
                    <xsd:enumeration value="Randy Doradat"/>
                    <xsd:enumeration value="Serena Jia"/>
                    <xsd:enumeration value="Stephanie Cheng"/>
                  </xsd:restriction>
                </xsd:simpleType>
              </xsd:element>
            </xsd:sequence>
          </xsd:extension>
        </xsd:complexContent>
      </xsd:complexType>
    </xsd:element>
    <xsd:element name="Mechanism" ma:index="4" nillable="true" ma:displayName="Rate Effective Date" ma:format="Dropdown" ma:internalName="Mechanism" ma:readOnly="false">
      <xsd:simpleType>
        <xsd:restriction base="dms:Choice">
          <xsd:enumeration value="Jan 1"/>
          <xsd:enumeration value="May 1"/>
        </xsd:restriction>
      </xsd:simpleType>
    </xsd:element>
    <xsd:element name="Mechanisim" ma:index="5" nillable="true" ma:displayName="Mechanisim" ma:format="Dropdown" ma:internalName="Mechanisim" ma:readOnly="false">
      <xsd:complexType>
        <xsd:complexContent>
          <xsd:extension base="dms:MultiChoice">
            <xsd:sequence>
              <xsd:element name="Value" maxOccurs="unbounded" minOccurs="0" nillable="true">
                <xsd:simpleType>
                  <xsd:restriction base="dms:Choice">
                    <xsd:enumeration value="Price Cap IR"/>
                    <xsd:enumeration value="Annual IR"/>
                  </xsd:restriction>
                </xsd:simpleType>
              </xsd:element>
            </xsd:sequence>
          </xsd:extension>
        </xsd:complexContent>
      </xsd:complexType>
    </xsd:element>
    <xsd:element name="Hearing_x0020_Authority" ma:index="6" nillable="true" ma:displayName="Hearing Authority" ma:format="Dropdown" ma:hidden="true" ma:internalName="Hearing_x0020_Authority">
      <xsd:simpleType>
        <xsd:restriction base="dms:Choice">
          <xsd:enumeration value="Panel"/>
          <xsd:enumeration value="DA - Darryl Seal"/>
          <xsd:enumeration value="DA - Lawren Murray"/>
          <xsd:enumeration value="DA - Tina Li"/>
          <xsd:enumeration value="DA - Kevin Mancherjee"/>
          <xsd:enumeration value="DA - Ted Antonopoulos"/>
          <xsd:enumeration value="DA - James Sidlofsky"/>
          <xsd:enumeration value="DA - Donald Lau"/>
          <xsd:enumeration value="DA"/>
          <xsd:enumeration value="Panel"/>
        </xsd:restriction>
      </xsd:simpleType>
    </xsd:element>
    <xsd:element name="Rate_x0020_Zones" ma:index="7" nillable="true" ma:displayName="Rate Zones" ma:format="Dropdown" ma:hidden="true" ma:internalName="Rate_x0020_Zones" ma:readOnly="false">
      <xsd:simpleType>
        <xsd:restriction base="dms:Choice">
          <xsd:enumeration value="1"/>
          <xsd:enumeration value="2"/>
          <xsd:enumeration value="5"/>
        </xsd:restriction>
      </xsd:simpleType>
    </xsd:element>
    <xsd:element name="Legal_x0020_Counsel" ma:index="8" nillable="true" ma:displayName="Legal Counsel" ma:format="Dropdown" ma:hidden="true" ma:internalName="Legal_x0020_Counsel" ma:readOnly="false">
      <xsd:simpleType>
        <xsd:restriction base="dms:Choice">
          <xsd:enumeration value="Lawren Murray"/>
          <xsd:enumeration value="James Sidlofsky"/>
          <xsd:enumeration value="Richard Lanni"/>
          <xsd:enumeration value="Ljuba Djurdjevic"/>
          <xsd:enumeration value="Ian Richler"/>
          <xsd:enumeration value="Michael Millar"/>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Tranche_x0020_Number" ma:index="26" nillable="true" ma:displayName="Tranche #" ma:format="Dropdown" ma:hidden="true" ma:internalName="Tranche_x0020_Number" ma:readOnly="false">
      <xsd:simpleType>
        <xsd:restriction base="dms:Choice">
          <xsd:enumeration value="Tranche #1"/>
          <xsd:enumeration value="Tranche #2"/>
          <xsd:enumeration value="Tranche #3"/>
          <xsd:enumeration value="Tranche #4"/>
        </xsd:restriction>
      </xsd:simpleType>
    </xsd:element>
    <xsd:element name="_Flow_SignoffStatus" ma:index="27" nillable="true" ma:displayName="Sign-off status" ma:internalName="Sign_x002d_off_x0020_status">
      <xsd:simpleType>
        <xsd:restriction base="dms:Text"/>
      </xsd:simpleType>
    </xsd:element>
    <xsd:element name="JessySerrao" ma:index="28" nillable="true" ma:displayName="Regulatory Administrator" ma:format="Dropdown" ma:internalName="JessySerra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71336-afb1-4cde-a276-2d6acc6bcf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3d9606-52aa-4b94-90db-b9f9f6e02968}" ma:internalName="TaxCatchAll" ma:readOnly="false" ma:showField="CatchAllData" ma:web="01471336-afb1-4cde-a276-2d6acc6bc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AE022-1F3D-4E97-BCFE-C9C1D4A2716A}">
  <ds:schemaRefs>
    <ds:schemaRef ds:uri="http://schemas.microsoft.com/office/2006/metadata/properties"/>
    <ds:schemaRef ds:uri="http://schemas.microsoft.com/office/infopath/2007/PartnerControls"/>
    <ds:schemaRef ds:uri="8367ee9a-2bad-4275-a510-c35595ceaaf6"/>
    <ds:schemaRef ds:uri="01471336-afb1-4cde-a276-2d6acc6bcfc0"/>
  </ds:schemaRefs>
</ds:datastoreItem>
</file>

<file path=customXml/itemProps2.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3.xml><?xml version="1.0" encoding="utf-8"?>
<ds:datastoreItem xmlns:ds="http://schemas.openxmlformats.org/officeDocument/2006/customXml" ds:itemID="{73AF7E8C-90A9-410C-8F17-3B648D4B7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7ee9a-2bad-4275-a510-c35595ceaaf6"/>
    <ds:schemaRef ds:uri="01471336-afb1-4cde-a276-2d6acc6bc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FD318-E47C-4F5B-9EEC-F73DF3D934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550</Words>
  <Characters>2955</Characters>
  <Application>Microsoft Office Word</Application>
  <DocSecurity>0</DocSecurity>
  <Lines>94</Lines>
  <Paragraphs>35</Paragraphs>
  <ScaleCrop>false</ScaleCrop>
  <HeadingPairs>
    <vt:vector size="2" baseType="variant">
      <vt:variant>
        <vt:lpstr>Title</vt:lpstr>
      </vt:variant>
      <vt:variant>
        <vt:i4>1</vt:i4>
      </vt:variant>
    </vt:vector>
  </HeadingPairs>
  <TitlesOfParts>
    <vt:vector size="1" baseType="lpstr">
      <vt:lpstr>IRM - OEB Staff Questions NO cover letter - Delegated Authority</vt:lpstr>
    </vt:vector>
  </TitlesOfParts>
  <Company>OEB</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 OEB Staff Questions NO cover letter - Delegated Authority</dc:title>
  <dc:creator>OEB</dc:creator>
  <cp:lastModifiedBy>Kelli Benincasa</cp:lastModifiedBy>
  <cp:revision>36</cp:revision>
  <cp:lastPrinted>2014-09-29T14:43:00Z</cp:lastPrinted>
  <dcterms:created xsi:type="dcterms:W3CDTF">2025-12-11T12:37:00Z</dcterms:created>
  <dcterms:modified xsi:type="dcterms:W3CDTF">2025-12-11T15:00:00Z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0x01010051EF994162927F4EBBA0833824D20125</vt:lpwstr>
  </property>
  <property fmtid="{D5CDD505-2E9C-101B-9397-08002B2CF9AE}" pid="3" name="Order">
    <vt:r8>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