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C4D9E" w14:textId="476630AC" w:rsidR="009A02A3" w:rsidRPr="00D57E8C" w:rsidRDefault="009A02A3" w:rsidP="009A02A3">
      <w:pPr>
        <w:pStyle w:val="Default"/>
        <w:jc w:val="center"/>
        <w:rPr>
          <w:rFonts w:ascii="Arial" w:hAnsi="Arial" w:cs="Arial"/>
          <w:sz w:val="28"/>
          <w:szCs w:val="28"/>
        </w:rPr>
      </w:pPr>
      <w:r>
        <w:rPr>
          <w:rFonts w:ascii="Arial" w:hAnsi="Arial" w:cs="Arial"/>
          <w:b/>
          <w:bCs/>
          <w:sz w:val="28"/>
          <w:szCs w:val="28"/>
        </w:rPr>
        <w:t>Tillsonburg Hydro Inc.</w:t>
      </w:r>
    </w:p>
    <w:p w14:paraId="73BA6B2E" w14:textId="4A42E106" w:rsidR="009A02A3" w:rsidRDefault="009A02A3" w:rsidP="009A02A3">
      <w:pPr>
        <w:pStyle w:val="Default"/>
        <w:spacing w:after="360"/>
        <w:contextualSpacing/>
        <w:jc w:val="center"/>
        <w:rPr>
          <w:rFonts w:ascii="Arial" w:hAnsi="Arial" w:cs="Arial"/>
          <w:b/>
          <w:bCs/>
          <w:sz w:val="28"/>
          <w:szCs w:val="28"/>
        </w:rPr>
      </w:pPr>
      <w:r>
        <w:rPr>
          <w:rFonts w:ascii="Arial" w:hAnsi="Arial" w:cs="Arial"/>
          <w:b/>
          <w:bCs/>
          <w:sz w:val="28"/>
          <w:szCs w:val="28"/>
        </w:rPr>
        <w:t>EB-2025-00</w:t>
      </w:r>
      <w:r w:rsidR="003C0D0B">
        <w:rPr>
          <w:rFonts w:ascii="Arial" w:hAnsi="Arial" w:cs="Arial"/>
          <w:b/>
          <w:bCs/>
          <w:sz w:val="28"/>
          <w:szCs w:val="28"/>
        </w:rPr>
        <w:t>07</w:t>
      </w:r>
    </w:p>
    <w:p w14:paraId="51AEBA2C" w14:textId="7D9BD03B" w:rsidR="009A02A3" w:rsidRDefault="00174122" w:rsidP="009A02A3">
      <w:pPr>
        <w:pStyle w:val="Default"/>
        <w:spacing w:after="360"/>
        <w:contextualSpacing/>
        <w:jc w:val="center"/>
        <w:rPr>
          <w:rFonts w:ascii="Arial" w:hAnsi="Arial" w:cs="Arial"/>
          <w:b/>
          <w:bCs/>
          <w:sz w:val="28"/>
          <w:szCs w:val="28"/>
        </w:rPr>
      </w:pPr>
      <w:r>
        <w:rPr>
          <w:rFonts w:ascii="Arial" w:hAnsi="Arial" w:cs="Arial"/>
          <w:b/>
          <w:bCs/>
          <w:sz w:val="28"/>
          <w:szCs w:val="28"/>
        </w:rPr>
        <w:t xml:space="preserve">February </w:t>
      </w:r>
      <w:r w:rsidR="00364887">
        <w:rPr>
          <w:rFonts w:ascii="Arial" w:hAnsi="Arial" w:cs="Arial"/>
          <w:b/>
          <w:bCs/>
          <w:sz w:val="28"/>
          <w:szCs w:val="28"/>
        </w:rPr>
        <w:t>20</w:t>
      </w:r>
      <w:r>
        <w:rPr>
          <w:rFonts w:ascii="Arial" w:hAnsi="Arial" w:cs="Arial"/>
          <w:b/>
          <w:bCs/>
          <w:sz w:val="28"/>
          <w:szCs w:val="28"/>
        </w:rPr>
        <w:t>, 2026</w:t>
      </w:r>
    </w:p>
    <w:p w14:paraId="37290A91" w14:textId="4BEBA5C1" w:rsidR="009A02A3" w:rsidRPr="006B0427" w:rsidRDefault="009A02A3" w:rsidP="009A02A3">
      <w:pPr>
        <w:autoSpaceDE w:val="0"/>
        <w:autoSpaceDN w:val="0"/>
        <w:adjustRightInd w:val="0"/>
        <w:spacing w:after="240"/>
        <w:rPr>
          <w:rFonts w:ascii="Arial" w:eastAsia="Calibri" w:hAnsi="Arial" w:cs="Arial"/>
        </w:rPr>
      </w:pPr>
      <w:bookmarkStart w:id="0" w:name="_Hlk55806661"/>
      <w:r w:rsidRPr="006B0427">
        <w:rPr>
          <w:rFonts w:ascii="Arial" w:eastAsia="Calibri" w:hAnsi="Arial" w:cs="Arial"/>
        </w:rPr>
        <w:t xml:space="preserve">Please note, </w:t>
      </w:r>
      <w:r w:rsidR="00174122">
        <w:rPr>
          <w:rFonts w:ascii="Arial" w:eastAsia="Calibri" w:hAnsi="Arial" w:cs="Arial"/>
        </w:rPr>
        <w:t>Tillsonburg Hydro Inc.</w:t>
      </w:r>
      <w:r w:rsidRPr="006B0427">
        <w:rPr>
          <w:rFonts w:ascii="Arial" w:eastAsia="Calibri" w:hAnsi="Arial" w:cs="Arial"/>
        </w:rPr>
        <w:t xml:space="preserve"> (</w:t>
      </w:r>
      <w:r w:rsidR="00174122">
        <w:rPr>
          <w:rFonts w:ascii="Arial" w:eastAsia="Calibri" w:hAnsi="Arial" w:cs="Arial"/>
        </w:rPr>
        <w:t>Tillsonburg Hydro</w:t>
      </w:r>
      <w:r w:rsidRPr="006B0427">
        <w:rPr>
          <w:rFonts w:ascii="Arial" w:eastAsia="Calibri" w:hAnsi="Arial" w:cs="Arial"/>
        </w:rPr>
        <w:t xml:space="preserve">) is responsible for ensuring that all documents it files with the OEB, including responses to OEB staff questions and any other supporting documentation, do not include personal information as that phrase is defined in the </w:t>
      </w:r>
      <w:r w:rsidRPr="006B0427">
        <w:rPr>
          <w:rFonts w:ascii="Arial" w:eastAsia="Calibri" w:hAnsi="Arial" w:cs="Arial"/>
          <w:i/>
          <w:iCs/>
        </w:rPr>
        <w:t>Freedom of Information and Protection of Privacy Act</w:t>
      </w:r>
      <w:r w:rsidRPr="006B0427">
        <w:rPr>
          <w:rFonts w:ascii="Arial" w:eastAsia="Calibri" w:hAnsi="Arial" w:cs="Arial"/>
        </w:rPr>
        <w:t xml:space="preserve">, unless filed in accordance with rule 9A of the OEB’s </w:t>
      </w:r>
      <w:r w:rsidRPr="006B0427">
        <w:rPr>
          <w:rFonts w:ascii="Arial" w:eastAsia="Calibri" w:hAnsi="Arial" w:cs="Arial"/>
          <w:i/>
          <w:iCs/>
        </w:rPr>
        <w:t>Rules of Practice and Procedure</w:t>
      </w:r>
      <w:r w:rsidRPr="006B0427">
        <w:rPr>
          <w:rFonts w:ascii="Arial" w:eastAsia="Calibri" w:hAnsi="Arial" w:cs="Arial"/>
        </w:rPr>
        <w:t>.</w:t>
      </w:r>
    </w:p>
    <w:bookmarkEnd w:id="0"/>
    <w:p w14:paraId="0AF5876D" w14:textId="48D607A1" w:rsidR="001B3206" w:rsidRPr="00287338" w:rsidRDefault="00BB632B" w:rsidP="00792162">
      <w:pPr>
        <w:pStyle w:val="ListParagraph"/>
        <w:ind w:left="0"/>
        <w:contextualSpacing w:val="0"/>
        <w:rPr>
          <w:rFonts w:ascii="Arial" w:hAnsi="Arial" w:cs="Arial"/>
          <w:b/>
          <w:bCs/>
        </w:rPr>
      </w:pPr>
      <w:r w:rsidRPr="00287338">
        <w:rPr>
          <w:rFonts w:ascii="Arial" w:hAnsi="Arial" w:cs="Arial"/>
          <w:b/>
          <w:bCs/>
        </w:rPr>
        <w:t>Staff-</w:t>
      </w:r>
      <w:r w:rsidR="00C37A33">
        <w:rPr>
          <w:rFonts w:ascii="Arial" w:hAnsi="Arial" w:cs="Arial"/>
          <w:b/>
          <w:bCs/>
        </w:rPr>
        <w:t>6</w:t>
      </w:r>
    </w:p>
    <w:p w14:paraId="1C3FA28B" w14:textId="034B1DD7" w:rsidR="0094271B" w:rsidRPr="00287338" w:rsidRDefault="0080244F" w:rsidP="00792162">
      <w:pPr>
        <w:pStyle w:val="ListParagraph"/>
        <w:ind w:left="0"/>
        <w:contextualSpacing w:val="0"/>
        <w:rPr>
          <w:rFonts w:ascii="Arial" w:hAnsi="Arial" w:cs="Arial"/>
        </w:rPr>
      </w:pPr>
      <w:r w:rsidRPr="00287338">
        <w:rPr>
          <w:rFonts w:ascii="Arial" w:hAnsi="Arial" w:cs="Arial"/>
          <w:b/>
          <w:bCs/>
        </w:rPr>
        <w:t>Reference</w:t>
      </w:r>
      <w:r w:rsidR="00E11773" w:rsidRPr="00287338">
        <w:rPr>
          <w:rFonts w:ascii="Arial" w:hAnsi="Arial" w:cs="Arial"/>
          <w:b/>
          <w:bCs/>
        </w:rPr>
        <w:t>(</w:t>
      </w:r>
      <w:r w:rsidRPr="00287338">
        <w:rPr>
          <w:rFonts w:ascii="Arial" w:hAnsi="Arial" w:cs="Arial"/>
          <w:b/>
          <w:bCs/>
        </w:rPr>
        <w:t>s</w:t>
      </w:r>
      <w:r w:rsidR="00E11773" w:rsidRPr="00287338">
        <w:rPr>
          <w:rFonts w:ascii="Arial" w:hAnsi="Arial" w:cs="Arial"/>
          <w:b/>
          <w:bCs/>
        </w:rPr>
        <w:t>)</w:t>
      </w:r>
      <w:r w:rsidRPr="00287338">
        <w:rPr>
          <w:rFonts w:ascii="Arial" w:hAnsi="Arial" w:cs="Arial"/>
          <w:b/>
          <w:bCs/>
        </w:rPr>
        <w:t>:</w:t>
      </w:r>
    </w:p>
    <w:p w14:paraId="6C1BBDDA" w14:textId="721C12F6" w:rsidR="0080244F" w:rsidRPr="00287338" w:rsidRDefault="0080244F" w:rsidP="00D56ABD">
      <w:pPr>
        <w:pStyle w:val="ListParagraph"/>
        <w:ind w:left="0"/>
        <w:rPr>
          <w:rFonts w:ascii="Arial" w:hAnsi="Arial" w:cs="Arial"/>
        </w:rPr>
      </w:pPr>
      <w:r w:rsidRPr="00287338">
        <w:rPr>
          <w:rFonts w:ascii="Arial" w:hAnsi="Arial" w:cs="Arial"/>
          <w:b/>
          <w:bCs/>
        </w:rPr>
        <w:t>Ref 1:</w:t>
      </w:r>
      <w:r w:rsidRPr="00287338">
        <w:rPr>
          <w:rFonts w:ascii="Arial" w:hAnsi="Arial" w:cs="Arial"/>
        </w:rPr>
        <w:t xml:space="preserve"> 2026 Commodity Analysis Workform, </w:t>
      </w:r>
      <w:r w:rsidR="007160A8" w:rsidRPr="00287338">
        <w:rPr>
          <w:rFonts w:ascii="Arial" w:hAnsi="Arial" w:cs="Arial"/>
        </w:rPr>
        <w:t xml:space="preserve">Note 5, </w:t>
      </w:r>
      <w:r w:rsidRPr="00287338">
        <w:rPr>
          <w:rFonts w:ascii="Arial" w:hAnsi="Arial" w:cs="Arial"/>
        </w:rPr>
        <w:t xml:space="preserve">Tab </w:t>
      </w:r>
      <w:r w:rsidRPr="00F80FF8">
        <w:rPr>
          <w:rFonts w:ascii="Arial" w:hAnsi="Arial" w:cs="Arial"/>
        </w:rPr>
        <w:t>GA 2024</w:t>
      </w:r>
      <w:r w:rsidRPr="00287338">
        <w:rPr>
          <w:rFonts w:ascii="Arial" w:hAnsi="Arial" w:cs="Arial"/>
        </w:rPr>
        <w:t xml:space="preserve">, Cell </w:t>
      </w:r>
      <w:r w:rsidRPr="00F80FF8">
        <w:rPr>
          <w:rFonts w:ascii="Arial" w:hAnsi="Arial" w:cs="Arial"/>
        </w:rPr>
        <w:t>C75</w:t>
      </w:r>
    </w:p>
    <w:p w14:paraId="0552FFB7" w14:textId="7E5EED18" w:rsidR="0048405C" w:rsidRPr="00287338" w:rsidRDefault="0080244F" w:rsidP="00D56ABD">
      <w:pPr>
        <w:pStyle w:val="ListParagraph"/>
        <w:ind w:left="0"/>
        <w:rPr>
          <w:rFonts w:ascii="Arial" w:hAnsi="Arial" w:cs="Arial"/>
          <w:i/>
          <w:iCs/>
        </w:rPr>
      </w:pPr>
      <w:r w:rsidRPr="00287338">
        <w:rPr>
          <w:rFonts w:ascii="Arial" w:hAnsi="Arial" w:cs="Arial"/>
          <w:b/>
          <w:bCs/>
        </w:rPr>
        <w:t>Ref 2:</w:t>
      </w:r>
      <w:r w:rsidRPr="00287338">
        <w:rPr>
          <w:rFonts w:ascii="Arial" w:hAnsi="Arial" w:cs="Arial"/>
        </w:rPr>
        <w:t xml:space="preserve"> 2026 IRM Rate Generator Model, Tab </w:t>
      </w:r>
      <w:r w:rsidRPr="00F80FF8">
        <w:rPr>
          <w:rFonts w:ascii="Arial" w:hAnsi="Arial" w:cs="Arial"/>
        </w:rPr>
        <w:t>3 – Continuity Schedule</w:t>
      </w:r>
      <w:r w:rsidRPr="00287338">
        <w:rPr>
          <w:rFonts w:ascii="Arial" w:hAnsi="Arial" w:cs="Arial"/>
        </w:rPr>
        <w:t xml:space="preserve">, Cell </w:t>
      </w:r>
      <w:r w:rsidRPr="00F80FF8">
        <w:rPr>
          <w:rFonts w:ascii="Arial" w:hAnsi="Arial" w:cs="Arial"/>
        </w:rPr>
        <w:t>BD29</w:t>
      </w:r>
    </w:p>
    <w:p w14:paraId="05065B40" w14:textId="110F095B" w:rsidR="0048405C" w:rsidRPr="00287338" w:rsidRDefault="0048405C" w:rsidP="005115F6">
      <w:pPr>
        <w:pStyle w:val="ListParagraph"/>
        <w:ind w:hanging="720"/>
        <w:rPr>
          <w:rFonts w:ascii="Arial" w:hAnsi="Arial" w:cs="Arial"/>
          <w:i/>
          <w:iCs/>
        </w:rPr>
      </w:pPr>
      <w:r w:rsidRPr="00287338">
        <w:rPr>
          <w:rFonts w:ascii="Arial" w:hAnsi="Arial" w:cs="Arial"/>
          <w:b/>
          <w:bCs/>
        </w:rPr>
        <w:t>Ref 3:</w:t>
      </w:r>
      <w:r w:rsidR="00802CE2" w:rsidRPr="00287338">
        <w:rPr>
          <w:rFonts w:ascii="Arial" w:hAnsi="Arial" w:cs="Arial"/>
          <w:b/>
          <w:bCs/>
        </w:rPr>
        <w:t xml:space="preserve"> </w:t>
      </w:r>
      <w:hyperlink r:id="rId8" w:history="1">
        <w:r w:rsidR="00271FE0" w:rsidRPr="00287338">
          <w:rPr>
            <w:rStyle w:val="Hyperlink"/>
            <w:rFonts w:ascii="Arial" w:hAnsi="Arial" w:cs="Arial"/>
          </w:rPr>
          <w:t>Co</w:t>
        </w:r>
        <w:r w:rsidR="008962DD" w:rsidRPr="00287338">
          <w:rPr>
            <w:rStyle w:val="Hyperlink"/>
            <w:rFonts w:ascii="Arial" w:hAnsi="Arial" w:cs="Arial"/>
          </w:rPr>
          <w:t>mmodity Analysis Workform Instructions, May 7, 2025</w:t>
        </w:r>
      </w:hyperlink>
      <w:r w:rsidR="002B0F29" w:rsidRPr="00287338">
        <w:rPr>
          <w:rFonts w:ascii="Arial" w:hAnsi="Arial" w:cs="Arial"/>
        </w:rPr>
        <w:t xml:space="preserve">, </w:t>
      </w:r>
      <w:r w:rsidR="00157037" w:rsidRPr="00287338">
        <w:rPr>
          <w:rFonts w:ascii="Arial" w:hAnsi="Arial" w:cs="Arial"/>
        </w:rPr>
        <w:t xml:space="preserve">Steps for </w:t>
      </w:r>
      <w:r w:rsidR="007B36F9" w:rsidRPr="00287338">
        <w:rPr>
          <w:rFonts w:ascii="Arial" w:hAnsi="Arial" w:cs="Arial"/>
        </w:rPr>
        <w:t>Completing</w:t>
      </w:r>
      <w:r w:rsidR="00157037" w:rsidRPr="00287338">
        <w:rPr>
          <w:rFonts w:ascii="Arial" w:hAnsi="Arial" w:cs="Arial"/>
        </w:rPr>
        <w:t xml:space="preserve"> the Commodity Accounts Analysis, Part 5, </w:t>
      </w:r>
      <w:r w:rsidR="007B36F9" w:rsidRPr="00287338">
        <w:rPr>
          <w:rFonts w:ascii="Arial" w:hAnsi="Arial" w:cs="Arial"/>
        </w:rPr>
        <w:t>p. 7</w:t>
      </w:r>
    </w:p>
    <w:p w14:paraId="3FCED281" w14:textId="77777777" w:rsidR="0080244F" w:rsidRPr="00287338" w:rsidRDefault="0080244F" w:rsidP="0080244F">
      <w:pPr>
        <w:pStyle w:val="ListParagraph"/>
        <w:rPr>
          <w:rFonts w:ascii="Arial" w:hAnsi="Arial" w:cs="Arial"/>
          <w:b/>
          <w:bCs/>
        </w:rPr>
      </w:pPr>
    </w:p>
    <w:p w14:paraId="3212B5E1" w14:textId="45511EF7" w:rsidR="0080244F" w:rsidRPr="00287338" w:rsidRDefault="0080244F" w:rsidP="0081610D">
      <w:pPr>
        <w:pStyle w:val="ListParagraph"/>
        <w:ind w:left="0"/>
        <w:rPr>
          <w:rFonts w:ascii="Arial" w:hAnsi="Arial" w:cs="Arial"/>
        </w:rPr>
      </w:pPr>
      <w:r w:rsidRPr="00287338">
        <w:rPr>
          <w:rFonts w:ascii="Arial" w:hAnsi="Arial" w:cs="Arial"/>
          <w:b/>
          <w:bCs/>
        </w:rPr>
        <w:t>Preamble:</w:t>
      </w:r>
      <w:r w:rsidRPr="00287338">
        <w:rPr>
          <w:rFonts w:ascii="Arial" w:hAnsi="Arial" w:cs="Arial"/>
        </w:rPr>
        <w:br/>
        <w:t>The value reported in Ref 1 is expected to reconcile with the corresponding value in Ref 2.</w:t>
      </w:r>
    </w:p>
    <w:p w14:paraId="2FCC4F73" w14:textId="77777777" w:rsidR="00462386" w:rsidRPr="00287338" w:rsidRDefault="0080244F" w:rsidP="00462386">
      <w:pPr>
        <w:contextualSpacing/>
        <w:rPr>
          <w:rFonts w:ascii="Arial" w:hAnsi="Arial" w:cs="Arial"/>
          <w:b/>
          <w:bCs/>
        </w:rPr>
      </w:pPr>
      <w:r w:rsidRPr="00287338">
        <w:rPr>
          <w:rFonts w:ascii="Arial" w:hAnsi="Arial" w:cs="Arial"/>
          <w:b/>
          <w:bCs/>
        </w:rPr>
        <w:t>Question</w:t>
      </w:r>
      <w:r w:rsidR="001A47CB" w:rsidRPr="00287338">
        <w:rPr>
          <w:rFonts w:ascii="Arial" w:hAnsi="Arial" w:cs="Arial"/>
          <w:b/>
          <w:bCs/>
        </w:rPr>
        <w:t>(s)</w:t>
      </w:r>
      <w:r w:rsidRPr="00287338">
        <w:rPr>
          <w:rFonts w:ascii="Arial" w:hAnsi="Arial" w:cs="Arial"/>
          <w:b/>
          <w:bCs/>
        </w:rPr>
        <w:t>:</w:t>
      </w:r>
    </w:p>
    <w:p w14:paraId="6381A356" w14:textId="6D305F9C" w:rsidR="006F34C6" w:rsidRPr="00287338" w:rsidRDefault="007B4BC8" w:rsidP="006F34C6">
      <w:pPr>
        <w:pStyle w:val="ListParagraph"/>
        <w:numPr>
          <w:ilvl w:val="0"/>
          <w:numId w:val="14"/>
        </w:numPr>
        <w:ind w:left="360"/>
        <w:rPr>
          <w:rFonts w:ascii="Arial" w:hAnsi="Arial" w:cs="Arial"/>
        </w:rPr>
      </w:pPr>
      <w:r w:rsidRPr="00287338">
        <w:rPr>
          <w:rFonts w:ascii="Arial" w:hAnsi="Arial" w:cs="Arial"/>
        </w:rPr>
        <w:t>P</w:t>
      </w:r>
      <w:r w:rsidR="0048405C" w:rsidRPr="00287338">
        <w:rPr>
          <w:rFonts w:ascii="Arial" w:hAnsi="Arial" w:cs="Arial"/>
        </w:rPr>
        <w:t xml:space="preserve">lease fill in Ref 1 </w:t>
      </w:r>
      <w:r w:rsidR="00665387" w:rsidRPr="00287338">
        <w:rPr>
          <w:rFonts w:ascii="Arial" w:hAnsi="Arial" w:cs="Arial"/>
        </w:rPr>
        <w:t xml:space="preserve">as </w:t>
      </w:r>
      <w:r w:rsidR="0048405C" w:rsidRPr="00287338">
        <w:rPr>
          <w:rFonts w:ascii="Arial" w:hAnsi="Arial" w:cs="Arial"/>
        </w:rPr>
        <w:t>per the instructions indicated in Ref 3</w:t>
      </w:r>
      <w:r w:rsidR="001B3206" w:rsidRPr="00287338">
        <w:rPr>
          <w:rFonts w:ascii="Arial" w:hAnsi="Arial" w:cs="Arial"/>
        </w:rPr>
        <w:t>.</w:t>
      </w:r>
    </w:p>
    <w:p w14:paraId="7BDEED0D" w14:textId="605C3EE0" w:rsidR="006F34C6" w:rsidRPr="00287338" w:rsidRDefault="00246255" w:rsidP="00D56ABD">
      <w:pPr>
        <w:pStyle w:val="ListParagraph"/>
        <w:numPr>
          <w:ilvl w:val="0"/>
          <w:numId w:val="14"/>
        </w:numPr>
        <w:ind w:left="360"/>
        <w:rPr>
          <w:rFonts w:ascii="Arial" w:hAnsi="Arial" w:cs="Arial"/>
        </w:rPr>
      </w:pPr>
      <w:r>
        <w:rPr>
          <w:rFonts w:ascii="Arial" w:hAnsi="Arial" w:cs="Arial"/>
        </w:rPr>
        <w:t>I</w:t>
      </w:r>
      <w:r w:rsidR="00BB632B" w:rsidRPr="00287338">
        <w:rPr>
          <w:rFonts w:ascii="Arial" w:hAnsi="Arial" w:cs="Arial"/>
        </w:rPr>
        <w:t>f the unresolved difference is +/- 1%</w:t>
      </w:r>
      <w:r w:rsidR="664534E2" w:rsidRPr="00287338">
        <w:rPr>
          <w:rFonts w:ascii="Arial" w:hAnsi="Arial" w:cs="Arial"/>
        </w:rPr>
        <w:t xml:space="preserve"> in Cell C93 Tab GA2024 in</w:t>
      </w:r>
      <w:r w:rsidR="0047403C" w:rsidRPr="00287338">
        <w:rPr>
          <w:rFonts w:ascii="Arial" w:hAnsi="Arial" w:cs="Arial"/>
        </w:rPr>
        <w:t xml:space="preserve"> 2026 Commodity Analysis Workform</w:t>
      </w:r>
      <w:r>
        <w:rPr>
          <w:rFonts w:ascii="Arial" w:hAnsi="Arial" w:cs="Arial"/>
        </w:rPr>
        <w:t>, please provide reasoning</w:t>
      </w:r>
      <w:r w:rsidR="00BB632B" w:rsidRPr="00287338">
        <w:rPr>
          <w:rFonts w:ascii="Arial" w:hAnsi="Arial" w:cs="Arial"/>
        </w:rPr>
        <w:t>.</w:t>
      </w:r>
    </w:p>
    <w:p w14:paraId="19FE4AED" w14:textId="77777777" w:rsidR="00E11773" w:rsidRDefault="00E11773" w:rsidP="00E11773">
      <w:pPr>
        <w:pStyle w:val="ListParagraph"/>
        <w:ind w:left="360"/>
        <w:rPr>
          <w:rFonts w:ascii="Arial" w:hAnsi="Arial" w:cs="Arial"/>
        </w:rPr>
      </w:pPr>
    </w:p>
    <w:p w14:paraId="4EC3983D" w14:textId="756402B8" w:rsidR="00E165DB" w:rsidRDefault="00E165DB" w:rsidP="00E165DB">
      <w:pPr>
        <w:pStyle w:val="ListParagraph"/>
        <w:ind w:left="0"/>
        <w:rPr>
          <w:rFonts w:ascii="Arial" w:hAnsi="Arial" w:cs="Arial"/>
          <w:b/>
          <w:bCs/>
        </w:rPr>
      </w:pPr>
      <w:r w:rsidRPr="00E165DB">
        <w:rPr>
          <w:rFonts w:ascii="Arial" w:hAnsi="Arial" w:cs="Arial"/>
          <w:b/>
          <w:bCs/>
        </w:rPr>
        <w:t>THI Response:</w:t>
      </w:r>
    </w:p>
    <w:p w14:paraId="52B51B11" w14:textId="77777777" w:rsidR="00E165DB" w:rsidRDefault="00E165DB" w:rsidP="00E165DB">
      <w:pPr>
        <w:pStyle w:val="ListParagraph"/>
        <w:ind w:left="0"/>
        <w:rPr>
          <w:rFonts w:ascii="Arial" w:hAnsi="Arial" w:cs="Arial"/>
        </w:rPr>
      </w:pPr>
    </w:p>
    <w:p w14:paraId="7DEE137B" w14:textId="4225FF5A" w:rsidR="00E165DB" w:rsidRPr="00E165DB" w:rsidRDefault="00E165DB" w:rsidP="00E165DB">
      <w:pPr>
        <w:pStyle w:val="ListParagraph"/>
        <w:ind w:left="0"/>
        <w:rPr>
          <w:rFonts w:ascii="Arial" w:hAnsi="Arial" w:cs="Arial"/>
        </w:rPr>
      </w:pPr>
      <w:r>
        <w:rPr>
          <w:rFonts w:ascii="Arial" w:hAnsi="Arial" w:cs="Arial"/>
        </w:rPr>
        <w:t xml:space="preserve">The </w:t>
      </w:r>
      <w:r w:rsidRPr="00E165DB">
        <w:rPr>
          <w:rFonts w:ascii="Arial" w:hAnsi="Arial" w:cs="Arial"/>
        </w:rPr>
        <w:t>2026 Commodity Analysis Workform</w:t>
      </w:r>
      <w:r>
        <w:rPr>
          <w:rFonts w:ascii="Arial" w:hAnsi="Arial" w:cs="Arial"/>
        </w:rPr>
        <w:t xml:space="preserve"> TAB GA 2024, Cell C75 has been updated with the value from the 2026 IRM Rate Generator Model.</w:t>
      </w:r>
    </w:p>
    <w:p w14:paraId="631BEED9" w14:textId="77777777" w:rsidR="00E165DB" w:rsidRPr="00287338" w:rsidRDefault="00E165DB" w:rsidP="00E165DB">
      <w:pPr>
        <w:pStyle w:val="ListParagraph"/>
        <w:ind w:left="0"/>
        <w:rPr>
          <w:rFonts w:ascii="Arial" w:hAnsi="Arial" w:cs="Arial"/>
        </w:rPr>
      </w:pPr>
    </w:p>
    <w:p w14:paraId="15FB1778" w14:textId="77777777" w:rsidR="00023C7A" w:rsidRDefault="00023C7A">
      <w:pPr>
        <w:rPr>
          <w:rFonts w:ascii="Arial" w:hAnsi="Arial" w:cs="Arial"/>
          <w:b/>
          <w:bCs/>
        </w:rPr>
      </w:pPr>
      <w:r>
        <w:rPr>
          <w:rFonts w:ascii="Arial" w:hAnsi="Arial" w:cs="Arial"/>
          <w:b/>
          <w:bCs/>
        </w:rPr>
        <w:br w:type="page"/>
      </w:r>
    </w:p>
    <w:p w14:paraId="28FFF366" w14:textId="5DA17464" w:rsidR="00BF0592" w:rsidRPr="00287338" w:rsidRDefault="0094271B" w:rsidP="00792162">
      <w:pPr>
        <w:rPr>
          <w:rFonts w:ascii="Arial" w:hAnsi="Arial" w:cs="Arial"/>
          <w:b/>
          <w:bCs/>
        </w:rPr>
      </w:pPr>
      <w:r w:rsidRPr="00287338">
        <w:rPr>
          <w:rFonts w:ascii="Arial" w:hAnsi="Arial" w:cs="Arial"/>
          <w:b/>
          <w:bCs/>
        </w:rPr>
        <w:lastRenderedPageBreak/>
        <w:t>Staff</w:t>
      </w:r>
      <w:r w:rsidRPr="008F059C">
        <w:rPr>
          <w:rFonts w:ascii="Cambria Math" w:hAnsi="Cambria Math" w:cs="Cambria Math"/>
          <w:b/>
          <w:bCs/>
        </w:rPr>
        <w:t>‑</w:t>
      </w:r>
      <w:r w:rsidR="00C37A33" w:rsidRPr="00287338">
        <w:rPr>
          <w:rFonts w:ascii="Arial" w:hAnsi="Arial" w:cs="Arial"/>
          <w:b/>
          <w:bCs/>
        </w:rPr>
        <w:t>7</w:t>
      </w:r>
    </w:p>
    <w:p w14:paraId="34C391CB" w14:textId="52436F1B" w:rsidR="0094271B" w:rsidRPr="00287338" w:rsidRDefault="0094271B" w:rsidP="00792162">
      <w:pPr>
        <w:rPr>
          <w:rFonts w:ascii="Arial" w:hAnsi="Arial" w:cs="Arial"/>
          <w:b/>
          <w:bCs/>
        </w:rPr>
      </w:pPr>
      <w:r w:rsidRPr="00287338">
        <w:rPr>
          <w:rFonts w:ascii="Arial" w:hAnsi="Arial" w:cs="Arial"/>
          <w:b/>
          <w:bCs/>
        </w:rPr>
        <w:t>Reference</w:t>
      </w:r>
      <w:r w:rsidR="00E11773" w:rsidRPr="00287338">
        <w:rPr>
          <w:rFonts w:ascii="Arial" w:hAnsi="Arial" w:cs="Arial"/>
          <w:b/>
          <w:bCs/>
        </w:rPr>
        <w:t>(</w:t>
      </w:r>
      <w:r w:rsidRPr="00287338">
        <w:rPr>
          <w:rFonts w:ascii="Arial" w:hAnsi="Arial" w:cs="Arial"/>
          <w:b/>
          <w:bCs/>
        </w:rPr>
        <w:t>s</w:t>
      </w:r>
      <w:r w:rsidR="00E11773" w:rsidRPr="00287338">
        <w:rPr>
          <w:rFonts w:ascii="Arial" w:hAnsi="Arial" w:cs="Arial"/>
          <w:b/>
          <w:bCs/>
        </w:rPr>
        <w:t>)</w:t>
      </w:r>
      <w:r w:rsidRPr="00287338">
        <w:rPr>
          <w:rFonts w:ascii="Arial" w:hAnsi="Arial" w:cs="Arial"/>
          <w:b/>
          <w:bCs/>
        </w:rPr>
        <w:t>:</w:t>
      </w:r>
    </w:p>
    <w:p w14:paraId="651D9161" w14:textId="504B5D67" w:rsidR="0094271B" w:rsidRPr="00287338" w:rsidRDefault="0094271B" w:rsidP="008D4302">
      <w:pPr>
        <w:contextualSpacing/>
        <w:rPr>
          <w:rFonts w:ascii="Arial" w:hAnsi="Arial" w:cs="Arial"/>
        </w:rPr>
      </w:pPr>
      <w:r w:rsidRPr="00287338">
        <w:rPr>
          <w:rFonts w:ascii="Arial" w:hAnsi="Arial" w:cs="Arial"/>
          <w:b/>
          <w:bCs/>
        </w:rPr>
        <w:t>Ref 1:</w:t>
      </w:r>
      <w:r w:rsidRPr="00287338">
        <w:rPr>
          <w:rFonts w:ascii="Arial" w:hAnsi="Arial" w:cs="Arial"/>
        </w:rPr>
        <w:t xml:space="preserve"> 2026 Commodity Analysis Workform, Tab GA 2024</w:t>
      </w:r>
    </w:p>
    <w:p w14:paraId="2FAE33B4" w14:textId="77777777" w:rsidR="00665387" w:rsidRPr="00287338" w:rsidRDefault="00665387" w:rsidP="00D56ABD">
      <w:pPr>
        <w:contextualSpacing/>
        <w:rPr>
          <w:rFonts w:ascii="Arial" w:hAnsi="Arial" w:cs="Arial"/>
          <w:b/>
          <w:bCs/>
        </w:rPr>
      </w:pPr>
    </w:p>
    <w:p w14:paraId="3A5F109A" w14:textId="121AF824" w:rsidR="0094271B" w:rsidRPr="00287338" w:rsidRDefault="0094271B" w:rsidP="00D56ABD">
      <w:pPr>
        <w:contextualSpacing/>
        <w:rPr>
          <w:rFonts w:ascii="Arial" w:hAnsi="Arial" w:cs="Arial"/>
        </w:rPr>
      </w:pPr>
      <w:r w:rsidRPr="00287338">
        <w:rPr>
          <w:rFonts w:ascii="Arial" w:hAnsi="Arial" w:cs="Arial"/>
          <w:b/>
          <w:bCs/>
        </w:rPr>
        <w:t>Preamble</w:t>
      </w:r>
      <w:r w:rsidRPr="00287338">
        <w:rPr>
          <w:rFonts w:ascii="Arial" w:hAnsi="Arial" w:cs="Arial"/>
        </w:rPr>
        <w:t>:</w:t>
      </w:r>
    </w:p>
    <w:p w14:paraId="0466E240" w14:textId="6086F975" w:rsidR="00761E7D" w:rsidRPr="00287338" w:rsidRDefault="0094271B" w:rsidP="00F96D41">
      <w:pPr>
        <w:contextualSpacing/>
        <w:rPr>
          <w:rFonts w:ascii="Arial" w:hAnsi="Arial" w:cs="Arial"/>
          <w:b/>
          <w:bCs/>
        </w:rPr>
      </w:pPr>
      <w:r w:rsidRPr="00287338">
        <w:rPr>
          <w:rFonts w:ascii="Arial" w:hAnsi="Arial" w:cs="Arial"/>
        </w:rPr>
        <w:t xml:space="preserve">OEB staff notes that Columns G and H under Note 4 in Ref 1 are blank. </w:t>
      </w:r>
      <w:r w:rsidR="00EF005D">
        <w:rPr>
          <w:rFonts w:ascii="Arial" w:hAnsi="Arial" w:cs="Arial"/>
        </w:rPr>
        <w:t>OEB s</w:t>
      </w:r>
      <w:r w:rsidRPr="00287338">
        <w:rPr>
          <w:rFonts w:ascii="Arial" w:hAnsi="Arial" w:cs="Arial"/>
        </w:rPr>
        <w:t>taff further notes that Tillsonburg Hydro has recorded CT</w:t>
      </w:r>
      <w:r w:rsidRPr="008F059C">
        <w:rPr>
          <w:rFonts w:ascii="Cambria Math" w:hAnsi="Cambria Math" w:cs="Cambria Math"/>
        </w:rPr>
        <w:t>‑</w:t>
      </w:r>
      <w:r w:rsidRPr="00287338">
        <w:rPr>
          <w:rFonts w:ascii="Arial" w:hAnsi="Arial" w:cs="Arial"/>
        </w:rPr>
        <w:t>148 true</w:t>
      </w:r>
      <w:r w:rsidRPr="008F059C">
        <w:rPr>
          <w:rFonts w:ascii="Cambria Math" w:hAnsi="Cambria Math" w:cs="Cambria Math"/>
        </w:rPr>
        <w:t>‑</w:t>
      </w:r>
      <w:r w:rsidRPr="00287338">
        <w:rPr>
          <w:rFonts w:ascii="Arial" w:hAnsi="Arial" w:cs="Arial"/>
        </w:rPr>
        <w:t>up entries under Note 5.</w:t>
      </w:r>
    </w:p>
    <w:p w14:paraId="6C154C5E" w14:textId="77777777" w:rsidR="00287338" w:rsidRDefault="00287338" w:rsidP="00F96D41">
      <w:pPr>
        <w:contextualSpacing/>
        <w:rPr>
          <w:rFonts w:ascii="Arial" w:hAnsi="Arial" w:cs="Arial"/>
          <w:b/>
          <w:bCs/>
        </w:rPr>
      </w:pPr>
    </w:p>
    <w:p w14:paraId="402FD5D0" w14:textId="01E5E881" w:rsidR="0094271B" w:rsidRPr="00287338" w:rsidRDefault="0094271B" w:rsidP="00F96D41">
      <w:pPr>
        <w:contextualSpacing/>
        <w:rPr>
          <w:rFonts w:ascii="Arial" w:hAnsi="Arial" w:cs="Arial"/>
          <w:b/>
          <w:bCs/>
        </w:rPr>
      </w:pPr>
      <w:r w:rsidRPr="00287338">
        <w:rPr>
          <w:rFonts w:ascii="Arial" w:hAnsi="Arial" w:cs="Arial"/>
          <w:b/>
          <w:bCs/>
        </w:rPr>
        <w:t>Question(s):</w:t>
      </w:r>
    </w:p>
    <w:p w14:paraId="162F4FB4" w14:textId="77777777" w:rsidR="00412251" w:rsidRPr="00287338" w:rsidRDefault="00412251" w:rsidP="00F96D41">
      <w:pPr>
        <w:contextualSpacing/>
        <w:rPr>
          <w:rFonts w:ascii="Arial" w:hAnsi="Arial" w:cs="Arial"/>
          <w:b/>
          <w:bCs/>
        </w:rPr>
      </w:pPr>
    </w:p>
    <w:p w14:paraId="062A5D6A" w14:textId="06636FC9" w:rsidR="0094271B" w:rsidRPr="00287338" w:rsidRDefault="00C90484" w:rsidP="00412251">
      <w:pPr>
        <w:ind w:left="360" w:hanging="360"/>
        <w:contextualSpacing/>
        <w:rPr>
          <w:rFonts w:ascii="Arial" w:hAnsi="Arial" w:cs="Arial"/>
        </w:rPr>
      </w:pPr>
      <w:r>
        <w:rPr>
          <w:rFonts w:ascii="Arial" w:hAnsi="Arial" w:cs="Arial"/>
        </w:rPr>
        <w:t xml:space="preserve">a.  </w:t>
      </w:r>
      <w:r w:rsidR="0094271B" w:rsidRPr="00287338">
        <w:rPr>
          <w:rFonts w:ascii="Arial" w:hAnsi="Arial" w:cs="Arial"/>
        </w:rPr>
        <w:t>Please confirm whether billing is based on actual consumption</w:t>
      </w:r>
      <w:r w:rsidR="0007376A" w:rsidRPr="00287338">
        <w:rPr>
          <w:rFonts w:ascii="Arial" w:hAnsi="Arial" w:cs="Arial"/>
        </w:rPr>
        <w:t xml:space="preserve"> / metered data</w:t>
      </w:r>
      <w:r w:rsidR="0094271B" w:rsidRPr="00287338">
        <w:rPr>
          <w:rFonts w:ascii="Arial" w:hAnsi="Arial" w:cs="Arial"/>
        </w:rPr>
        <w:t>.</w:t>
      </w:r>
    </w:p>
    <w:p w14:paraId="224E5E9C" w14:textId="538893E3" w:rsidR="0094271B" w:rsidRPr="007E57E2" w:rsidRDefault="0094271B" w:rsidP="00EE0CF7">
      <w:pPr>
        <w:ind w:left="720"/>
        <w:rPr>
          <w:rFonts w:ascii="Arial" w:hAnsi="Arial" w:cs="Arial"/>
        </w:rPr>
      </w:pPr>
      <w:proofErr w:type="spellStart"/>
      <w:r w:rsidRPr="00287338">
        <w:rPr>
          <w:rFonts w:ascii="Arial" w:hAnsi="Arial" w:cs="Arial"/>
        </w:rPr>
        <w:t>i</w:t>
      </w:r>
      <w:proofErr w:type="spellEnd"/>
      <w:r w:rsidRPr="00287338">
        <w:rPr>
          <w:rFonts w:ascii="Arial" w:hAnsi="Arial" w:cs="Arial"/>
        </w:rPr>
        <w:t xml:space="preserve">. If yes, please explain why </w:t>
      </w:r>
      <w:r w:rsidR="00E142E1" w:rsidRPr="00287338">
        <w:rPr>
          <w:rFonts w:ascii="Arial" w:hAnsi="Arial" w:cs="Arial"/>
        </w:rPr>
        <w:t xml:space="preserve">there </w:t>
      </w:r>
      <w:r w:rsidR="003534FD">
        <w:rPr>
          <w:rFonts w:ascii="Arial" w:hAnsi="Arial" w:cs="Arial"/>
        </w:rPr>
        <w:t>are</w:t>
      </w:r>
      <w:r w:rsidRPr="00287338">
        <w:rPr>
          <w:rFonts w:ascii="Arial" w:hAnsi="Arial" w:cs="Arial"/>
        </w:rPr>
        <w:t xml:space="preserve"> CT</w:t>
      </w:r>
      <w:r w:rsidRPr="008F059C">
        <w:rPr>
          <w:rFonts w:ascii="Cambria Math" w:hAnsi="Cambria Math" w:cs="Cambria Math"/>
        </w:rPr>
        <w:t>‑</w:t>
      </w:r>
      <w:r w:rsidRPr="007E57E2">
        <w:rPr>
          <w:rFonts w:ascii="Arial" w:hAnsi="Arial" w:cs="Arial"/>
        </w:rPr>
        <w:t>148 true</w:t>
      </w:r>
      <w:r w:rsidRPr="008F059C">
        <w:rPr>
          <w:rFonts w:ascii="Cambria Math" w:hAnsi="Cambria Math" w:cs="Cambria Math"/>
        </w:rPr>
        <w:t>‑</w:t>
      </w:r>
      <w:r w:rsidRPr="007E57E2">
        <w:rPr>
          <w:rFonts w:ascii="Arial" w:hAnsi="Arial" w:cs="Arial"/>
        </w:rPr>
        <w:t xml:space="preserve">up volume adjustments </w:t>
      </w:r>
      <w:r w:rsidR="00E142E1" w:rsidRPr="007E57E2">
        <w:rPr>
          <w:rFonts w:ascii="Arial" w:hAnsi="Arial" w:cs="Arial"/>
        </w:rPr>
        <w:t xml:space="preserve">if the billing is </w:t>
      </w:r>
      <w:r w:rsidRPr="007E57E2">
        <w:rPr>
          <w:rFonts w:ascii="Arial" w:hAnsi="Arial" w:cs="Arial"/>
        </w:rPr>
        <w:t>based on actual consumption.</w:t>
      </w:r>
    </w:p>
    <w:p w14:paraId="218484DA" w14:textId="392F3188" w:rsidR="005B7739" w:rsidRPr="007E57E2" w:rsidRDefault="0094271B" w:rsidP="000E4F7B">
      <w:pPr>
        <w:ind w:left="720"/>
        <w:contextualSpacing/>
        <w:rPr>
          <w:rFonts w:ascii="Arial" w:hAnsi="Arial" w:cs="Arial"/>
          <w:b/>
          <w:bCs/>
        </w:rPr>
      </w:pPr>
      <w:r w:rsidRPr="007E57E2">
        <w:rPr>
          <w:rFonts w:ascii="Arial" w:hAnsi="Arial" w:cs="Arial"/>
        </w:rPr>
        <w:t xml:space="preserve">ii. If </w:t>
      </w:r>
      <w:proofErr w:type="gramStart"/>
      <w:r w:rsidRPr="007E57E2">
        <w:rPr>
          <w:rFonts w:ascii="Arial" w:hAnsi="Arial" w:cs="Arial"/>
        </w:rPr>
        <w:t>no</w:t>
      </w:r>
      <w:proofErr w:type="gramEnd"/>
      <w:r w:rsidRPr="007E57E2">
        <w:rPr>
          <w:rFonts w:ascii="Arial" w:hAnsi="Arial" w:cs="Arial"/>
        </w:rPr>
        <w:t>, please explain why Columns G and H under Note 4 have been left blank.</w:t>
      </w:r>
    </w:p>
    <w:p w14:paraId="174D46E2" w14:textId="77777777" w:rsidR="00976A76" w:rsidRDefault="00976A76" w:rsidP="00792162">
      <w:pPr>
        <w:contextualSpacing/>
        <w:rPr>
          <w:rFonts w:ascii="Arial" w:hAnsi="Arial" w:cs="Arial"/>
          <w:b/>
          <w:bCs/>
        </w:rPr>
      </w:pPr>
    </w:p>
    <w:p w14:paraId="180AEB6A" w14:textId="5A3A5560" w:rsidR="00E165DB" w:rsidRDefault="00E165DB" w:rsidP="00792162">
      <w:pPr>
        <w:contextualSpacing/>
        <w:rPr>
          <w:rFonts w:ascii="Arial" w:hAnsi="Arial" w:cs="Arial"/>
          <w:b/>
          <w:bCs/>
        </w:rPr>
      </w:pPr>
      <w:r w:rsidRPr="00E165DB">
        <w:rPr>
          <w:rFonts w:ascii="Arial" w:hAnsi="Arial" w:cs="Arial"/>
          <w:b/>
          <w:bCs/>
        </w:rPr>
        <w:t>THI Response:</w:t>
      </w:r>
      <w:r>
        <w:rPr>
          <w:rFonts w:ascii="Arial" w:hAnsi="Arial" w:cs="Arial"/>
          <w:b/>
          <w:bCs/>
        </w:rPr>
        <w:t xml:space="preserve"> </w:t>
      </w:r>
    </w:p>
    <w:p w14:paraId="53D03826" w14:textId="77777777" w:rsidR="00E165DB" w:rsidRDefault="00E165DB" w:rsidP="00792162">
      <w:pPr>
        <w:contextualSpacing/>
        <w:rPr>
          <w:rFonts w:ascii="Arial" w:hAnsi="Arial" w:cs="Arial"/>
          <w:b/>
          <w:bCs/>
        </w:rPr>
      </w:pPr>
    </w:p>
    <w:p w14:paraId="04601FB3" w14:textId="5CC002BA" w:rsidR="00E165DB" w:rsidRPr="00E165DB" w:rsidRDefault="000C3EC7" w:rsidP="00792162">
      <w:pPr>
        <w:contextualSpacing/>
        <w:rPr>
          <w:rFonts w:ascii="Arial" w:hAnsi="Arial" w:cs="Arial"/>
        </w:rPr>
      </w:pPr>
      <w:r>
        <w:rPr>
          <w:rFonts w:ascii="Arial" w:hAnsi="Arial" w:cs="Arial"/>
        </w:rPr>
        <w:t>Yes, billing is based on actual consumption/metered data. The</w:t>
      </w:r>
      <w:r w:rsidR="00E165DB">
        <w:rPr>
          <w:rFonts w:ascii="Arial" w:hAnsi="Arial" w:cs="Arial"/>
        </w:rPr>
        <w:t xml:space="preserve">re are </w:t>
      </w:r>
      <w:r w:rsidR="00E165DB" w:rsidRPr="00E165DB">
        <w:rPr>
          <w:rFonts w:ascii="Arial" w:hAnsi="Arial" w:cs="Arial"/>
        </w:rPr>
        <w:t>CT</w:t>
      </w:r>
      <w:r w:rsidR="00E165DB" w:rsidRPr="00E165DB">
        <w:rPr>
          <w:rFonts w:ascii="Cambria Math" w:hAnsi="Cambria Math" w:cs="Cambria Math"/>
        </w:rPr>
        <w:t>‑</w:t>
      </w:r>
      <w:r w:rsidR="00E165DB" w:rsidRPr="00E165DB">
        <w:rPr>
          <w:rFonts w:ascii="Arial" w:hAnsi="Arial" w:cs="Arial"/>
        </w:rPr>
        <w:t>148 true</w:t>
      </w:r>
      <w:r w:rsidR="00E165DB" w:rsidRPr="00E165DB">
        <w:rPr>
          <w:rFonts w:ascii="Cambria Math" w:hAnsi="Cambria Math" w:cs="Cambria Math"/>
        </w:rPr>
        <w:t>‑</w:t>
      </w:r>
      <w:r w:rsidR="00E165DB" w:rsidRPr="00E165DB">
        <w:rPr>
          <w:rFonts w:ascii="Arial" w:hAnsi="Arial" w:cs="Arial"/>
        </w:rPr>
        <w:t>up volume adjustments</w:t>
      </w:r>
      <w:r w:rsidR="00E165DB">
        <w:rPr>
          <w:rFonts w:ascii="Arial" w:hAnsi="Arial" w:cs="Arial"/>
        </w:rPr>
        <w:t xml:space="preserve"> to reflect the actual </w:t>
      </w:r>
      <w:r>
        <w:rPr>
          <w:rFonts w:ascii="Arial" w:hAnsi="Arial" w:cs="Arial"/>
        </w:rPr>
        <w:t>volumes provided by I</w:t>
      </w:r>
      <w:r w:rsidR="00E165DB">
        <w:rPr>
          <w:rFonts w:ascii="Arial" w:hAnsi="Arial" w:cs="Arial"/>
        </w:rPr>
        <w:t xml:space="preserve">ESO that </w:t>
      </w:r>
      <w:r>
        <w:rPr>
          <w:rFonts w:ascii="Arial" w:hAnsi="Arial" w:cs="Arial"/>
        </w:rPr>
        <w:t xml:space="preserve">is </w:t>
      </w:r>
      <w:r w:rsidR="00E165DB">
        <w:rPr>
          <w:rFonts w:ascii="Arial" w:hAnsi="Arial" w:cs="Arial"/>
        </w:rPr>
        <w:t>made available in the month following.</w:t>
      </w:r>
    </w:p>
    <w:p w14:paraId="780EF5DA" w14:textId="77777777" w:rsidR="00E165DB" w:rsidRDefault="00E165DB" w:rsidP="00792162">
      <w:pPr>
        <w:contextualSpacing/>
        <w:rPr>
          <w:rFonts w:ascii="Arial" w:hAnsi="Arial" w:cs="Arial"/>
          <w:b/>
          <w:bCs/>
        </w:rPr>
      </w:pPr>
    </w:p>
    <w:p w14:paraId="0698571D" w14:textId="04E31946" w:rsidR="00BF0592" w:rsidRPr="007E57E2" w:rsidRDefault="0094271B" w:rsidP="00792162">
      <w:pPr>
        <w:contextualSpacing/>
        <w:rPr>
          <w:rFonts w:ascii="Arial" w:hAnsi="Arial" w:cs="Arial"/>
          <w:b/>
          <w:bCs/>
        </w:rPr>
      </w:pPr>
      <w:r w:rsidRPr="007E57E2">
        <w:rPr>
          <w:rFonts w:ascii="Arial" w:hAnsi="Arial" w:cs="Arial"/>
          <w:b/>
          <w:bCs/>
        </w:rPr>
        <w:t>Staff</w:t>
      </w:r>
      <w:r w:rsidRPr="007E57E2">
        <w:rPr>
          <w:rFonts w:ascii="Arial" w:hAnsi="Arial" w:cs="Arial"/>
          <w:b/>
          <w:bCs/>
        </w:rPr>
        <w:noBreakHyphen/>
      </w:r>
      <w:r w:rsidR="00C37A33">
        <w:rPr>
          <w:rFonts w:ascii="Arial" w:hAnsi="Arial" w:cs="Arial"/>
          <w:b/>
          <w:bCs/>
        </w:rPr>
        <w:t>8</w:t>
      </w:r>
    </w:p>
    <w:p w14:paraId="2B5ABBC7" w14:textId="77777777" w:rsidR="0094271B" w:rsidRPr="007E57E2" w:rsidRDefault="0094271B" w:rsidP="00792162">
      <w:pPr>
        <w:rPr>
          <w:rFonts w:ascii="Arial" w:hAnsi="Arial" w:cs="Arial"/>
        </w:rPr>
      </w:pPr>
      <w:r w:rsidRPr="007E57E2">
        <w:rPr>
          <w:rFonts w:ascii="Arial" w:hAnsi="Arial" w:cs="Arial"/>
          <w:b/>
          <w:bCs/>
        </w:rPr>
        <w:t>References:</w:t>
      </w:r>
    </w:p>
    <w:p w14:paraId="52E28CAC" w14:textId="77777777" w:rsidR="0094271B" w:rsidRPr="00287338" w:rsidRDefault="0094271B" w:rsidP="00F96D41">
      <w:pPr>
        <w:contextualSpacing/>
        <w:rPr>
          <w:rFonts w:ascii="Arial" w:hAnsi="Arial" w:cs="Arial"/>
        </w:rPr>
      </w:pPr>
      <w:r w:rsidRPr="007E57E2">
        <w:rPr>
          <w:rFonts w:ascii="Arial" w:hAnsi="Arial" w:cs="Arial"/>
          <w:b/>
          <w:bCs/>
        </w:rPr>
        <w:t>Ref 1:</w:t>
      </w:r>
      <w:r w:rsidRPr="007E57E2">
        <w:rPr>
          <w:rFonts w:ascii="Arial" w:hAnsi="Arial" w:cs="Arial"/>
        </w:rPr>
        <w:t xml:space="preserve"> 2026 Commodity Analysis Workform, Tab GA 2024</w:t>
      </w:r>
      <w:r w:rsidRPr="00287338">
        <w:rPr>
          <w:rFonts w:ascii="Arial" w:hAnsi="Arial" w:cs="Arial"/>
        </w:rPr>
        <w:t xml:space="preserve">, Cell </w:t>
      </w:r>
      <w:r w:rsidRPr="007E57E2">
        <w:rPr>
          <w:rFonts w:ascii="Arial" w:hAnsi="Arial" w:cs="Arial"/>
        </w:rPr>
        <w:t>C90</w:t>
      </w:r>
      <w:r w:rsidRPr="00287338">
        <w:rPr>
          <w:rFonts w:ascii="Arial" w:hAnsi="Arial" w:cs="Arial"/>
        </w:rPr>
        <w:t xml:space="preserve"> and Column I</w:t>
      </w:r>
    </w:p>
    <w:p w14:paraId="583B71FB" w14:textId="77777777" w:rsidR="0094271B" w:rsidRPr="007E57E2" w:rsidRDefault="0094271B" w:rsidP="001F695D">
      <w:pPr>
        <w:ind w:left="720" w:hanging="720"/>
        <w:contextualSpacing/>
        <w:rPr>
          <w:rFonts w:ascii="Arial" w:hAnsi="Arial" w:cs="Arial"/>
        </w:rPr>
      </w:pPr>
      <w:r w:rsidRPr="00287338">
        <w:rPr>
          <w:rFonts w:ascii="Arial" w:hAnsi="Arial" w:cs="Arial"/>
          <w:b/>
          <w:bCs/>
        </w:rPr>
        <w:t>Ref 2:</w:t>
      </w:r>
      <w:r w:rsidRPr="00287338">
        <w:rPr>
          <w:rFonts w:ascii="Arial" w:hAnsi="Arial" w:cs="Arial"/>
        </w:rPr>
        <w:t xml:space="preserve"> 2026 Commodity Analysis Workform, Tab </w:t>
      </w:r>
      <w:r w:rsidRPr="007E57E2">
        <w:rPr>
          <w:rFonts w:ascii="Arial" w:hAnsi="Arial" w:cs="Arial"/>
        </w:rPr>
        <w:t>Principal Adjustments</w:t>
      </w:r>
      <w:r w:rsidRPr="00287338">
        <w:rPr>
          <w:rFonts w:ascii="Arial" w:hAnsi="Arial" w:cs="Arial"/>
        </w:rPr>
        <w:t xml:space="preserve">, Cells </w:t>
      </w:r>
      <w:r w:rsidRPr="007E57E2">
        <w:rPr>
          <w:rFonts w:ascii="Arial" w:hAnsi="Arial" w:cs="Arial"/>
        </w:rPr>
        <w:t>J27</w:t>
      </w:r>
      <w:r w:rsidRPr="00287338">
        <w:rPr>
          <w:rFonts w:ascii="Arial" w:hAnsi="Arial" w:cs="Arial"/>
        </w:rPr>
        <w:t xml:space="preserve"> and </w:t>
      </w:r>
      <w:r w:rsidRPr="007E57E2">
        <w:rPr>
          <w:rFonts w:ascii="Arial" w:hAnsi="Arial" w:cs="Arial"/>
        </w:rPr>
        <w:t>V27</w:t>
      </w:r>
    </w:p>
    <w:p w14:paraId="1F3F7B64" w14:textId="799EF727" w:rsidR="00435982" w:rsidRPr="00287338" w:rsidRDefault="0094271B" w:rsidP="001F695D">
      <w:pPr>
        <w:ind w:left="720" w:hanging="720"/>
        <w:contextualSpacing/>
        <w:rPr>
          <w:rFonts w:ascii="Arial" w:hAnsi="Arial" w:cs="Arial"/>
        </w:rPr>
      </w:pPr>
      <w:r w:rsidRPr="007E57E2">
        <w:rPr>
          <w:rFonts w:ascii="Arial" w:hAnsi="Arial" w:cs="Arial"/>
          <w:b/>
          <w:bCs/>
        </w:rPr>
        <w:t>Ref 3:</w:t>
      </w:r>
      <w:r w:rsidRPr="007E57E2">
        <w:rPr>
          <w:rFonts w:ascii="Arial" w:hAnsi="Arial" w:cs="Arial"/>
        </w:rPr>
        <w:t xml:space="preserve"> 2025 Commodity Analysis Workform,</w:t>
      </w:r>
      <w:r w:rsidR="00FB573F" w:rsidRPr="007E57E2">
        <w:rPr>
          <w:rStyle w:val="FootnoteReference"/>
          <w:rFonts w:ascii="Arial" w:hAnsi="Arial" w:cs="Arial"/>
        </w:rPr>
        <w:t xml:space="preserve"> </w:t>
      </w:r>
      <w:r w:rsidR="00FB573F" w:rsidRPr="007E57E2">
        <w:rPr>
          <w:rStyle w:val="FootnoteReference"/>
          <w:rFonts w:ascii="Arial" w:hAnsi="Arial" w:cs="Arial"/>
        </w:rPr>
        <w:footnoteReference w:id="1"/>
      </w:r>
      <w:r w:rsidRPr="007E57E2">
        <w:rPr>
          <w:rFonts w:ascii="Arial" w:hAnsi="Arial" w:cs="Arial"/>
        </w:rPr>
        <w:t xml:space="preserve"> Tab Principal Adjustments</w:t>
      </w:r>
      <w:r w:rsidRPr="00287338">
        <w:rPr>
          <w:rFonts w:ascii="Arial" w:hAnsi="Arial" w:cs="Arial"/>
        </w:rPr>
        <w:t xml:space="preserve">, Cells </w:t>
      </w:r>
      <w:r w:rsidRPr="007E57E2">
        <w:rPr>
          <w:rFonts w:ascii="Arial" w:hAnsi="Arial" w:cs="Arial"/>
        </w:rPr>
        <w:t>J62</w:t>
      </w:r>
      <w:r w:rsidRPr="00287338">
        <w:rPr>
          <w:rFonts w:ascii="Arial" w:hAnsi="Arial" w:cs="Arial"/>
        </w:rPr>
        <w:t xml:space="preserve"> and </w:t>
      </w:r>
      <w:r w:rsidRPr="007E57E2">
        <w:rPr>
          <w:rFonts w:ascii="Arial" w:hAnsi="Arial" w:cs="Arial"/>
        </w:rPr>
        <w:t>V62</w:t>
      </w:r>
    </w:p>
    <w:p w14:paraId="678D6180" w14:textId="77777777" w:rsidR="00F96D41" w:rsidRPr="00287338" w:rsidRDefault="00F96D41" w:rsidP="00EE1742">
      <w:pPr>
        <w:contextualSpacing/>
        <w:rPr>
          <w:rFonts w:ascii="Arial" w:hAnsi="Arial" w:cs="Arial"/>
          <w:b/>
          <w:bCs/>
        </w:rPr>
      </w:pPr>
    </w:p>
    <w:p w14:paraId="294962FE" w14:textId="05173D0A" w:rsidR="00683344" w:rsidRPr="00287338" w:rsidRDefault="0094271B" w:rsidP="00EE1742">
      <w:pPr>
        <w:contextualSpacing/>
        <w:rPr>
          <w:rFonts w:ascii="Arial" w:hAnsi="Arial" w:cs="Arial"/>
          <w:b/>
          <w:bCs/>
        </w:rPr>
      </w:pPr>
      <w:r w:rsidRPr="00287338">
        <w:rPr>
          <w:rFonts w:ascii="Arial" w:hAnsi="Arial" w:cs="Arial"/>
          <w:b/>
          <w:bCs/>
        </w:rPr>
        <w:t>Preamble:</w:t>
      </w:r>
      <w:r w:rsidR="00AB0078" w:rsidRPr="00287338">
        <w:rPr>
          <w:rFonts w:ascii="Arial" w:hAnsi="Arial" w:cs="Arial"/>
          <w:b/>
          <w:bCs/>
        </w:rPr>
        <w:t xml:space="preserve"> </w:t>
      </w:r>
    </w:p>
    <w:p w14:paraId="764A5C21" w14:textId="018262A8" w:rsidR="0094271B" w:rsidRPr="00287338" w:rsidRDefault="0094271B" w:rsidP="00EE1742">
      <w:pPr>
        <w:contextualSpacing/>
        <w:rPr>
          <w:rFonts w:ascii="Arial" w:hAnsi="Arial" w:cs="Arial"/>
        </w:rPr>
      </w:pPr>
      <w:r w:rsidRPr="00287338">
        <w:rPr>
          <w:rFonts w:ascii="Arial" w:hAnsi="Arial" w:cs="Arial"/>
        </w:rPr>
        <w:t xml:space="preserve">OEB staff notes that the total principal adjustment reported in Ref 1 is $118,805. </w:t>
      </w:r>
      <w:r w:rsidR="003534FD">
        <w:rPr>
          <w:rFonts w:ascii="Arial" w:hAnsi="Arial" w:cs="Arial"/>
        </w:rPr>
        <w:t>OEB s</w:t>
      </w:r>
      <w:r w:rsidRPr="00287338">
        <w:rPr>
          <w:rFonts w:ascii="Arial" w:hAnsi="Arial" w:cs="Arial"/>
        </w:rPr>
        <w:t>taff further notes that Tillsonburg Hydro has selected “Yes” for Principal Adjustments in the DVA continuity schedule</w:t>
      </w:r>
      <w:r w:rsidR="00C50C4A" w:rsidRPr="00287338">
        <w:rPr>
          <w:rFonts w:ascii="Arial" w:hAnsi="Arial" w:cs="Arial"/>
        </w:rPr>
        <w:t xml:space="preserve"> in </w:t>
      </w:r>
      <w:r w:rsidR="00933FD3">
        <w:rPr>
          <w:rFonts w:ascii="Arial" w:hAnsi="Arial" w:cs="Arial"/>
        </w:rPr>
        <w:t>C</w:t>
      </w:r>
      <w:r w:rsidR="00C50C4A" w:rsidRPr="00287338">
        <w:rPr>
          <w:rFonts w:ascii="Arial" w:hAnsi="Arial" w:cs="Arial"/>
        </w:rPr>
        <w:t>olumn I of Note 5</w:t>
      </w:r>
      <w:r w:rsidRPr="00287338">
        <w:rPr>
          <w:rFonts w:ascii="Arial" w:hAnsi="Arial" w:cs="Arial"/>
        </w:rPr>
        <w:t>. However, no corresponding entries appear in</w:t>
      </w:r>
      <w:r w:rsidR="00E16AC2" w:rsidRPr="00287338">
        <w:rPr>
          <w:rFonts w:ascii="Arial" w:hAnsi="Arial" w:cs="Arial"/>
        </w:rPr>
        <w:t xml:space="preserve"> Note 9 of</w:t>
      </w:r>
      <w:r w:rsidRPr="00287338">
        <w:rPr>
          <w:rFonts w:ascii="Arial" w:hAnsi="Arial" w:cs="Arial"/>
        </w:rPr>
        <w:t xml:space="preserve"> the Principal Adjustment tab of the 2026 Commodity Analysis Workform </w:t>
      </w:r>
      <w:r w:rsidR="00C50C4A" w:rsidRPr="00287338">
        <w:rPr>
          <w:rFonts w:ascii="Arial" w:hAnsi="Arial" w:cs="Arial"/>
        </w:rPr>
        <w:t>nor</w:t>
      </w:r>
      <w:r w:rsidRPr="00287338">
        <w:rPr>
          <w:rFonts w:ascii="Arial" w:hAnsi="Arial" w:cs="Arial"/>
        </w:rPr>
        <w:t xml:space="preserve"> in the continuity schedule of the Rate Generator Model.</w:t>
      </w:r>
    </w:p>
    <w:p w14:paraId="125BA697" w14:textId="77777777" w:rsidR="00697735" w:rsidRPr="00287338" w:rsidRDefault="00697735" w:rsidP="00435982">
      <w:pPr>
        <w:ind w:left="720"/>
        <w:contextualSpacing/>
        <w:rPr>
          <w:rFonts w:ascii="Arial" w:hAnsi="Arial" w:cs="Arial"/>
        </w:rPr>
      </w:pPr>
    </w:p>
    <w:p w14:paraId="1220A099" w14:textId="5D82975C" w:rsidR="00472E46" w:rsidRPr="00287338" w:rsidRDefault="0094271B" w:rsidP="00472E46">
      <w:pPr>
        <w:contextualSpacing/>
        <w:rPr>
          <w:rFonts w:ascii="Arial" w:hAnsi="Arial" w:cs="Arial"/>
        </w:rPr>
      </w:pPr>
      <w:r w:rsidRPr="00287338">
        <w:rPr>
          <w:rFonts w:ascii="Arial" w:hAnsi="Arial" w:cs="Arial"/>
        </w:rPr>
        <w:t xml:space="preserve">OEB staff also </w:t>
      </w:r>
      <w:proofErr w:type="gramStart"/>
      <w:r w:rsidRPr="00287338">
        <w:rPr>
          <w:rFonts w:ascii="Arial" w:hAnsi="Arial" w:cs="Arial"/>
        </w:rPr>
        <w:t>notes</w:t>
      </w:r>
      <w:proofErr w:type="gramEnd"/>
      <w:r w:rsidRPr="00287338">
        <w:rPr>
          <w:rFonts w:ascii="Arial" w:hAnsi="Arial" w:cs="Arial"/>
        </w:rPr>
        <w:t xml:space="preserve"> that the total debit adjustments recorded in Accounts 1588 and 1589 in Ref 3 do not reconcile with the information provided in </w:t>
      </w:r>
      <w:r w:rsidR="00F91FAC" w:rsidRPr="00287338">
        <w:rPr>
          <w:rFonts w:ascii="Arial" w:hAnsi="Arial" w:cs="Arial"/>
        </w:rPr>
        <w:t xml:space="preserve">Note 8 of </w:t>
      </w:r>
      <w:r w:rsidR="00D67F29" w:rsidRPr="00287338">
        <w:rPr>
          <w:rFonts w:ascii="Arial" w:hAnsi="Arial" w:cs="Arial"/>
        </w:rPr>
        <w:t>Ref</w:t>
      </w:r>
      <w:r w:rsidRPr="00287338">
        <w:rPr>
          <w:rFonts w:ascii="Arial" w:hAnsi="Arial" w:cs="Arial"/>
        </w:rPr>
        <w:t xml:space="preserve"> 2.</w:t>
      </w:r>
    </w:p>
    <w:p w14:paraId="76145A17" w14:textId="77777777" w:rsidR="007B4BC8" w:rsidRPr="00287338" w:rsidRDefault="007B4BC8" w:rsidP="00462386">
      <w:pPr>
        <w:contextualSpacing/>
        <w:rPr>
          <w:rFonts w:ascii="Arial" w:hAnsi="Arial" w:cs="Arial"/>
        </w:rPr>
      </w:pPr>
    </w:p>
    <w:p w14:paraId="10E513C5" w14:textId="77777777" w:rsidR="006F0DB1" w:rsidRPr="00287338" w:rsidRDefault="0094271B" w:rsidP="00462386">
      <w:pPr>
        <w:contextualSpacing/>
        <w:rPr>
          <w:rFonts w:ascii="Arial" w:hAnsi="Arial" w:cs="Arial"/>
          <w:b/>
          <w:bCs/>
        </w:rPr>
      </w:pPr>
      <w:r w:rsidRPr="00287338">
        <w:rPr>
          <w:rFonts w:ascii="Arial" w:hAnsi="Arial" w:cs="Arial"/>
          <w:b/>
          <w:bCs/>
        </w:rPr>
        <w:t>Question(s):</w:t>
      </w:r>
    </w:p>
    <w:p w14:paraId="53FC0B76" w14:textId="2C2C3050" w:rsidR="00472E46" w:rsidRPr="00287338" w:rsidRDefault="0094271B" w:rsidP="00462386">
      <w:pPr>
        <w:pStyle w:val="ListParagraph"/>
        <w:numPr>
          <w:ilvl w:val="0"/>
          <w:numId w:val="13"/>
        </w:numPr>
        <w:ind w:left="360"/>
        <w:rPr>
          <w:rFonts w:ascii="Arial" w:hAnsi="Arial" w:cs="Arial"/>
        </w:rPr>
      </w:pPr>
      <w:r w:rsidRPr="00287338">
        <w:rPr>
          <w:rFonts w:ascii="Arial" w:hAnsi="Arial" w:cs="Arial"/>
        </w:rPr>
        <w:t>Please explain the discrepancies identified between the GA 2024 tab and the Principal Adjustment tab of the 2026 Commodity Analysis Workform.</w:t>
      </w:r>
    </w:p>
    <w:p w14:paraId="09C15C0F" w14:textId="328397E3" w:rsidR="006F0DB1" w:rsidRPr="00287338" w:rsidRDefault="00F13EBB" w:rsidP="004409FD">
      <w:pPr>
        <w:pStyle w:val="ListParagraph"/>
        <w:numPr>
          <w:ilvl w:val="0"/>
          <w:numId w:val="13"/>
        </w:numPr>
        <w:ind w:left="360"/>
        <w:rPr>
          <w:rFonts w:ascii="Arial" w:hAnsi="Arial" w:cs="Arial"/>
        </w:rPr>
      </w:pPr>
      <w:r w:rsidRPr="00287338">
        <w:rPr>
          <w:rFonts w:ascii="Arial" w:hAnsi="Arial" w:cs="Arial"/>
        </w:rPr>
        <w:t>Please provide an explanation as to why the principal adjustment amounts</w:t>
      </w:r>
      <w:r w:rsidR="000B4DD0">
        <w:rPr>
          <w:rFonts w:ascii="Arial" w:hAnsi="Arial" w:cs="Arial"/>
        </w:rPr>
        <w:t xml:space="preserve"> – </w:t>
      </w:r>
      <w:r w:rsidRPr="00287338">
        <w:rPr>
          <w:rFonts w:ascii="Arial" w:hAnsi="Arial" w:cs="Arial"/>
        </w:rPr>
        <w:t>a debit of $3,101,655 for Account 1589 and a credit of $3,142,072 for Account 15</w:t>
      </w:r>
      <w:r w:rsidR="00285228" w:rsidRPr="00287338">
        <w:rPr>
          <w:rFonts w:ascii="Arial" w:hAnsi="Arial" w:cs="Arial"/>
        </w:rPr>
        <w:t>88</w:t>
      </w:r>
      <w:r w:rsidR="00285166" w:rsidRPr="00287338">
        <w:rPr>
          <w:rFonts w:ascii="Arial" w:hAnsi="Arial" w:cs="Arial"/>
        </w:rPr>
        <w:t xml:space="preserve"> </w:t>
      </w:r>
      <w:r w:rsidRPr="00287338">
        <w:rPr>
          <w:rFonts w:ascii="Arial" w:hAnsi="Arial" w:cs="Arial"/>
        </w:rPr>
        <w:t>in Ref 3</w:t>
      </w:r>
      <w:r w:rsidR="000B4DD0">
        <w:rPr>
          <w:rFonts w:ascii="Arial" w:hAnsi="Arial" w:cs="Arial"/>
        </w:rPr>
        <w:t xml:space="preserve"> – </w:t>
      </w:r>
      <w:r w:rsidRPr="00287338">
        <w:rPr>
          <w:rFonts w:ascii="Arial" w:hAnsi="Arial" w:cs="Arial"/>
        </w:rPr>
        <w:t xml:space="preserve">have not been carried forward into the 2026 </w:t>
      </w:r>
      <w:r w:rsidR="000B4DD0">
        <w:rPr>
          <w:rFonts w:ascii="Arial" w:hAnsi="Arial" w:cs="Arial"/>
        </w:rPr>
        <w:t xml:space="preserve">Commodity Analysis </w:t>
      </w:r>
      <w:r w:rsidRPr="00287338">
        <w:rPr>
          <w:rFonts w:ascii="Arial" w:hAnsi="Arial" w:cs="Arial"/>
        </w:rPr>
        <w:t>Workform</w:t>
      </w:r>
      <w:r w:rsidR="00285166" w:rsidRPr="00287338">
        <w:rPr>
          <w:rFonts w:ascii="Arial" w:hAnsi="Arial" w:cs="Arial"/>
        </w:rPr>
        <w:t xml:space="preserve"> in Ref 2</w:t>
      </w:r>
      <w:r w:rsidR="006F0DB1" w:rsidRPr="00287338">
        <w:rPr>
          <w:rFonts w:ascii="Arial" w:hAnsi="Arial" w:cs="Arial"/>
        </w:rPr>
        <w:t>.</w:t>
      </w:r>
    </w:p>
    <w:p w14:paraId="7E9A2B1F" w14:textId="3F7A4D6F" w:rsidR="009C1B4F" w:rsidRDefault="0094271B" w:rsidP="00792162">
      <w:pPr>
        <w:pStyle w:val="ListParagraph"/>
        <w:numPr>
          <w:ilvl w:val="0"/>
          <w:numId w:val="13"/>
        </w:numPr>
        <w:ind w:left="360"/>
        <w:rPr>
          <w:rFonts w:ascii="Arial" w:hAnsi="Arial" w:cs="Arial"/>
        </w:rPr>
      </w:pPr>
      <w:r w:rsidRPr="00287338">
        <w:rPr>
          <w:rFonts w:ascii="Arial" w:hAnsi="Arial" w:cs="Arial"/>
        </w:rPr>
        <w:t>Please revise and complete the 2026 Commodity Analysis Workform in accordance with the instructions set out in the OEB Filing Guidelines.</w:t>
      </w:r>
      <w:r w:rsidR="00F27D80" w:rsidRPr="00287338">
        <w:rPr>
          <w:rStyle w:val="FootnoteReference"/>
          <w:rFonts w:ascii="Arial" w:hAnsi="Arial" w:cs="Arial"/>
        </w:rPr>
        <w:footnoteReference w:id="2"/>
      </w:r>
      <w:r w:rsidR="00FB05F0" w:rsidRPr="00287338">
        <w:rPr>
          <w:rFonts w:ascii="Arial" w:hAnsi="Arial" w:cs="Arial"/>
        </w:rPr>
        <w:t xml:space="preserve"> Also, </w:t>
      </w:r>
      <w:r w:rsidR="00D729AF">
        <w:rPr>
          <w:rFonts w:ascii="Arial" w:hAnsi="Arial" w:cs="Arial"/>
        </w:rPr>
        <w:t xml:space="preserve">please </w:t>
      </w:r>
      <w:r w:rsidR="00FB05F0" w:rsidRPr="00287338">
        <w:rPr>
          <w:rFonts w:ascii="Arial" w:hAnsi="Arial" w:cs="Arial"/>
        </w:rPr>
        <w:t xml:space="preserve">revise the </w:t>
      </w:r>
      <w:r w:rsidR="00832C5C" w:rsidRPr="00287338">
        <w:rPr>
          <w:rFonts w:ascii="Arial" w:hAnsi="Arial" w:cs="Arial"/>
        </w:rPr>
        <w:t xml:space="preserve">continuity schedule of the </w:t>
      </w:r>
      <w:r w:rsidR="00FB05F0" w:rsidRPr="00287338">
        <w:rPr>
          <w:rFonts w:ascii="Arial" w:hAnsi="Arial" w:cs="Arial"/>
        </w:rPr>
        <w:t xml:space="preserve">Rate Generator Model with the </w:t>
      </w:r>
      <w:r w:rsidR="003C35B2" w:rsidRPr="00287338">
        <w:rPr>
          <w:rFonts w:ascii="Arial" w:hAnsi="Arial" w:cs="Arial"/>
        </w:rPr>
        <w:t>principal</w:t>
      </w:r>
      <w:r w:rsidR="00832C5C" w:rsidRPr="00287338">
        <w:rPr>
          <w:rFonts w:ascii="Arial" w:hAnsi="Arial" w:cs="Arial"/>
        </w:rPr>
        <w:t xml:space="preserve"> adjustments</w:t>
      </w:r>
      <w:r w:rsidR="00D729AF">
        <w:rPr>
          <w:rFonts w:ascii="Arial" w:hAnsi="Arial" w:cs="Arial"/>
        </w:rPr>
        <w:t>,</w:t>
      </w:r>
      <w:r w:rsidR="00832C5C" w:rsidRPr="00287338">
        <w:rPr>
          <w:rFonts w:ascii="Arial" w:hAnsi="Arial" w:cs="Arial"/>
        </w:rPr>
        <w:t xml:space="preserve"> if needed.</w:t>
      </w:r>
    </w:p>
    <w:p w14:paraId="35336CDA" w14:textId="12C2B87D" w:rsidR="000C3EC7" w:rsidRDefault="000C3EC7" w:rsidP="009C1B4F">
      <w:pPr>
        <w:rPr>
          <w:rFonts w:ascii="Arial" w:hAnsi="Arial" w:cs="Arial"/>
          <w:b/>
          <w:bCs/>
        </w:rPr>
      </w:pPr>
      <w:r w:rsidRPr="000C3EC7">
        <w:rPr>
          <w:rFonts w:ascii="Arial" w:hAnsi="Arial" w:cs="Arial"/>
          <w:b/>
          <w:bCs/>
        </w:rPr>
        <w:t>THI Response:</w:t>
      </w:r>
    </w:p>
    <w:p w14:paraId="291594DF" w14:textId="50C4F32A" w:rsidR="000C3EC7" w:rsidRDefault="000C3EC7" w:rsidP="009C1B4F">
      <w:pPr>
        <w:rPr>
          <w:rFonts w:ascii="Arial" w:hAnsi="Arial" w:cs="Arial"/>
        </w:rPr>
      </w:pPr>
      <w:r w:rsidRPr="000C3EC7">
        <w:rPr>
          <w:rFonts w:ascii="Arial" w:hAnsi="Arial" w:cs="Arial"/>
        </w:rPr>
        <w:t>The GA 2024 TAB and the Principal Adjustment TAB have both been updated</w:t>
      </w:r>
      <w:r>
        <w:rPr>
          <w:rFonts w:ascii="Arial" w:hAnsi="Arial" w:cs="Arial"/>
        </w:rPr>
        <w:t xml:space="preserve"> to reflect billing using the 1</w:t>
      </w:r>
      <w:r w:rsidRPr="000C3EC7">
        <w:rPr>
          <w:rFonts w:ascii="Arial" w:hAnsi="Arial" w:cs="Arial"/>
          <w:vertAlign w:val="superscript"/>
        </w:rPr>
        <w:t>st</w:t>
      </w:r>
      <w:r>
        <w:rPr>
          <w:rFonts w:ascii="Arial" w:hAnsi="Arial" w:cs="Arial"/>
        </w:rPr>
        <w:t xml:space="preserve"> GA estimate</w:t>
      </w:r>
      <w:r w:rsidR="003C35B2">
        <w:rPr>
          <w:rFonts w:ascii="Arial" w:hAnsi="Arial" w:cs="Arial"/>
        </w:rPr>
        <w:t>, removing the</w:t>
      </w:r>
      <w:r>
        <w:rPr>
          <w:rFonts w:ascii="Arial" w:hAnsi="Arial" w:cs="Arial"/>
        </w:rPr>
        <w:t xml:space="preserve"> </w:t>
      </w:r>
      <w:r w:rsidR="003C35B2" w:rsidRPr="003C35B2">
        <w:rPr>
          <w:rFonts w:ascii="Arial" w:hAnsi="Arial" w:cs="Arial"/>
        </w:rPr>
        <w:t>discrepancies identified</w:t>
      </w:r>
      <w:r w:rsidR="003C35B2">
        <w:rPr>
          <w:rFonts w:ascii="Arial" w:hAnsi="Arial" w:cs="Arial"/>
        </w:rPr>
        <w:t>.</w:t>
      </w:r>
    </w:p>
    <w:p w14:paraId="681C8649" w14:textId="3AAD61ED" w:rsidR="003C35B2" w:rsidRPr="000C3EC7" w:rsidRDefault="003C35B2" w:rsidP="00A95F3E">
      <w:pPr>
        <w:rPr>
          <w:rFonts w:ascii="Arial" w:hAnsi="Arial" w:cs="Arial"/>
        </w:rPr>
      </w:pPr>
      <w:r>
        <w:rPr>
          <w:rFonts w:ascii="Arial" w:hAnsi="Arial" w:cs="Arial"/>
        </w:rPr>
        <w:t xml:space="preserve">The principal adjustments for </w:t>
      </w:r>
      <w:r w:rsidRPr="003C35B2">
        <w:rPr>
          <w:rFonts w:ascii="Arial" w:hAnsi="Arial" w:cs="Arial"/>
        </w:rPr>
        <w:t>a debit of $3,101,655 for Account 1589 and a credit of $3,142,072 for Account 1588</w:t>
      </w:r>
      <w:r>
        <w:rPr>
          <w:rFonts w:ascii="Arial" w:hAnsi="Arial" w:cs="Arial"/>
        </w:rPr>
        <w:t xml:space="preserve"> which </w:t>
      </w:r>
      <w:r w:rsidR="00DC2B70">
        <w:rPr>
          <w:rFonts w:ascii="Arial" w:hAnsi="Arial" w:cs="Arial"/>
        </w:rPr>
        <w:t xml:space="preserve">are </w:t>
      </w:r>
      <w:r>
        <w:rPr>
          <w:rFonts w:ascii="Arial" w:hAnsi="Arial" w:cs="Arial"/>
        </w:rPr>
        <w:t xml:space="preserve">one-time adjustments approved in the </w:t>
      </w:r>
      <w:r w:rsidR="00A95F3E">
        <w:rPr>
          <w:rFonts w:ascii="Arial" w:hAnsi="Arial" w:cs="Arial"/>
        </w:rPr>
        <w:t>Cost-of-Service</w:t>
      </w:r>
      <w:r>
        <w:rPr>
          <w:rFonts w:ascii="Arial" w:hAnsi="Arial" w:cs="Arial"/>
        </w:rPr>
        <w:t xml:space="preserve"> Application. They </w:t>
      </w:r>
      <w:r w:rsidR="00A95F3E">
        <w:rPr>
          <w:rFonts w:ascii="Arial" w:hAnsi="Arial" w:cs="Arial"/>
        </w:rPr>
        <w:t xml:space="preserve">correct the movement from Cost of Power to Global Adjustment based on the findings of the </w:t>
      </w:r>
      <w:r w:rsidR="00A95F3E" w:rsidRPr="00A95F3E">
        <w:rPr>
          <w:rFonts w:ascii="Arial" w:hAnsi="Arial" w:cs="Arial"/>
        </w:rPr>
        <w:t>Tillsonburg Hydro Inc.</w:t>
      </w:r>
      <w:r w:rsidR="00A95F3E">
        <w:rPr>
          <w:rFonts w:ascii="Arial" w:hAnsi="Arial" w:cs="Arial"/>
        </w:rPr>
        <w:t xml:space="preserve"> </w:t>
      </w:r>
      <w:r w:rsidR="00A95F3E" w:rsidRPr="00A95F3E">
        <w:rPr>
          <w:rFonts w:ascii="Arial" w:hAnsi="Arial" w:cs="Arial"/>
        </w:rPr>
        <w:t>Inspection of Group 1 Deferral and Variance Accounts 1588 and 1589</w:t>
      </w:r>
      <w:r w:rsidR="00A95F3E">
        <w:rPr>
          <w:rFonts w:ascii="Arial" w:hAnsi="Arial" w:cs="Arial"/>
        </w:rPr>
        <w:t xml:space="preserve">, </w:t>
      </w:r>
      <w:r w:rsidR="00A95F3E" w:rsidRPr="00A95F3E">
        <w:rPr>
          <w:rFonts w:ascii="Arial" w:hAnsi="Arial" w:cs="Arial"/>
        </w:rPr>
        <w:t>April 2024</w:t>
      </w:r>
      <w:r w:rsidR="00A95F3E">
        <w:rPr>
          <w:rFonts w:ascii="Arial" w:hAnsi="Arial" w:cs="Arial"/>
        </w:rPr>
        <w:t xml:space="preserve">. </w:t>
      </w:r>
      <w:r>
        <w:rPr>
          <w:rFonts w:ascii="Arial" w:hAnsi="Arial" w:cs="Arial"/>
        </w:rPr>
        <w:t>They</w:t>
      </w:r>
      <w:r w:rsidR="00DC2B70">
        <w:rPr>
          <w:rFonts w:ascii="Arial" w:hAnsi="Arial" w:cs="Arial"/>
        </w:rPr>
        <w:t xml:space="preserve"> only </w:t>
      </w:r>
      <w:r>
        <w:rPr>
          <w:rFonts w:ascii="Arial" w:hAnsi="Arial" w:cs="Arial"/>
        </w:rPr>
        <w:t xml:space="preserve">relate </w:t>
      </w:r>
      <w:r w:rsidR="00DC2B70">
        <w:rPr>
          <w:rFonts w:ascii="Arial" w:hAnsi="Arial" w:cs="Arial"/>
        </w:rPr>
        <w:t xml:space="preserve">to the correction of prior year </w:t>
      </w:r>
      <w:r>
        <w:rPr>
          <w:rFonts w:ascii="Arial" w:hAnsi="Arial" w:cs="Arial"/>
        </w:rPr>
        <w:t xml:space="preserve">balances </w:t>
      </w:r>
      <w:r w:rsidR="00DC2B70">
        <w:rPr>
          <w:rFonts w:ascii="Arial" w:hAnsi="Arial" w:cs="Arial"/>
        </w:rPr>
        <w:t>and are not to be reversed</w:t>
      </w:r>
      <w:r>
        <w:rPr>
          <w:rFonts w:ascii="Arial" w:hAnsi="Arial" w:cs="Arial"/>
        </w:rPr>
        <w:t>.</w:t>
      </w:r>
    </w:p>
    <w:p w14:paraId="523D79F4" w14:textId="77777777" w:rsidR="00DC2B70" w:rsidRDefault="00DC2B70">
      <w:pPr>
        <w:rPr>
          <w:rFonts w:ascii="Arial" w:hAnsi="Arial" w:cs="Arial"/>
          <w:b/>
          <w:bCs/>
        </w:rPr>
      </w:pPr>
      <w:r>
        <w:rPr>
          <w:rFonts w:ascii="Arial" w:hAnsi="Arial" w:cs="Arial"/>
          <w:b/>
          <w:bCs/>
        </w:rPr>
        <w:br w:type="page"/>
      </w:r>
    </w:p>
    <w:p w14:paraId="10A4F345" w14:textId="64EC2467" w:rsidR="00F96D41" w:rsidRPr="009C1B4F" w:rsidRDefault="00C50C4A" w:rsidP="009C1B4F">
      <w:pPr>
        <w:rPr>
          <w:rFonts w:ascii="Arial" w:hAnsi="Arial" w:cs="Arial"/>
        </w:rPr>
      </w:pPr>
      <w:r w:rsidRPr="009C1B4F">
        <w:rPr>
          <w:rFonts w:ascii="Arial" w:hAnsi="Arial" w:cs="Arial"/>
          <w:b/>
          <w:bCs/>
        </w:rPr>
        <w:lastRenderedPageBreak/>
        <w:t>Staff-</w:t>
      </w:r>
      <w:r w:rsidR="00C37A33" w:rsidRPr="009C1B4F">
        <w:rPr>
          <w:rFonts w:ascii="Arial" w:hAnsi="Arial" w:cs="Arial"/>
          <w:b/>
          <w:bCs/>
        </w:rPr>
        <w:t>9</w:t>
      </w:r>
    </w:p>
    <w:p w14:paraId="6C9F7BBD" w14:textId="6F3C557D" w:rsidR="00C75032" w:rsidRPr="00287338" w:rsidRDefault="00C75032" w:rsidP="00792162">
      <w:pPr>
        <w:rPr>
          <w:rFonts w:ascii="Arial" w:hAnsi="Arial" w:cs="Arial"/>
          <w:b/>
          <w:bCs/>
        </w:rPr>
      </w:pPr>
      <w:r w:rsidRPr="00287338">
        <w:rPr>
          <w:rFonts w:ascii="Arial" w:hAnsi="Arial" w:cs="Arial"/>
          <w:b/>
          <w:bCs/>
        </w:rPr>
        <w:t>Reference</w:t>
      </w:r>
      <w:r w:rsidR="005B7739" w:rsidRPr="00287338">
        <w:rPr>
          <w:rFonts w:ascii="Arial" w:hAnsi="Arial" w:cs="Arial"/>
          <w:b/>
          <w:bCs/>
        </w:rPr>
        <w:t>(</w:t>
      </w:r>
      <w:r w:rsidRPr="00287338">
        <w:rPr>
          <w:rFonts w:ascii="Arial" w:hAnsi="Arial" w:cs="Arial"/>
          <w:b/>
          <w:bCs/>
        </w:rPr>
        <w:t>s</w:t>
      </w:r>
      <w:r w:rsidR="005B7739" w:rsidRPr="00287338">
        <w:rPr>
          <w:rFonts w:ascii="Arial" w:hAnsi="Arial" w:cs="Arial"/>
          <w:b/>
          <w:bCs/>
        </w:rPr>
        <w:t>)</w:t>
      </w:r>
      <w:r w:rsidRPr="00287338">
        <w:rPr>
          <w:rFonts w:ascii="Arial" w:hAnsi="Arial" w:cs="Arial"/>
          <w:b/>
          <w:bCs/>
        </w:rPr>
        <w:t>:</w:t>
      </w:r>
    </w:p>
    <w:p w14:paraId="3CA67307" w14:textId="78ABA9D6" w:rsidR="00A37A48" w:rsidRPr="00287338" w:rsidRDefault="003B7654" w:rsidP="001F695D">
      <w:pPr>
        <w:ind w:left="720" w:hanging="720"/>
        <w:rPr>
          <w:rFonts w:ascii="Arial" w:hAnsi="Arial" w:cs="Arial"/>
        </w:rPr>
      </w:pPr>
      <w:r w:rsidRPr="00287338">
        <w:rPr>
          <w:rFonts w:ascii="Arial" w:hAnsi="Arial" w:cs="Arial"/>
          <w:b/>
          <w:bCs/>
        </w:rPr>
        <w:t>Ref</w:t>
      </w:r>
      <w:r w:rsidR="008235D3" w:rsidRPr="00287338">
        <w:rPr>
          <w:rFonts w:ascii="Arial" w:hAnsi="Arial" w:cs="Arial"/>
          <w:b/>
          <w:bCs/>
        </w:rPr>
        <w:t xml:space="preserve"> 1:</w:t>
      </w:r>
      <w:r w:rsidR="008235D3" w:rsidRPr="00287338">
        <w:rPr>
          <w:rFonts w:ascii="Arial" w:hAnsi="Arial" w:cs="Arial"/>
        </w:rPr>
        <w:t xml:space="preserve"> </w:t>
      </w:r>
      <w:r w:rsidR="009B5E06" w:rsidRPr="00287338">
        <w:rPr>
          <w:rFonts w:ascii="Arial" w:hAnsi="Arial" w:cs="Arial"/>
        </w:rPr>
        <w:t xml:space="preserve">2026 Commodity </w:t>
      </w:r>
      <w:r w:rsidR="0022058E" w:rsidRPr="00287338">
        <w:rPr>
          <w:rFonts w:ascii="Arial" w:hAnsi="Arial" w:cs="Arial"/>
        </w:rPr>
        <w:t>Accounts Analysis Workform, Tab GA 2024</w:t>
      </w:r>
      <w:r w:rsidR="009D1C31" w:rsidRPr="00287338">
        <w:rPr>
          <w:rFonts w:ascii="Arial" w:hAnsi="Arial" w:cs="Arial"/>
        </w:rPr>
        <w:t>, Note 5, reconciling Items 6 &amp; 7</w:t>
      </w:r>
    </w:p>
    <w:p w14:paraId="132DBF05" w14:textId="23C6CB94" w:rsidR="00C75032" w:rsidRPr="00287338" w:rsidRDefault="00C75032" w:rsidP="00F96D41">
      <w:pPr>
        <w:contextualSpacing/>
        <w:rPr>
          <w:rFonts w:ascii="Arial" w:hAnsi="Arial" w:cs="Arial"/>
          <w:b/>
          <w:bCs/>
        </w:rPr>
      </w:pPr>
      <w:r w:rsidRPr="00287338">
        <w:rPr>
          <w:rFonts w:ascii="Arial" w:hAnsi="Arial" w:cs="Arial"/>
          <w:b/>
          <w:bCs/>
        </w:rPr>
        <w:t>Preamble:</w:t>
      </w:r>
    </w:p>
    <w:p w14:paraId="18E54CFC" w14:textId="426C2FBB" w:rsidR="006B12E7" w:rsidRPr="00287338" w:rsidRDefault="0076407D" w:rsidP="00F96D41">
      <w:pPr>
        <w:contextualSpacing/>
        <w:rPr>
          <w:rFonts w:ascii="Arial" w:hAnsi="Arial" w:cs="Arial"/>
        </w:rPr>
      </w:pPr>
      <w:r w:rsidRPr="00287338">
        <w:rPr>
          <w:rFonts w:ascii="Arial" w:hAnsi="Arial" w:cs="Arial"/>
        </w:rPr>
        <w:t>OEB staff notes that Not</w:t>
      </w:r>
      <w:r w:rsidR="00EA0C9F" w:rsidRPr="00287338">
        <w:rPr>
          <w:rFonts w:ascii="Arial" w:hAnsi="Arial" w:cs="Arial"/>
        </w:rPr>
        <w:t xml:space="preserve">e 5 in Ref 1 includes Class A adjustments, while </w:t>
      </w:r>
      <w:r w:rsidR="0092420A" w:rsidRPr="00287338">
        <w:rPr>
          <w:rFonts w:ascii="Arial" w:hAnsi="Arial" w:cs="Arial"/>
        </w:rPr>
        <w:t>Account</w:t>
      </w:r>
      <w:r w:rsidR="00EA0C9F" w:rsidRPr="00287338">
        <w:rPr>
          <w:rFonts w:ascii="Arial" w:hAnsi="Arial" w:cs="Arial"/>
        </w:rPr>
        <w:t xml:space="preserve"> </w:t>
      </w:r>
      <w:r w:rsidR="006B12E7" w:rsidRPr="00287338">
        <w:rPr>
          <w:rFonts w:ascii="Arial" w:hAnsi="Arial" w:cs="Arial"/>
        </w:rPr>
        <w:t>1589 is only related to Non-RPP Class B</w:t>
      </w:r>
      <w:r w:rsidR="00591509" w:rsidRPr="00287338">
        <w:rPr>
          <w:rFonts w:ascii="Arial" w:hAnsi="Arial" w:cs="Arial"/>
        </w:rPr>
        <w:t xml:space="preserve"> customers</w:t>
      </w:r>
      <w:r w:rsidR="006B12E7" w:rsidRPr="00287338">
        <w:rPr>
          <w:rFonts w:ascii="Arial" w:hAnsi="Arial" w:cs="Arial"/>
        </w:rPr>
        <w:t>.</w:t>
      </w:r>
    </w:p>
    <w:p w14:paraId="6E83865F" w14:textId="77777777" w:rsidR="00F96D41" w:rsidRPr="00287338" w:rsidRDefault="00F96D41" w:rsidP="00F96D41">
      <w:pPr>
        <w:contextualSpacing/>
        <w:rPr>
          <w:rFonts w:ascii="Arial" w:hAnsi="Arial" w:cs="Arial"/>
          <w:b/>
          <w:bCs/>
        </w:rPr>
      </w:pPr>
    </w:p>
    <w:p w14:paraId="133C3D32" w14:textId="46A2CC46" w:rsidR="00C75032" w:rsidRPr="00287338" w:rsidRDefault="00C75032" w:rsidP="00F96D41">
      <w:pPr>
        <w:contextualSpacing/>
        <w:rPr>
          <w:rFonts w:ascii="Arial" w:hAnsi="Arial" w:cs="Arial"/>
          <w:b/>
          <w:bCs/>
        </w:rPr>
      </w:pPr>
      <w:r w:rsidRPr="00287338">
        <w:rPr>
          <w:rFonts w:ascii="Arial" w:hAnsi="Arial" w:cs="Arial"/>
          <w:b/>
          <w:bCs/>
        </w:rPr>
        <w:t>Question(s):</w:t>
      </w:r>
    </w:p>
    <w:p w14:paraId="5957E4FB" w14:textId="145FE67C" w:rsidR="000E4F7B" w:rsidRPr="00287338" w:rsidRDefault="00BB2A45" w:rsidP="00D56ABD">
      <w:pPr>
        <w:pStyle w:val="ListParagraph"/>
        <w:numPr>
          <w:ilvl w:val="0"/>
          <w:numId w:val="6"/>
        </w:numPr>
        <w:ind w:left="360"/>
        <w:rPr>
          <w:rFonts w:ascii="Arial" w:hAnsi="Arial" w:cs="Arial"/>
        </w:rPr>
      </w:pPr>
      <w:r w:rsidRPr="00287338">
        <w:rPr>
          <w:rFonts w:ascii="Arial" w:hAnsi="Arial" w:cs="Arial"/>
        </w:rPr>
        <w:t>Please provide an explanation for the inclusion of Class A adjustments in Ref 1. Please update the table as necessary</w:t>
      </w:r>
      <w:r w:rsidR="00131ED4" w:rsidRPr="00287338">
        <w:rPr>
          <w:rFonts w:ascii="Arial" w:hAnsi="Arial" w:cs="Arial"/>
        </w:rPr>
        <w:t>.</w:t>
      </w:r>
    </w:p>
    <w:p w14:paraId="50B47E6A" w14:textId="089AD141" w:rsidR="00792162" w:rsidRDefault="00A95F3E" w:rsidP="00792162">
      <w:pPr>
        <w:contextualSpacing/>
        <w:rPr>
          <w:rFonts w:ascii="Arial" w:hAnsi="Arial" w:cs="Arial"/>
          <w:b/>
          <w:bCs/>
        </w:rPr>
      </w:pPr>
      <w:r w:rsidRPr="00A95F3E">
        <w:rPr>
          <w:rFonts w:ascii="Arial" w:hAnsi="Arial" w:cs="Arial"/>
          <w:b/>
          <w:bCs/>
        </w:rPr>
        <w:t>THI Response:</w:t>
      </w:r>
    </w:p>
    <w:p w14:paraId="436E0ED0" w14:textId="77777777" w:rsidR="00A95F3E" w:rsidRDefault="00A95F3E" w:rsidP="00792162">
      <w:pPr>
        <w:contextualSpacing/>
        <w:rPr>
          <w:rFonts w:ascii="Arial" w:hAnsi="Arial" w:cs="Arial"/>
          <w:b/>
          <w:bCs/>
        </w:rPr>
      </w:pPr>
    </w:p>
    <w:p w14:paraId="363D5B9C" w14:textId="362F0667" w:rsidR="00A95F3E" w:rsidRDefault="00300B5A" w:rsidP="00792162">
      <w:pPr>
        <w:contextualSpacing/>
        <w:rPr>
          <w:rFonts w:ascii="Arial" w:hAnsi="Arial" w:cs="Arial"/>
          <w:b/>
          <w:bCs/>
        </w:rPr>
      </w:pPr>
      <w:r>
        <w:rPr>
          <w:rFonts w:ascii="Arial" w:hAnsi="Arial" w:cs="Arial"/>
        </w:rPr>
        <w:t xml:space="preserve">There is a timing difference between the GA being </w:t>
      </w:r>
      <w:proofErr w:type="gramStart"/>
      <w:r>
        <w:rPr>
          <w:rFonts w:ascii="Arial" w:hAnsi="Arial" w:cs="Arial"/>
        </w:rPr>
        <w:t>expensed</w:t>
      </w:r>
      <w:proofErr w:type="gramEnd"/>
      <w:r>
        <w:rPr>
          <w:rFonts w:ascii="Arial" w:hAnsi="Arial" w:cs="Arial"/>
        </w:rPr>
        <w:t xml:space="preserve"> and the billing of Class A customers. This difference is reflected in the 1589 balance and cleared the following month.</w:t>
      </w:r>
    </w:p>
    <w:p w14:paraId="037010C1" w14:textId="77777777" w:rsidR="00A95F3E" w:rsidRPr="00287338" w:rsidRDefault="00A95F3E" w:rsidP="00792162">
      <w:pPr>
        <w:contextualSpacing/>
        <w:rPr>
          <w:rFonts w:ascii="Arial" w:hAnsi="Arial" w:cs="Arial"/>
          <w:b/>
          <w:bCs/>
        </w:rPr>
      </w:pPr>
    </w:p>
    <w:p w14:paraId="0F72EBD2" w14:textId="77777777" w:rsidR="00DC2B70" w:rsidRDefault="00DC2B70">
      <w:pPr>
        <w:rPr>
          <w:rFonts w:ascii="Arial" w:hAnsi="Arial" w:cs="Arial"/>
          <w:b/>
          <w:bCs/>
        </w:rPr>
      </w:pPr>
      <w:r>
        <w:rPr>
          <w:rFonts w:ascii="Arial" w:hAnsi="Arial" w:cs="Arial"/>
          <w:b/>
          <w:bCs/>
        </w:rPr>
        <w:br w:type="page"/>
      </w:r>
    </w:p>
    <w:p w14:paraId="1FB24B01" w14:textId="1B7C6D1F" w:rsidR="00792162" w:rsidRPr="00287338" w:rsidRDefault="00A37A48" w:rsidP="00792162">
      <w:pPr>
        <w:rPr>
          <w:rFonts w:ascii="Arial" w:hAnsi="Arial" w:cs="Arial"/>
          <w:b/>
          <w:bCs/>
        </w:rPr>
      </w:pPr>
      <w:r w:rsidRPr="00287338">
        <w:rPr>
          <w:rFonts w:ascii="Arial" w:hAnsi="Arial" w:cs="Arial"/>
          <w:b/>
          <w:bCs/>
        </w:rPr>
        <w:lastRenderedPageBreak/>
        <w:t>Staff-</w:t>
      </w:r>
      <w:r w:rsidR="00C37A33">
        <w:rPr>
          <w:rFonts w:ascii="Arial" w:hAnsi="Arial" w:cs="Arial"/>
          <w:b/>
          <w:bCs/>
        </w:rPr>
        <w:t>10</w:t>
      </w:r>
    </w:p>
    <w:p w14:paraId="5DE0BE90" w14:textId="7331B6F5" w:rsidR="004060F1" w:rsidRPr="00287338" w:rsidRDefault="004060F1" w:rsidP="00792162">
      <w:pPr>
        <w:rPr>
          <w:rFonts w:ascii="Arial" w:hAnsi="Arial" w:cs="Arial"/>
          <w:b/>
          <w:bCs/>
        </w:rPr>
      </w:pPr>
      <w:r w:rsidRPr="00287338">
        <w:rPr>
          <w:rFonts w:ascii="Arial" w:hAnsi="Arial" w:cs="Arial"/>
          <w:b/>
          <w:bCs/>
        </w:rPr>
        <w:t>Reference</w:t>
      </w:r>
      <w:r w:rsidR="005B7739" w:rsidRPr="00287338">
        <w:rPr>
          <w:rFonts w:ascii="Arial" w:hAnsi="Arial" w:cs="Arial"/>
          <w:b/>
          <w:bCs/>
        </w:rPr>
        <w:t>(</w:t>
      </w:r>
      <w:r w:rsidRPr="00287338">
        <w:rPr>
          <w:rFonts w:ascii="Arial" w:hAnsi="Arial" w:cs="Arial"/>
          <w:b/>
          <w:bCs/>
        </w:rPr>
        <w:t>s</w:t>
      </w:r>
      <w:r w:rsidR="005B7739" w:rsidRPr="00287338">
        <w:rPr>
          <w:rFonts w:ascii="Arial" w:hAnsi="Arial" w:cs="Arial"/>
          <w:b/>
          <w:bCs/>
        </w:rPr>
        <w:t>)</w:t>
      </w:r>
      <w:r w:rsidRPr="00287338">
        <w:rPr>
          <w:rFonts w:ascii="Arial" w:hAnsi="Arial" w:cs="Arial"/>
          <w:b/>
          <w:bCs/>
        </w:rPr>
        <w:t>:</w:t>
      </w:r>
    </w:p>
    <w:p w14:paraId="14E7E66E" w14:textId="2CFEBC7C" w:rsidR="00B56875" w:rsidRPr="00287338" w:rsidRDefault="00B56875" w:rsidP="002306BA">
      <w:pPr>
        <w:ind w:left="720" w:hanging="720"/>
        <w:contextualSpacing/>
        <w:rPr>
          <w:rFonts w:ascii="Arial" w:hAnsi="Arial" w:cs="Arial"/>
        </w:rPr>
      </w:pPr>
      <w:r w:rsidRPr="00287338">
        <w:rPr>
          <w:rFonts w:ascii="Arial" w:hAnsi="Arial" w:cs="Arial"/>
          <w:b/>
          <w:bCs/>
        </w:rPr>
        <w:t>Ref 1:</w:t>
      </w:r>
      <w:r w:rsidR="00413103" w:rsidRPr="00287338">
        <w:rPr>
          <w:rFonts w:ascii="Arial" w:hAnsi="Arial" w:cs="Arial"/>
        </w:rPr>
        <w:t xml:space="preserve"> 2026 Commodity Accounts Analysis Workform, Tab GA 2024, Note 2,</w:t>
      </w:r>
      <w:r w:rsidR="001F695D">
        <w:rPr>
          <w:rFonts w:ascii="Arial" w:hAnsi="Arial" w:cs="Arial"/>
        </w:rPr>
        <w:t xml:space="preserve"> </w:t>
      </w:r>
      <w:r w:rsidR="00684A75" w:rsidRPr="00287338">
        <w:rPr>
          <w:rFonts w:ascii="Arial" w:hAnsi="Arial" w:cs="Arial"/>
        </w:rPr>
        <w:t>Consumption Data Excluding for Loss Factor</w:t>
      </w:r>
    </w:p>
    <w:p w14:paraId="3EDC0A49" w14:textId="0D0BD8A1" w:rsidR="00F96D41" w:rsidRPr="00287338" w:rsidRDefault="006077B7" w:rsidP="00747DAB">
      <w:pPr>
        <w:ind w:left="720" w:hanging="720"/>
        <w:contextualSpacing/>
        <w:rPr>
          <w:rFonts w:ascii="Arial" w:hAnsi="Arial" w:cs="Arial"/>
          <w:b/>
          <w:bCs/>
        </w:rPr>
      </w:pPr>
      <w:r w:rsidRPr="00287338">
        <w:rPr>
          <w:rFonts w:ascii="Arial" w:hAnsi="Arial" w:cs="Arial"/>
          <w:b/>
          <w:bCs/>
        </w:rPr>
        <w:t>Ref 2:</w:t>
      </w:r>
      <w:r w:rsidRPr="00287338">
        <w:rPr>
          <w:rFonts w:ascii="Arial" w:hAnsi="Arial" w:cs="Arial"/>
        </w:rPr>
        <w:t xml:space="preserve"> </w:t>
      </w:r>
      <w:r w:rsidR="00882EFA" w:rsidRPr="00287338">
        <w:rPr>
          <w:rFonts w:ascii="Arial" w:hAnsi="Arial" w:cs="Arial"/>
        </w:rPr>
        <w:t xml:space="preserve">2026 IRM Rate Generator Model, </w:t>
      </w:r>
      <w:r w:rsidR="00121BCA" w:rsidRPr="00287338">
        <w:rPr>
          <w:rFonts w:ascii="Arial" w:hAnsi="Arial" w:cs="Arial"/>
        </w:rPr>
        <w:t>Tab 4 Billing Det. For Def-Var</w:t>
      </w:r>
      <w:r w:rsidR="00216358" w:rsidRPr="00287338">
        <w:rPr>
          <w:rFonts w:ascii="Arial" w:hAnsi="Arial" w:cs="Arial"/>
        </w:rPr>
        <w:t>, Column I</w:t>
      </w:r>
      <w:r w:rsidR="005C4AAB" w:rsidRPr="00287338">
        <w:rPr>
          <w:rFonts w:ascii="Arial" w:hAnsi="Arial" w:cs="Arial"/>
        </w:rPr>
        <w:t xml:space="preserve"> and</w:t>
      </w:r>
      <w:r w:rsidR="00216358" w:rsidRPr="00287338">
        <w:rPr>
          <w:rFonts w:ascii="Arial" w:hAnsi="Arial" w:cs="Arial"/>
        </w:rPr>
        <w:t xml:space="preserve"> </w:t>
      </w:r>
      <w:r w:rsidR="005A43A3" w:rsidRPr="00287338">
        <w:rPr>
          <w:rFonts w:ascii="Arial" w:hAnsi="Arial" w:cs="Arial"/>
        </w:rPr>
        <w:t xml:space="preserve">Tab </w:t>
      </w:r>
      <w:r w:rsidR="00314FF6" w:rsidRPr="00287338">
        <w:rPr>
          <w:rFonts w:ascii="Arial" w:hAnsi="Arial" w:cs="Arial"/>
        </w:rPr>
        <w:t xml:space="preserve">6.1, Column </w:t>
      </w:r>
      <w:r w:rsidR="009138E2" w:rsidRPr="00287338">
        <w:rPr>
          <w:rFonts w:ascii="Arial" w:hAnsi="Arial" w:cs="Arial"/>
        </w:rPr>
        <w:t>E</w:t>
      </w:r>
      <w:r w:rsidR="00762F0F" w:rsidRPr="00287338">
        <w:rPr>
          <w:rFonts w:ascii="Arial" w:hAnsi="Arial" w:cs="Arial"/>
        </w:rPr>
        <w:t xml:space="preserve"> &amp; I</w:t>
      </w:r>
    </w:p>
    <w:p w14:paraId="199F30A6" w14:textId="77777777" w:rsidR="00F96D41" w:rsidRPr="00287338" w:rsidRDefault="00F96D41" w:rsidP="00566807">
      <w:pPr>
        <w:contextualSpacing/>
        <w:rPr>
          <w:rFonts w:ascii="Arial" w:hAnsi="Arial" w:cs="Arial"/>
          <w:b/>
          <w:bCs/>
        </w:rPr>
      </w:pPr>
    </w:p>
    <w:p w14:paraId="0408393B" w14:textId="415FF74E" w:rsidR="00E41573" w:rsidRPr="00287338" w:rsidRDefault="004060F1" w:rsidP="00C92D1B">
      <w:pPr>
        <w:contextualSpacing/>
        <w:rPr>
          <w:rFonts w:ascii="Arial" w:hAnsi="Arial" w:cs="Arial"/>
          <w:b/>
          <w:bCs/>
        </w:rPr>
      </w:pPr>
      <w:r w:rsidRPr="00287338">
        <w:rPr>
          <w:rFonts w:ascii="Arial" w:hAnsi="Arial" w:cs="Arial"/>
          <w:b/>
          <w:bCs/>
        </w:rPr>
        <w:t>Preamble:</w:t>
      </w:r>
    </w:p>
    <w:p w14:paraId="19F24486" w14:textId="541DB089" w:rsidR="00DC7A7B" w:rsidRPr="00287338" w:rsidRDefault="00112E96" w:rsidP="00F96D41">
      <w:pPr>
        <w:contextualSpacing/>
        <w:rPr>
          <w:rFonts w:ascii="Arial" w:hAnsi="Arial" w:cs="Arial"/>
        </w:rPr>
      </w:pPr>
      <w:r w:rsidRPr="00287338">
        <w:rPr>
          <w:rFonts w:ascii="Arial" w:hAnsi="Arial" w:cs="Arial"/>
        </w:rPr>
        <w:t xml:space="preserve">OEB staff notes that amounts mentioned in Ref 1 do not reconcile with those mentioned in Ref 2. </w:t>
      </w:r>
    </w:p>
    <w:p w14:paraId="4C86DC9D" w14:textId="77777777" w:rsidR="00F96D41" w:rsidRPr="00287338" w:rsidRDefault="00E41573" w:rsidP="00212DC7">
      <w:pPr>
        <w:contextualSpacing/>
        <w:rPr>
          <w:rFonts w:ascii="Arial" w:hAnsi="Arial" w:cs="Arial"/>
          <w:b/>
          <w:bCs/>
        </w:rPr>
      </w:pPr>
      <w:r w:rsidRPr="00287338">
        <w:rPr>
          <w:rFonts w:ascii="Arial" w:hAnsi="Arial" w:cs="Arial"/>
          <w:b/>
          <w:bCs/>
        </w:rPr>
        <w:t xml:space="preserve"> </w:t>
      </w:r>
    </w:p>
    <w:p w14:paraId="5510476B" w14:textId="2BAAA4F4" w:rsidR="00C70E1C" w:rsidRPr="00287338" w:rsidRDefault="004060F1" w:rsidP="00AF2EA3">
      <w:pPr>
        <w:rPr>
          <w:rFonts w:ascii="Arial" w:hAnsi="Arial" w:cs="Arial"/>
          <w:b/>
          <w:bCs/>
        </w:rPr>
      </w:pPr>
      <w:r w:rsidRPr="00287338">
        <w:rPr>
          <w:rFonts w:ascii="Arial" w:hAnsi="Arial" w:cs="Arial"/>
          <w:b/>
          <w:bCs/>
        </w:rPr>
        <w:t>Question(s):</w:t>
      </w:r>
    </w:p>
    <w:p w14:paraId="21DB5A67" w14:textId="6E6F6761" w:rsidR="000E4F7B" w:rsidRPr="00287338" w:rsidRDefault="005F78B7" w:rsidP="009C1B4F">
      <w:pPr>
        <w:pStyle w:val="ListParagraph"/>
        <w:numPr>
          <w:ilvl w:val="0"/>
          <w:numId w:val="11"/>
        </w:numPr>
        <w:tabs>
          <w:tab w:val="left" w:pos="270"/>
        </w:tabs>
        <w:ind w:left="360"/>
        <w:rPr>
          <w:rFonts w:ascii="Arial" w:hAnsi="Arial" w:cs="Arial"/>
        </w:rPr>
      </w:pPr>
      <w:r w:rsidRPr="00287338">
        <w:rPr>
          <w:rFonts w:ascii="Arial" w:hAnsi="Arial" w:cs="Arial"/>
        </w:rPr>
        <w:t>Please explain the difference between the amounts in Ref 1 and Ref 2.</w:t>
      </w:r>
    </w:p>
    <w:p w14:paraId="3465817A" w14:textId="77777777" w:rsidR="00CB0725" w:rsidRDefault="00CB0725" w:rsidP="009C1B4F">
      <w:pPr>
        <w:contextualSpacing/>
        <w:rPr>
          <w:rFonts w:ascii="Arial" w:hAnsi="Arial" w:cs="Arial"/>
          <w:b/>
          <w:bCs/>
        </w:rPr>
      </w:pPr>
    </w:p>
    <w:p w14:paraId="4891DE98" w14:textId="77777777" w:rsidR="00A200FE" w:rsidRDefault="00A200FE" w:rsidP="00A200FE">
      <w:pPr>
        <w:rPr>
          <w:rFonts w:ascii="Arial" w:hAnsi="Arial" w:cs="Arial"/>
          <w:b/>
          <w:bCs/>
        </w:rPr>
      </w:pPr>
      <w:r w:rsidRPr="000C3EC7">
        <w:rPr>
          <w:rFonts w:ascii="Arial" w:hAnsi="Arial" w:cs="Arial"/>
          <w:b/>
          <w:bCs/>
        </w:rPr>
        <w:t>THI Response:</w:t>
      </w:r>
    </w:p>
    <w:p w14:paraId="3D99F784" w14:textId="47444123" w:rsidR="00A200FE" w:rsidRPr="00A200FE" w:rsidRDefault="00A200FE" w:rsidP="009C1B4F">
      <w:pPr>
        <w:contextualSpacing/>
        <w:rPr>
          <w:rFonts w:ascii="Arial" w:hAnsi="Arial" w:cs="Arial"/>
        </w:rPr>
      </w:pPr>
      <w:r w:rsidRPr="00A200FE">
        <w:rPr>
          <w:rFonts w:ascii="Arial" w:hAnsi="Arial" w:cs="Arial"/>
        </w:rPr>
        <w:t xml:space="preserve">Values have been reviewed and updated to match </w:t>
      </w:r>
      <w:r>
        <w:rPr>
          <w:rFonts w:ascii="Arial" w:hAnsi="Arial" w:cs="Arial"/>
        </w:rPr>
        <w:t>2026 IRM Generator Model TAB 4.</w:t>
      </w:r>
    </w:p>
    <w:p w14:paraId="1D5B09C0" w14:textId="77777777" w:rsidR="00A200FE" w:rsidRDefault="00A200FE" w:rsidP="009C1B4F">
      <w:pPr>
        <w:contextualSpacing/>
        <w:rPr>
          <w:rFonts w:ascii="Arial" w:hAnsi="Arial" w:cs="Arial"/>
          <w:b/>
          <w:bCs/>
        </w:rPr>
      </w:pPr>
    </w:p>
    <w:p w14:paraId="29B22088" w14:textId="77777777" w:rsidR="00A62469" w:rsidRDefault="00A62469">
      <w:pPr>
        <w:rPr>
          <w:rFonts w:ascii="Arial" w:hAnsi="Arial" w:cs="Arial"/>
          <w:b/>
          <w:bCs/>
        </w:rPr>
      </w:pPr>
      <w:r>
        <w:rPr>
          <w:rFonts w:ascii="Arial" w:hAnsi="Arial" w:cs="Arial"/>
          <w:b/>
          <w:bCs/>
        </w:rPr>
        <w:br w:type="page"/>
      </w:r>
    </w:p>
    <w:p w14:paraId="6E292C43" w14:textId="776646AC" w:rsidR="00792162" w:rsidRDefault="00775148" w:rsidP="009C1B4F">
      <w:pPr>
        <w:contextualSpacing/>
        <w:rPr>
          <w:rFonts w:ascii="Arial" w:hAnsi="Arial" w:cs="Arial"/>
          <w:b/>
          <w:bCs/>
        </w:rPr>
      </w:pPr>
      <w:r w:rsidRPr="00287338">
        <w:rPr>
          <w:rFonts w:ascii="Arial" w:hAnsi="Arial" w:cs="Arial"/>
          <w:b/>
          <w:bCs/>
        </w:rPr>
        <w:lastRenderedPageBreak/>
        <w:t>Staff-</w:t>
      </w:r>
      <w:r w:rsidR="00C37A33">
        <w:rPr>
          <w:rFonts w:ascii="Arial" w:hAnsi="Arial" w:cs="Arial"/>
          <w:b/>
          <w:bCs/>
        </w:rPr>
        <w:t>11</w:t>
      </w:r>
    </w:p>
    <w:p w14:paraId="519DDA83" w14:textId="77777777" w:rsidR="006711FD" w:rsidRPr="00287338" w:rsidRDefault="006711FD" w:rsidP="009C1B4F">
      <w:pPr>
        <w:contextualSpacing/>
        <w:rPr>
          <w:rFonts w:ascii="Arial" w:hAnsi="Arial" w:cs="Arial"/>
          <w:b/>
          <w:bCs/>
        </w:rPr>
      </w:pPr>
    </w:p>
    <w:p w14:paraId="6015CBA0" w14:textId="77777777" w:rsidR="0072456C" w:rsidRDefault="00F72954" w:rsidP="003B7925">
      <w:pPr>
        <w:ind w:left="540" w:hanging="540"/>
        <w:rPr>
          <w:rFonts w:ascii="Arial" w:hAnsi="Arial" w:cs="Arial"/>
        </w:rPr>
      </w:pPr>
      <w:r w:rsidRPr="00287338">
        <w:rPr>
          <w:rFonts w:ascii="Arial" w:hAnsi="Arial" w:cs="Arial"/>
          <w:b/>
          <w:bCs/>
        </w:rPr>
        <w:t>Reference</w:t>
      </w:r>
      <w:r w:rsidR="005B7739" w:rsidRPr="00287338">
        <w:rPr>
          <w:rFonts w:ascii="Arial" w:hAnsi="Arial" w:cs="Arial"/>
          <w:b/>
          <w:bCs/>
        </w:rPr>
        <w:t>(</w:t>
      </w:r>
      <w:r w:rsidRPr="00287338">
        <w:rPr>
          <w:rFonts w:ascii="Arial" w:hAnsi="Arial" w:cs="Arial"/>
          <w:b/>
          <w:bCs/>
        </w:rPr>
        <w:t>s</w:t>
      </w:r>
      <w:r w:rsidR="005B7739" w:rsidRPr="00287338">
        <w:rPr>
          <w:rFonts w:ascii="Arial" w:hAnsi="Arial" w:cs="Arial"/>
          <w:b/>
          <w:bCs/>
        </w:rPr>
        <w:t>)</w:t>
      </w:r>
      <w:r w:rsidRPr="00287338">
        <w:rPr>
          <w:rFonts w:ascii="Arial" w:hAnsi="Arial" w:cs="Arial"/>
          <w:b/>
          <w:bCs/>
        </w:rPr>
        <w:t>:</w:t>
      </w:r>
    </w:p>
    <w:p w14:paraId="2353FAD9" w14:textId="6766714F" w:rsidR="00F72954" w:rsidRPr="00287338" w:rsidRDefault="00F72954" w:rsidP="00A57FA7">
      <w:pPr>
        <w:ind w:left="720" w:hanging="720"/>
        <w:rPr>
          <w:rFonts w:ascii="Arial" w:hAnsi="Arial" w:cs="Arial"/>
        </w:rPr>
      </w:pPr>
      <w:r w:rsidRPr="00287338">
        <w:rPr>
          <w:rFonts w:ascii="Arial" w:hAnsi="Arial" w:cs="Arial"/>
          <w:b/>
          <w:bCs/>
        </w:rPr>
        <w:t>Ref 1:</w:t>
      </w:r>
      <w:r w:rsidRPr="00287338">
        <w:rPr>
          <w:rFonts w:ascii="Arial" w:hAnsi="Arial" w:cs="Arial"/>
        </w:rPr>
        <w:t xml:space="preserve"> 2026 Commodity Accounts Analysis Workform, Tab: Account 1588, Note 7, Cell F20</w:t>
      </w:r>
    </w:p>
    <w:p w14:paraId="67CB146C" w14:textId="77777777" w:rsidR="00F72954" w:rsidRPr="00287338" w:rsidRDefault="00F72954" w:rsidP="003B7925">
      <w:pPr>
        <w:rPr>
          <w:rFonts w:ascii="Arial" w:hAnsi="Arial" w:cs="Arial"/>
        </w:rPr>
      </w:pPr>
      <w:r w:rsidRPr="00287338">
        <w:rPr>
          <w:rFonts w:ascii="Arial" w:hAnsi="Arial" w:cs="Arial"/>
          <w:b/>
          <w:bCs/>
        </w:rPr>
        <w:t>Preamble:</w:t>
      </w:r>
      <w:r w:rsidRPr="00287338">
        <w:rPr>
          <w:rFonts w:ascii="Arial" w:hAnsi="Arial" w:cs="Arial"/>
        </w:rPr>
        <w:br/>
        <w:t>OEB staff notes that the amount reported in Ref 1 for Account 4705 – Power Purchased ($12,939,216) does not reconcile with the corresponding 2024 Reporting and Record-Keeping Requirements (RRR) data.</w:t>
      </w:r>
    </w:p>
    <w:p w14:paraId="7AB14E9D" w14:textId="77777777" w:rsidR="00123675" w:rsidRDefault="00F72954" w:rsidP="00123675">
      <w:pPr>
        <w:rPr>
          <w:rFonts w:ascii="Arial" w:hAnsi="Arial" w:cs="Arial"/>
          <w:b/>
          <w:bCs/>
        </w:rPr>
      </w:pPr>
      <w:r w:rsidRPr="00287338">
        <w:rPr>
          <w:rFonts w:ascii="Arial" w:hAnsi="Arial" w:cs="Arial"/>
          <w:b/>
          <w:bCs/>
        </w:rPr>
        <w:t>Question(s):</w:t>
      </w:r>
    </w:p>
    <w:p w14:paraId="4C3084BF" w14:textId="45015075" w:rsidR="00A37A48" w:rsidRPr="00287338" w:rsidRDefault="00F72954" w:rsidP="00123675">
      <w:pPr>
        <w:pStyle w:val="ListParagraph"/>
        <w:numPr>
          <w:ilvl w:val="0"/>
          <w:numId w:val="17"/>
        </w:numPr>
        <w:ind w:left="360"/>
        <w:rPr>
          <w:rFonts w:ascii="Arial" w:hAnsi="Arial" w:cs="Arial"/>
          <w:b/>
          <w:bCs/>
        </w:rPr>
      </w:pPr>
      <w:r w:rsidRPr="00287338">
        <w:rPr>
          <w:rFonts w:ascii="Arial" w:hAnsi="Arial" w:cs="Arial"/>
        </w:rPr>
        <w:t xml:space="preserve">Please explain the variance and update the </w:t>
      </w:r>
      <w:r w:rsidR="00B35361">
        <w:rPr>
          <w:rFonts w:ascii="Arial" w:hAnsi="Arial" w:cs="Arial"/>
        </w:rPr>
        <w:t>Rate Generator M</w:t>
      </w:r>
      <w:r w:rsidRPr="00287338">
        <w:rPr>
          <w:rFonts w:ascii="Arial" w:hAnsi="Arial" w:cs="Arial"/>
        </w:rPr>
        <w:t>odel to reflect the correct 2024 RRR data.</w:t>
      </w:r>
    </w:p>
    <w:p w14:paraId="4B212B56" w14:textId="526BCB30" w:rsidR="004D21D1" w:rsidRDefault="00A62469" w:rsidP="00EE1742">
      <w:pPr>
        <w:contextualSpacing/>
        <w:rPr>
          <w:rFonts w:ascii="Arial" w:hAnsi="Arial" w:cs="Arial"/>
          <w:b/>
          <w:bCs/>
        </w:rPr>
      </w:pPr>
      <w:r w:rsidRPr="00A62469">
        <w:rPr>
          <w:rFonts w:ascii="Arial" w:hAnsi="Arial" w:cs="Arial"/>
          <w:b/>
          <w:bCs/>
        </w:rPr>
        <w:t>THI Response:</w:t>
      </w:r>
    </w:p>
    <w:p w14:paraId="2EE130AB" w14:textId="77777777" w:rsidR="00A62469" w:rsidRDefault="00A62469" w:rsidP="00EE1742">
      <w:pPr>
        <w:contextualSpacing/>
        <w:rPr>
          <w:rFonts w:ascii="Arial" w:hAnsi="Arial" w:cs="Arial"/>
          <w:b/>
          <w:bCs/>
        </w:rPr>
      </w:pPr>
    </w:p>
    <w:p w14:paraId="0C01A3D2" w14:textId="382F310C" w:rsidR="00A62469" w:rsidRPr="00A62469" w:rsidRDefault="00A62469" w:rsidP="00EE1742">
      <w:pPr>
        <w:contextualSpacing/>
        <w:rPr>
          <w:rFonts w:ascii="Arial" w:hAnsi="Arial" w:cs="Arial"/>
        </w:rPr>
      </w:pPr>
      <w:r>
        <w:rPr>
          <w:rFonts w:ascii="Arial" w:hAnsi="Arial" w:cs="Arial"/>
        </w:rPr>
        <w:t>The a</w:t>
      </w:r>
      <w:r w:rsidRPr="00A62469">
        <w:rPr>
          <w:rFonts w:ascii="Arial" w:hAnsi="Arial" w:cs="Arial"/>
        </w:rPr>
        <w:t xml:space="preserve">mount </w:t>
      </w:r>
      <w:r>
        <w:rPr>
          <w:rFonts w:ascii="Arial" w:hAnsi="Arial" w:cs="Arial"/>
        </w:rPr>
        <w:t xml:space="preserve">has been updated </w:t>
      </w:r>
      <w:r w:rsidRPr="00A62469">
        <w:rPr>
          <w:rFonts w:ascii="Arial" w:hAnsi="Arial" w:cs="Arial"/>
        </w:rPr>
        <w:t xml:space="preserve">in Ref 1 for Account 4705 – Power Purchased ($12,939,216) </w:t>
      </w:r>
      <w:r>
        <w:rPr>
          <w:rFonts w:ascii="Arial" w:hAnsi="Arial" w:cs="Arial"/>
        </w:rPr>
        <w:t xml:space="preserve">to </w:t>
      </w:r>
      <w:r w:rsidRPr="00A62469">
        <w:rPr>
          <w:rFonts w:ascii="Arial" w:hAnsi="Arial" w:cs="Arial"/>
        </w:rPr>
        <w:t>reconcile with the corresponding 2024 Reporting and Record-Keeping Requirements (RRR) data</w:t>
      </w:r>
      <w:r>
        <w:rPr>
          <w:rFonts w:ascii="Arial" w:hAnsi="Arial" w:cs="Arial"/>
        </w:rPr>
        <w:t>.</w:t>
      </w:r>
    </w:p>
    <w:p w14:paraId="02FE5638" w14:textId="77777777" w:rsidR="00A62469" w:rsidRDefault="00A62469" w:rsidP="00865752">
      <w:pPr>
        <w:spacing w:after="240"/>
        <w:contextualSpacing/>
        <w:rPr>
          <w:rFonts w:ascii="Arial" w:hAnsi="Arial" w:cs="Arial"/>
          <w:b/>
        </w:rPr>
      </w:pPr>
    </w:p>
    <w:p w14:paraId="3F90A029" w14:textId="77777777" w:rsidR="00A62469" w:rsidRDefault="00A62469">
      <w:pPr>
        <w:rPr>
          <w:rFonts w:ascii="Arial" w:hAnsi="Arial" w:cs="Arial"/>
          <w:b/>
        </w:rPr>
      </w:pPr>
      <w:r>
        <w:rPr>
          <w:rFonts w:ascii="Arial" w:hAnsi="Arial" w:cs="Arial"/>
          <w:b/>
        </w:rPr>
        <w:br w:type="page"/>
      </w:r>
    </w:p>
    <w:p w14:paraId="6D4085B5" w14:textId="34807837" w:rsidR="00865752" w:rsidRPr="008F059C" w:rsidRDefault="00865752" w:rsidP="00865752">
      <w:pPr>
        <w:spacing w:after="240"/>
        <w:contextualSpacing/>
        <w:rPr>
          <w:rFonts w:ascii="Arial" w:hAnsi="Arial" w:cs="Arial"/>
          <w:b/>
        </w:rPr>
      </w:pPr>
      <w:r w:rsidRPr="008F059C">
        <w:rPr>
          <w:rFonts w:ascii="Arial" w:hAnsi="Arial" w:cs="Arial"/>
          <w:b/>
        </w:rPr>
        <w:lastRenderedPageBreak/>
        <w:t>Staff-</w:t>
      </w:r>
      <w:r w:rsidR="00C37A33">
        <w:rPr>
          <w:rFonts w:ascii="Arial" w:hAnsi="Arial" w:cs="Arial"/>
          <w:b/>
        </w:rPr>
        <w:t>12</w:t>
      </w:r>
    </w:p>
    <w:p w14:paraId="17725AD0" w14:textId="77777777" w:rsidR="00865752" w:rsidRPr="008F059C" w:rsidRDefault="00865752" w:rsidP="00865752">
      <w:pPr>
        <w:spacing w:after="240"/>
        <w:contextualSpacing/>
        <w:rPr>
          <w:rFonts w:ascii="Arial" w:hAnsi="Arial" w:cs="Arial"/>
          <w:b/>
        </w:rPr>
      </w:pPr>
    </w:p>
    <w:p w14:paraId="78E597B5" w14:textId="2A75ADA7" w:rsidR="00865752" w:rsidRPr="008F059C" w:rsidRDefault="00865752" w:rsidP="00865752">
      <w:pPr>
        <w:spacing w:after="240"/>
        <w:contextualSpacing/>
        <w:rPr>
          <w:rFonts w:ascii="Arial" w:hAnsi="Arial" w:cs="Arial"/>
          <w:b/>
        </w:rPr>
      </w:pPr>
      <w:r w:rsidRPr="008F059C">
        <w:rPr>
          <w:rFonts w:ascii="Arial" w:hAnsi="Arial" w:cs="Arial"/>
          <w:b/>
        </w:rPr>
        <w:t>Ref 1:</w:t>
      </w:r>
      <w:r w:rsidR="00EF520C" w:rsidRPr="008F059C">
        <w:rPr>
          <w:rFonts w:ascii="Arial" w:hAnsi="Arial" w:cs="Arial"/>
          <w:b/>
        </w:rPr>
        <w:t xml:space="preserve"> </w:t>
      </w:r>
      <w:r w:rsidR="00072B17" w:rsidRPr="008F059C">
        <w:rPr>
          <w:rFonts w:ascii="Arial" w:hAnsi="Arial" w:cs="Arial"/>
          <w:bCs/>
        </w:rPr>
        <w:t>Rate Generator Model,</w:t>
      </w:r>
      <w:r w:rsidR="009F1CC7" w:rsidRPr="008F059C">
        <w:rPr>
          <w:rFonts w:ascii="Arial" w:hAnsi="Arial" w:cs="Arial"/>
          <w:bCs/>
        </w:rPr>
        <w:t xml:space="preserve"> Tab 11 RTSR -UTRs &amp; Sub-Tx</w:t>
      </w:r>
      <w:r w:rsidR="00226071" w:rsidRPr="008F059C">
        <w:rPr>
          <w:rFonts w:ascii="Arial" w:hAnsi="Arial" w:cs="Arial"/>
          <w:bCs/>
        </w:rPr>
        <w:t>, Column L</w:t>
      </w:r>
    </w:p>
    <w:p w14:paraId="00137BB2" w14:textId="77777777" w:rsidR="00865752" w:rsidRPr="008F059C" w:rsidRDefault="00865752" w:rsidP="00865752">
      <w:pPr>
        <w:spacing w:after="240"/>
        <w:contextualSpacing/>
        <w:rPr>
          <w:rFonts w:ascii="Arial" w:hAnsi="Arial" w:cs="Arial"/>
          <w:b/>
        </w:rPr>
      </w:pPr>
    </w:p>
    <w:p w14:paraId="2DE8280E" w14:textId="4FE97888" w:rsidR="00EF520C" w:rsidRPr="008F059C" w:rsidRDefault="00EF520C" w:rsidP="00865752">
      <w:pPr>
        <w:spacing w:after="240"/>
        <w:contextualSpacing/>
        <w:rPr>
          <w:rFonts w:ascii="Arial" w:hAnsi="Arial" w:cs="Arial"/>
          <w:b/>
        </w:rPr>
      </w:pPr>
      <w:r w:rsidRPr="008F059C">
        <w:rPr>
          <w:rFonts w:ascii="Arial" w:hAnsi="Arial" w:cs="Arial"/>
          <w:b/>
        </w:rPr>
        <w:t>Preamble:</w:t>
      </w:r>
    </w:p>
    <w:p w14:paraId="0FBCF569" w14:textId="280E2884" w:rsidR="00865752" w:rsidRPr="008F059C" w:rsidRDefault="000611FD" w:rsidP="00865752">
      <w:pPr>
        <w:spacing w:after="240"/>
        <w:contextualSpacing/>
        <w:rPr>
          <w:rFonts w:ascii="Arial" w:hAnsi="Arial" w:cs="Arial"/>
          <w:bCs/>
        </w:rPr>
      </w:pPr>
      <w:r w:rsidRPr="008F059C">
        <w:rPr>
          <w:rFonts w:ascii="Arial" w:hAnsi="Arial" w:cs="Arial"/>
          <w:bCs/>
        </w:rPr>
        <w:t xml:space="preserve">On </w:t>
      </w:r>
      <w:r w:rsidR="003A572F" w:rsidRPr="008F059C">
        <w:rPr>
          <w:rFonts w:ascii="Arial" w:hAnsi="Arial" w:cs="Arial"/>
          <w:bCs/>
        </w:rPr>
        <w:t>January 15, 2026</w:t>
      </w:r>
      <w:r w:rsidR="0029668F" w:rsidRPr="008F059C">
        <w:rPr>
          <w:rFonts w:ascii="Arial" w:hAnsi="Arial" w:cs="Arial"/>
          <w:bCs/>
        </w:rPr>
        <w:t>,</w:t>
      </w:r>
      <w:r w:rsidR="00FE12ED" w:rsidRPr="008F059C">
        <w:rPr>
          <w:rStyle w:val="FootnoteReference"/>
          <w:rFonts w:ascii="Arial" w:hAnsi="Arial" w:cs="Arial"/>
          <w:bCs/>
        </w:rPr>
        <w:footnoteReference w:id="3"/>
      </w:r>
      <w:r w:rsidR="0029668F" w:rsidRPr="008F059C">
        <w:rPr>
          <w:rFonts w:ascii="Arial" w:hAnsi="Arial" w:cs="Arial"/>
          <w:bCs/>
        </w:rPr>
        <w:t xml:space="preserve"> the OEB approved ne</w:t>
      </w:r>
      <w:r w:rsidR="00665309" w:rsidRPr="008F059C">
        <w:rPr>
          <w:rFonts w:ascii="Arial" w:hAnsi="Arial" w:cs="Arial"/>
          <w:bCs/>
        </w:rPr>
        <w:t>w</w:t>
      </w:r>
      <w:r w:rsidR="0029668F" w:rsidRPr="008F059C">
        <w:rPr>
          <w:rFonts w:ascii="Arial" w:hAnsi="Arial" w:cs="Arial"/>
          <w:bCs/>
        </w:rPr>
        <w:t xml:space="preserve"> Uniform Transmission </w:t>
      </w:r>
      <w:r w:rsidR="00132991" w:rsidRPr="008F059C">
        <w:rPr>
          <w:rFonts w:ascii="Arial" w:hAnsi="Arial" w:cs="Arial"/>
          <w:bCs/>
        </w:rPr>
        <w:t>R</w:t>
      </w:r>
      <w:r w:rsidR="0029668F" w:rsidRPr="008F059C">
        <w:rPr>
          <w:rFonts w:ascii="Arial" w:hAnsi="Arial" w:cs="Arial"/>
          <w:bCs/>
        </w:rPr>
        <w:t>ates</w:t>
      </w:r>
      <w:r w:rsidR="00BF0A9F">
        <w:rPr>
          <w:rFonts w:ascii="Arial" w:hAnsi="Arial" w:cs="Arial"/>
          <w:bCs/>
        </w:rPr>
        <w:t xml:space="preserve"> (UTR)</w:t>
      </w:r>
      <w:r w:rsidR="00132991" w:rsidRPr="008F059C">
        <w:rPr>
          <w:rFonts w:ascii="Arial" w:hAnsi="Arial" w:cs="Arial"/>
          <w:bCs/>
        </w:rPr>
        <w:t xml:space="preserve">. OEB staff has updated </w:t>
      </w:r>
      <w:r w:rsidR="000348CD" w:rsidRPr="008F059C">
        <w:rPr>
          <w:rFonts w:ascii="Arial" w:hAnsi="Arial" w:cs="Arial"/>
          <w:bCs/>
        </w:rPr>
        <w:t xml:space="preserve">Ref 1 to reflect </w:t>
      </w:r>
      <w:r w:rsidR="00EF0907" w:rsidRPr="008F059C">
        <w:rPr>
          <w:rFonts w:ascii="Arial" w:hAnsi="Arial" w:cs="Arial"/>
          <w:bCs/>
        </w:rPr>
        <w:t xml:space="preserve">the most recent </w:t>
      </w:r>
      <w:r w:rsidR="00BF0A9F">
        <w:rPr>
          <w:rFonts w:ascii="Arial" w:hAnsi="Arial" w:cs="Arial"/>
          <w:bCs/>
        </w:rPr>
        <w:t xml:space="preserve">UTR </w:t>
      </w:r>
      <w:r w:rsidR="00EF0907" w:rsidRPr="008F059C">
        <w:rPr>
          <w:rFonts w:ascii="Arial" w:hAnsi="Arial" w:cs="Arial"/>
          <w:bCs/>
        </w:rPr>
        <w:t>values established by the OEB</w:t>
      </w:r>
      <w:r w:rsidR="000348CD" w:rsidRPr="008F059C">
        <w:rPr>
          <w:rFonts w:ascii="Arial" w:hAnsi="Arial" w:cs="Arial"/>
          <w:bCs/>
        </w:rPr>
        <w:t>.</w:t>
      </w:r>
    </w:p>
    <w:p w14:paraId="1DAA9532" w14:textId="77777777" w:rsidR="000348CD" w:rsidRPr="008F059C" w:rsidRDefault="000348CD" w:rsidP="00865752">
      <w:pPr>
        <w:spacing w:after="240"/>
        <w:contextualSpacing/>
        <w:rPr>
          <w:rFonts w:ascii="Arial" w:hAnsi="Arial" w:cs="Arial"/>
          <w:b/>
        </w:rPr>
      </w:pPr>
    </w:p>
    <w:p w14:paraId="4D1175DE" w14:textId="5F566065" w:rsidR="00865752" w:rsidRPr="008F059C" w:rsidRDefault="00865752" w:rsidP="00865752">
      <w:pPr>
        <w:spacing w:after="240"/>
        <w:contextualSpacing/>
        <w:rPr>
          <w:rFonts w:ascii="Arial" w:hAnsi="Arial" w:cs="Arial"/>
          <w:b/>
        </w:rPr>
      </w:pPr>
      <w:r w:rsidRPr="008F059C">
        <w:rPr>
          <w:rFonts w:ascii="Arial" w:hAnsi="Arial" w:cs="Arial"/>
          <w:b/>
        </w:rPr>
        <w:t xml:space="preserve">Question(s):  </w:t>
      </w:r>
    </w:p>
    <w:p w14:paraId="31E3A389" w14:textId="77777777" w:rsidR="00865752" w:rsidRPr="008F059C" w:rsidRDefault="00865752" w:rsidP="005745B6">
      <w:pPr>
        <w:pStyle w:val="ListParagraph"/>
        <w:numPr>
          <w:ilvl w:val="0"/>
          <w:numId w:val="15"/>
        </w:numPr>
        <w:spacing w:after="240" w:line="276" w:lineRule="auto"/>
        <w:ind w:left="360"/>
        <w:rPr>
          <w:rFonts w:ascii="Arial" w:hAnsi="Arial" w:cs="Arial"/>
          <w:bCs/>
        </w:rPr>
      </w:pPr>
      <w:r w:rsidRPr="008F059C">
        <w:rPr>
          <w:rFonts w:ascii="Arial" w:hAnsi="Arial" w:cs="Arial"/>
          <w:bCs/>
        </w:rPr>
        <w:t>Please review the updated Rate Generator Model and confirm whether the incorporated changes are accurate. If any discrepancies are identified, please provide corrections and supporting rationale.</w:t>
      </w:r>
    </w:p>
    <w:p w14:paraId="23F6C5DD" w14:textId="241AB5E5" w:rsidR="00865752" w:rsidRPr="00A62469" w:rsidRDefault="00A62469" w:rsidP="00EE1742">
      <w:pPr>
        <w:rPr>
          <w:rFonts w:ascii="Arial" w:hAnsi="Arial" w:cs="Arial"/>
          <w:b/>
          <w:bCs/>
        </w:rPr>
      </w:pPr>
      <w:r w:rsidRPr="00A62469">
        <w:rPr>
          <w:rFonts w:ascii="Arial" w:hAnsi="Arial" w:cs="Arial"/>
          <w:b/>
          <w:bCs/>
        </w:rPr>
        <w:t>THI Response:</w:t>
      </w:r>
    </w:p>
    <w:p w14:paraId="15F54E8C" w14:textId="433BB719" w:rsidR="00A62469" w:rsidRPr="00287338" w:rsidRDefault="00A62469" w:rsidP="00EE1742">
      <w:pPr>
        <w:rPr>
          <w:rFonts w:ascii="Arial" w:hAnsi="Arial" w:cs="Arial"/>
        </w:rPr>
      </w:pPr>
      <w:r>
        <w:rPr>
          <w:rFonts w:ascii="Arial" w:hAnsi="Arial" w:cs="Arial"/>
        </w:rPr>
        <w:t xml:space="preserve">Yes, we confirm that </w:t>
      </w:r>
      <w:r w:rsidRPr="00A62469">
        <w:rPr>
          <w:rFonts w:ascii="Arial" w:hAnsi="Arial" w:cs="Arial"/>
        </w:rPr>
        <w:t xml:space="preserve">the updated </w:t>
      </w:r>
      <w:r w:rsidR="00DC2B70">
        <w:rPr>
          <w:rFonts w:ascii="Arial" w:hAnsi="Arial" w:cs="Arial"/>
        </w:rPr>
        <w:t xml:space="preserve">changes to the </w:t>
      </w:r>
      <w:r w:rsidR="00DC2B70" w:rsidRPr="00DC2B70">
        <w:rPr>
          <w:rFonts w:ascii="Arial" w:hAnsi="Arial" w:cs="Arial"/>
        </w:rPr>
        <w:t>Uniform Transmission Rates (UTR)</w:t>
      </w:r>
      <w:r w:rsidR="00DC2B70">
        <w:rPr>
          <w:rFonts w:ascii="Arial" w:hAnsi="Arial" w:cs="Arial"/>
        </w:rPr>
        <w:t xml:space="preserve"> in the </w:t>
      </w:r>
      <w:r w:rsidRPr="00A62469">
        <w:rPr>
          <w:rFonts w:ascii="Arial" w:hAnsi="Arial" w:cs="Arial"/>
        </w:rPr>
        <w:t>Rate Generator Model are accurate</w:t>
      </w:r>
      <w:r>
        <w:rPr>
          <w:rFonts w:ascii="Arial" w:hAnsi="Arial" w:cs="Arial"/>
        </w:rPr>
        <w:t>.</w:t>
      </w:r>
    </w:p>
    <w:sectPr w:rsidR="00A62469" w:rsidRPr="00287338">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E48FB" w14:textId="77777777" w:rsidR="00321FE7" w:rsidRDefault="00321FE7" w:rsidP="008D53AD">
      <w:pPr>
        <w:spacing w:after="0" w:line="240" w:lineRule="auto"/>
      </w:pPr>
      <w:r>
        <w:separator/>
      </w:r>
    </w:p>
  </w:endnote>
  <w:endnote w:type="continuationSeparator" w:id="0">
    <w:p w14:paraId="37B803A6" w14:textId="77777777" w:rsidR="00321FE7" w:rsidRDefault="00321FE7" w:rsidP="008D53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1870746"/>
      <w:docPartObj>
        <w:docPartGallery w:val="Page Numbers (Bottom of Page)"/>
        <w:docPartUnique/>
      </w:docPartObj>
    </w:sdtPr>
    <w:sdtEndPr>
      <w:rPr>
        <w:rFonts w:ascii="Arial" w:hAnsi="Arial" w:cs="Arial"/>
        <w:noProof/>
      </w:rPr>
    </w:sdtEndPr>
    <w:sdtContent>
      <w:p w14:paraId="0277C134" w14:textId="4ADE6F1A" w:rsidR="004C78B0" w:rsidRPr="004C78B0" w:rsidRDefault="004C78B0">
        <w:pPr>
          <w:pStyle w:val="Footer"/>
          <w:jc w:val="right"/>
          <w:rPr>
            <w:rFonts w:ascii="Arial" w:hAnsi="Arial" w:cs="Arial"/>
          </w:rPr>
        </w:pPr>
        <w:r w:rsidRPr="004C78B0">
          <w:rPr>
            <w:rFonts w:ascii="Arial" w:hAnsi="Arial" w:cs="Arial"/>
          </w:rPr>
          <w:fldChar w:fldCharType="begin"/>
        </w:r>
        <w:r w:rsidRPr="004C78B0">
          <w:rPr>
            <w:rFonts w:ascii="Arial" w:hAnsi="Arial" w:cs="Arial"/>
          </w:rPr>
          <w:instrText xml:space="preserve"> PAGE   \* MERGEFORMAT </w:instrText>
        </w:r>
        <w:r w:rsidRPr="004C78B0">
          <w:rPr>
            <w:rFonts w:ascii="Arial" w:hAnsi="Arial" w:cs="Arial"/>
          </w:rPr>
          <w:fldChar w:fldCharType="separate"/>
        </w:r>
        <w:r w:rsidRPr="004C78B0">
          <w:rPr>
            <w:rFonts w:ascii="Arial" w:hAnsi="Arial" w:cs="Arial"/>
            <w:noProof/>
          </w:rPr>
          <w:t>2</w:t>
        </w:r>
        <w:r w:rsidRPr="004C78B0">
          <w:rPr>
            <w:rFonts w:ascii="Arial" w:hAnsi="Arial"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CF1D6" w14:textId="77777777" w:rsidR="00321FE7" w:rsidRDefault="00321FE7" w:rsidP="008D53AD">
      <w:pPr>
        <w:spacing w:after="0" w:line="240" w:lineRule="auto"/>
      </w:pPr>
      <w:r>
        <w:separator/>
      </w:r>
    </w:p>
  </w:footnote>
  <w:footnote w:type="continuationSeparator" w:id="0">
    <w:p w14:paraId="1355DFF2" w14:textId="77777777" w:rsidR="00321FE7" w:rsidRDefault="00321FE7" w:rsidP="008D53AD">
      <w:pPr>
        <w:spacing w:after="0" w:line="240" w:lineRule="auto"/>
      </w:pPr>
      <w:r>
        <w:continuationSeparator/>
      </w:r>
    </w:p>
  </w:footnote>
  <w:footnote w:id="1">
    <w:p w14:paraId="74339318" w14:textId="7DD7D919" w:rsidR="00FB573F" w:rsidRPr="00287338" w:rsidRDefault="00FB573F" w:rsidP="00FB573F">
      <w:pPr>
        <w:pStyle w:val="FootnoteText"/>
        <w:rPr>
          <w:rFonts w:ascii="Arial" w:hAnsi="Arial" w:cs="Arial"/>
          <w:lang w:val="en-CA"/>
        </w:rPr>
      </w:pPr>
      <w:r w:rsidRPr="00287338">
        <w:rPr>
          <w:rStyle w:val="FootnoteReference"/>
          <w:rFonts w:ascii="Arial" w:hAnsi="Arial" w:cs="Arial"/>
        </w:rPr>
        <w:footnoteRef/>
      </w:r>
      <w:r w:rsidRPr="00287338">
        <w:rPr>
          <w:rFonts w:ascii="Arial" w:hAnsi="Arial" w:cs="Arial"/>
        </w:rPr>
        <w:t xml:space="preserve"> </w:t>
      </w:r>
      <w:r w:rsidRPr="00287338">
        <w:rPr>
          <w:rFonts w:ascii="Arial" w:hAnsi="Arial" w:cs="Arial"/>
          <w:lang w:val="en-CA"/>
        </w:rPr>
        <w:t>EB-2024-0056</w:t>
      </w:r>
      <w:r w:rsidR="00E4094F" w:rsidRPr="00287338">
        <w:rPr>
          <w:rFonts w:ascii="Arial" w:hAnsi="Arial" w:cs="Arial"/>
          <w:lang w:val="en-CA"/>
        </w:rPr>
        <w:t xml:space="preserve">, </w:t>
      </w:r>
      <w:r w:rsidR="00E72B53" w:rsidRPr="00287338">
        <w:rPr>
          <w:rFonts w:ascii="Arial" w:hAnsi="Arial" w:cs="Arial"/>
          <w:lang w:val="en-CA"/>
        </w:rPr>
        <w:t>2025_G</w:t>
      </w:r>
      <w:r w:rsidR="00665D25" w:rsidRPr="00287338">
        <w:rPr>
          <w:rFonts w:ascii="Arial" w:hAnsi="Arial" w:cs="Arial"/>
          <w:lang w:val="en-CA"/>
        </w:rPr>
        <w:t>A_Analysis_Workform_THI_EB-2024-0056_2025</w:t>
      </w:r>
      <w:r w:rsidR="0036214E" w:rsidRPr="00287338">
        <w:rPr>
          <w:rFonts w:ascii="Arial" w:hAnsi="Arial" w:cs="Arial"/>
          <w:lang w:val="en-CA"/>
        </w:rPr>
        <w:t>0207</w:t>
      </w:r>
      <w:r w:rsidR="00A141B6" w:rsidRPr="00287338">
        <w:rPr>
          <w:rFonts w:ascii="Arial" w:hAnsi="Arial" w:cs="Arial"/>
          <w:lang w:val="en-CA"/>
        </w:rPr>
        <w:t xml:space="preserve">, </w:t>
      </w:r>
      <w:r w:rsidR="005F3B58" w:rsidRPr="00287338">
        <w:rPr>
          <w:rFonts w:ascii="Arial" w:hAnsi="Arial" w:cs="Arial"/>
          <w:lang w:val="en-CA"/>
        </w:rPr>
        <w:t xml:space="preserve">Received </w:t>
      </w:r>
      <w:r w:rsidR="008A2876" w:rsidRPr="00287338">
        <w:rPr>
          <w:rFonts w:ascii="Arial" w:hAnsi="Arial" w:cs="Arial"/>
          <w:lang w:val="en-CA"/>
        </w:rPr>
        <w:t xml:space="preserve">by the OEB </w:t>
      </w:r>
      <w:r w:rsidR="005F3B58" w:rsidRPr="00287338">
        <w:rPr>
          <w:rFonts w:ascii="Arial" w:hAnsi="Arial" w:cs="Arial"/>
          <w:lang w:val="en-CA"/>
        </w:rPr>
        <w:t>on February 6, 2025</w:t>
      </w:r>
    </w:p>
  </w:footnote>
  <w:footnote w:id="2">
    <w:p w14:paraId="688C32A7" w14:textId="7C863538" w:rsidR="00F27D80" w:rsidRPr="00CF7D47" w:rsidRDefault="00F27D80">
      <w:pPr>
        <w:pStyle w:val="FootnoteText"/>
      </w:pPr>
      <w:r w:rsidRPr="00287338">
        <w:rPr>
          <w:rStyle w:val="FootnoteReference"/>
          <w:rFonts w:ascii="Arial" w:hAnsi="Arial" w:cs="Arial"/>
        </w:rPr>
        <w:footnoteRef/>
      </w:r>
      <w:r w:rsidRPr="00287338">
        <w:rPr>
          <w:rFonts w:ascii="Arial" w:hAnsi="Arial" w:cs="Arial"/>
        </w:rPr>
        <w:t xml:space="preserve"> Commodity Analysis Workform Instructions, </w:t>
      </w:r>
      <w:r w:rsidR="002875E3" w:rsidRPr="00287338">
        <w:rPr>
          <w:rFonts w:ascii="Arial" w:hAnsi="Arial" w:cs="Arial"/>
        </w:rPr>
        <w:t xml:space="preserve">Issued on </w:t>
      </w:r>
      <w:r w:rsidRPr="00287338">
        <w:rPr>
          <w:rFonts w:ascii="Arial" w:hAnsi="Arial" w:cs="Arial"/>
        </w:rPr>
        <w:t>May 7, 2025</w:t>
      </w:r>
      <w:r w:rsidR="006273A0" w:rsidRPr="00287338">
        <w:rPr>
          <w:rFonts w:ascii="Arial" w:hAnsi="Arial" w:cs="Arial"/>
        </w:rPr>
        <w:t>, Steps for Completing Commodity Accounts Analysis, Parts 8 and 9</w:t>
      </w:r>
    </w:p>
  </w:footnote>
  <w:footnote w:id="3">
    <w:p w14:paraId="4C896304" w14:textId="6CD436E5" w:rsidR="00FE12ED" w:rsidRPr="00FE12ED" w:rsidRDefault="00FE12ED">
      <w:pPr>
        <w:pStyle w:val="FootnoteText"/>
        <w:rPr>
          <w:lang w:val="en-CA"/>
        </w:rPr>
      </w:pPr>
      <w:r>
        <w:rPr>
          <w:rStyle w:val="FootnoteReference"/>
        </w:rPr>
        <w:footnoteRef/>
      </w:r>
      <w:r>
        <w:t xml:space="preserve"> </w:t>
      </w:r>
      <w:r w:rsidR="00132991" w:rsidRPr="00AD1D1C">
        <w:rPr>
          <w:rFonts w:ascii="Arial" w:hAnsi="Arial" w:cs="Arial"/>
        </w:rPr>
        <w:t>EB-2025-0232, Decision and Rate Order, January 15, 2026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3723C" w14:textId="70582EC1" w:rsidR="00377154" w:rsidRPr="000C557B" w:rsidRDefault="00377154" w:rsidP="00377154">
    <w:pPr>
      <w:pStyle w:val="Header"/>
      <w:rPr>
        <w:rFonts w:ascii="Arial" w:hAnsi="Arial" w:cs="Arial"/>
        <w:sz w:val="20"/>
        <w:szCs w:val="20"/>
      </w:rPr>
    </w:pPr>
    <w:r w:rsidRPr="000C557B">
      <w:rPr>
        <w:rFonts w:ascii="Arial" w:hAnsi="Arial" w:cs="Arial"/>
        <w:sz w:val="20"/>
        <w:szCs w:val="20"/>
      </w:rPr>
      <w:ptab w:relativeTo="margin" w:alignment="center" w:leader="none"/>
    </w:r>
    <w:r w:rsidRPr="000C557B">
      <w:rPr>
        <w:rFonts w:ascii="Arial" w:hAnsi="Arial" w:cs="Arial"/>
        <w:sz w:val="20"/>
        <w:szCs w:val="20"/>
      </w:rPr>
      <w:ptab w:relativeTo="margin" w:alignment="right" w:leader="none"/>
    </w:r>
    <w:r w:rsidRPr="000C557B">
      <w:rPr>
        <w:rFonts w:ascii="Arial" w:hAnsi="Arial" w:cs="Arial"/>
        <w:sz w:val="20"/>
        <w:szCs w:val="20"/>
      </w:rPr>
      <w:t>Tillsonburg Hydro Inc.</w:t>
    </w:r>
  </w:p>
  <w:p w14:paraId="77D2119B" w14:textId="7E4732D2" w:rsidR="00377154" w:rsidRPr="000C557B" w:rsidRDefault="00377154" w:rsidP="00377154">
    <w:pPr>
      <w:pStyle w:val="Header"/>
      <w:rPr>
        <w:rFonts w:ascii="Arial" w:hAnsi="Arial" w:cs="Arial"/>
        <w:sz w:val="20"/>
        <w:szCs w:val="20"/>
      </w:rPr>
    </w:pPr>
    <w:r w:rsidRPr="000C557B">
      <w:rPr>
        <w:rFonts w:ascii="Arial" w:hAnsi="Arial" w:cs="Arial"/>
        <w:sz w:val="20"/>
        <w:szCs w:val="20"/>
      </w:rPr>
      <w:tab/>
    </w:r>
    <w:r w:rsidRPr="000C557B">
      <w:rPr>
        <w:rFonts w:ascii="Arial" w:hAnsi="Arial" w:cs="Arial"/>
        <w:sz w:val="20"/>
        <w:szCs w:val="20"/>
      </w:rPr>
      <w:tab/>
      <w:t xml:space="preserve">OEB Staff </w:t>
    </w:r>
    <w:r w:rsidR="00EE1742" w:rsidRPr="000C557B">
      <w:rPr>
        <w:rFonts w:ascii="Arial" w:hAnsi="Arial" w:cs="Arial"/>
        <w:sz w:val="20"/>
        <w:szCs w:val="20"/>
      </w:rPr>
      <w:t xml:space="preserve">Follow-up </w:t>
    </w:r>
    <w:r w:rsidRPr="000C557B">
      <w:rPr>
        <w:rFonts w:ascii="Arial" w:hAnsi="Arial" w:cs="Arial"/>
        <w:sz w:val="20"/>
        <w:szCs w:val="20"/>
      </w:rPr>
      <w:t>Questions</w:t>
    </w:r>
  </w:p>
  <w:p w14:paraId="50FA4EC9" w14:textId="5010C4AE" w:rsidR="00377154" w:rsidRPr="000C557B" w:rsidRDefault="00377154" w:rsidP="00377154">
    <w:pPr>
      <w:pStyle w:val="Header"/>
      <w:rPr>
        <w:rFonts w:ascii="Arial" w:hAnsi="Arial" w:cs="Arial"/>
        <w:sz w:val="20"/>
        <w:szCs w:val="20"/>
      </w:rPr>
    </w:pPr>
    <w:r w:rsidRPr="000C557B">
      <w:rPr>
        <w:rFonts w:ascii="Arial" w:hAnsi="Arial" w:cs="Arial"/>
        <w:sz w:val="20"/>
        <w:szCs w:val="20"/>
      </w:rPr>
      <w:tab/>
    </w:r>
    <w:r w:rsidRPr="000C557B">
      <w:rPr>
        <w:rFonts w:ascii="Arial" w:hAnsi="Arial" w:cs="Arial"/>
        <w:sz w:val="20"/>
        <w:szCs w:val="20"/>
      </w:rPr>
      <w:tab/>
      <w:t>EB-2025-0007</w:t>
    </w:r>
  </w:p>
  <w:p w14:paraId="51197E06" w14:textId="77777777" w:rsidR="007D5C44" w:rsidRDefault="007D5C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40189"/>
    <w:multiLevelType w:val="hybridMultilevel"/>
    <w:tmpl w:val="3CD8BB9E"/>
    <w:lvl w:ilvl="0" w:tplc="5838F6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806B3"/>
    <w:multiLevelType w:val="hybridMultilevel"/>
    <w:tmpl w:val="FB10407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BB4919"/>
    <w:multiLevelType w:val="hybridMultilevel"/>
    <w:tmpl w:val="A762E6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2A5D9B"/>
    <w:multiLevelType w:val="hybridMultilevel"/>
    <w:tmpl w:val="A140BE84"/>
    <w:lvl w:ilvl="0" w:tplc="115A04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5EE44A3"/>
    <w:multiLevelType w:val="hybridMultilevel"/>
    <w:tmpl w:val="F58C7CBE"/>
    <w:lvl w:ilvl="0" w:tplc="FE8859C0">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DC55BE"/>
    <w:multiLevelType w:val="hybridMultilevel"/>
    <w:tmpl w:val="239A11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AF0472"/>
    <w:multiLevelType w:val="multilevel"/>
    <w:tmpl w:val="50C62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620BCB"/>
    <w:multiLevelType w:val="hybridMultilevel"/>
    <w:tmpl w:val="19B82328"/>
    <w:lvl w:ilvl="0" w:tplc="C9A2C6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1152101"/>
    <w:multiLevelType w:val="hybridMultilevel"/>
    <w:tmpl w:val="A92472A6"/>
    <w:lvl w:ilvl="0" w:tplc="5838F6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C4257B"/>
    <w:multiLevelType w:val="hybridMultilevel"/>
    <w:tmpl w:val="54084254"/>
    <w:lvl w:ilvl="0" w:tplc="AE2EC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0747694"/>
    <w:multiLevelType w:val="hybridMultilevel"/>
    <w:tmpl w:val="75DAB1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0373AA"/>
    <w:multiLevelType w:val="hybridMultilevel"/>
    <w:tmpl w:val="412245B6"/>
    <w:lvl w:ilvl="0" w:tplc="5838F6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6D542A"/>
    <w:multiLevelType w:val="multilevel"/>
    <w:tmpl w:val="1A5A4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ED0FEA"/>
    <w:multiLevelType w:val="hybridMultilevel"/>
    <w:tmpl w:val="6BA652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F47479"/>
    <w:multiLevelType w:val="hybridMultilevel"/>
    <w:tmpl w:val="A634C624"/>
    <w:lvl w:ilvl="0" w:tplc="5838F6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D2970A4"/>
    <w:multiLevelType w:val="hybridMultilevel"/>
    <w:tmpl w:val="2B721F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E4457F8"/>
    <w:multiLevelType w:val="hybridMultilevel"/>
    <w:tmpl w:val="F5869FD8"/>
    <w:lvl w:ilvl="0" w:tplc="14AA46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30946258">
    <w:abstractNumId w:val="15"/>
  </w:num>
  <w:num w:numId="2" w16cid:durableId="1086923107">
    <w:abstractNumId w:val="6"/>
  </w:num>
  <w:num w:numId="3" w16cid:durableId="179052581">
    <w:abstractNumId w:val="9"/>
  </w:num>
  <w:num w:numId="4" w16cid:durableId="370307116">
    <w:abstractNumId w:val="3"/>
  </w:num>
  <w:num w:numId="5" w16cid:durableId="730346822">
    <w:abstractNumId w:val="12"/>
  </w:num>
  <w:num w:numId="6" w16cid:durableId="97986569">
    <w:abstractNumId w:val="14"/>
  </w:num>
  <w:num w:numId="7" w16cid:durableId="676074235">
    <w:abstractNumId w:val="7"/>
  </w:num>
  <w:num w:numId="8" w16cid:durableId="395931248">
    <w:abstractNumId w:val="16"/>
  </w:num>
  <w:num w:numId="9" w16cid:durableId="1952780480">
    <w:abstractNumId w:val="10"/>
  </w:num>
  <w:num w:numId="10" w16cid:durableId="1193499490">
    <w:abstractNumId w:val="5"/>
  </w:num>
  <w:num w:numId="11" w16cid:durableId="281766670">
    <w:abstractNumId w:val="4"/>
  </w:num>
  <w:num w:numId="12" w16cid:durableId="1288509830">
    <w:abstractNumId w:val="11"/>
  </w:num>
  <w:num w:numId="13" w16cid:durableId="71589968">
    <w:abstractNumId w:val="8"/>
  </w:num>
  <w:num w:numId="14" w16cid:durableId="97482486">
    <w:abstractNumId w:val="0"/>
  </w:num>
  <w:num w:numId="15" w16cid:durableId="1983347218">
    <w:abstractNumId w:val="2"/>
  </w:num>
  <w:num w:numId="16" w16cid:durableId="661853908">
    <w:abstractNumId w:val="13"/>
  </w:num>
  <w:num w:numId="17" w16cid:durableId="16911051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44F"/>
    <w:rsid w:val="00007E55"/>
    <w:rsid w:val="00010A84"/>
    <w:rsid w:val="00023C7A"/>
    <w:rsid w:val="00032882"/>
    <w:rsid w:val="000348CD"/>
    <w:rsid w:val="000445E6"/>
    <w:rsid w:val="000611FD"/>
    <w:rsid w:val="00071A40"/>
    <w:rsid w:val="00072760"/>
    <w:rsid w:val="00072B17"/>
    <w:rsid w:val="0007376A"/>
    <w:rsid w:val="00073A5F"/>
    <w:rsid w:val="000848F5"/>
    <w:rsid w:val="000A14F7"/>
    <w:rsid w:val="000A1D17"/>
    <w:rsid w:val="000B4DD0"/>
    <w:rsid w:val="000C3EC7"/>
    <w:rsid w:val="000C557B"/>
    <w:rsid w:val="000D752F"/>
    <w:rsid w:val="000E4F7B"/>
    <w:rsid w:val="000E624B"/>
    <w:rsid w:val="000F10F3"/>
    <w:rsid w:val="00110A1D"/>
    <w:rsid w:val="00112E96"/>
    <w:rsid w:val="00121BCA"/>
    <w:rsid w:val="00123675"/>
    <w:rsid w:val="00127298"/>
    <w:rsid w:val="00131ED4"/>
    <w:rsid w:val="00132991"/>
    <w:rsid w:val="00133C2F"/>
    <w:rsid w:val="001524C7"/>
    <w:rsid w:val="001553EC"/>
    <w:rsid w:val="00157037"/>
    <w:rsid w:val="00157F1F"/>
    <w:rsid w:val="00164157"/>
    <w:rsid w:val="00165A71"/>
    <w:rsid w:val="00172625"/>
    <w:rsid w:val="00174122"/>
    <w:rsid w:val="001859B0"/>
    <w:rsid w:val="001A47CB"/>
    <w:rsid w:val="001A6882"/>
    <w:rsid w:val="001B3206"/>
    <w:rsid w:val="001D6245"/>
    <w:rsid w:val="001D6AC3"/>
    <w:rsid w:val="001F695D"/>
    <w:rsid w:val="00212DC7"/>
    <w:rsid w:val="00216358"/>
    <w:rsid w:val="0022058E"/>
    <w:rsid w:val="00226071"/>
    <w:rsid w:val="002306BA"/>
    <w:rsid w:val="00241E3A"/>
    <w:rsid w:val="00245324"/>
    <w:rsid w:val="0024605A"/>
    <w:rsid w:val="00246255"/>
    <w:rsid w:val="00256C3E"/>
    <w:rsid w:val="00256CAF"/>
    <w:rsid w:val="00266E98"/>
    <w:rsid w:val="00271FE0"/>
    <w:rsid w:val="00273A8B"/>
    <w:rsid w:val="00284719"/>
    <w:rsid w:val="00285166"/>
    <w:rsid w:val="00285228"/>
    <w:rsid w:val="00287338"/>
    <w:rsid w:val="002873B7"/>
    <w:rsid w:val="002875E3"/>
    <w:rsid w:val="002921E6"/>
    <w:rsid w:val="0029668F"/>
    <w:rsid w:val="002A7375"/>
    <w:rsid w:val="002B0F29"/>
    <w:rsid w:val="002B32DB"/>
    <w:rsid w:val="002B6C80"/>
    <w:rsid w:val="00300B5A"/>
    <w:rsid w:val="0031128F"/>
    <w:rsid w:val="00314FF6"/>
    <w:rsid w:val="00321FE7"/>
    <w:rsid w:val="00324CCB"/>
    <w:rsid w:val="00324D92"/>
    <w:rsid w:val="00350916"/>
    <w:rsid w:val="003534FD"/>
    <w:rsid w:val="0036214E"/>
    <w:rsid w:val="00364887"/>
    <w:rsid w:val="00377154"/>
    <w:rsid w:val="00377C4D"/>
    <w:rsid w:val="0039114C"/>
    <w:rsid w:val="00397C46"/>
    <w:rsid w:val="003A572F"/>
    <w:rsid w:val="003A5C19"/>
    <w:rsid w:val="003B7654"/>
    <w:rsid w:val="003B7925"/>
    <w:rsid w:val="003C0D0B"/>
    <w:rsid w:val="003C35B2"/>
    <w:rsid w:val="003D3E38"/>
    <w:rsid w:val="003D535F"/>
    <w:rsid w:val="003D6D39"/>
    <w:rsid w:val="004060F1"/>
    <w:rsid w:val="00410D94"/>
    <w:rsid w:val="00412251"/>
    <w:rsid w:val="00413103"/>
    <w:rsid w:val="004315DB"/>
    <w:rsid w:val="00435982"/>
    <w:rsid w:val="00435D7C"/>
    <w:rsid w:val="004409FD"/>
    <w:rsid w:val="0044504C"/>
    <w:rsid w:val="00462386"/>
    <w:rsid w:val="004640F6"/>
    <w:rsid w:val="00471910"/>
    <w:rsid w:val="00472CFF"/>
    <w:rsid w:val="00472E46"/>
    <w:rsid w:val="0047403C"/>
    <w:rsid w:val="0048405C"/>
    <w:rsid w:val="0048475C"/>
    <w:rsid w:val="004976E8"/>
    <w:rsid w:val="004C78B0"/>
    <w:rsid w:val="004D21D1"/>
    <w:rsid w:val="005115F6"/>
    <w:rsid w:val="00513884"/>
    <w:rsid w:val="00527308"/>
    <w:rsid w:val="00530FAC"/>
    <w:rsid w:val="00551B9E"/>
    <w:rsid w:val="00554B7D"/>
    <w:rsid w:val="00555A22"/>
    <w:rsid w:val="00562F76"/>
    <w:rsid w:val="00566807"/>
    <w:rsid w:val="005745B6"/>
    <w:rsid w:val="00584529"/>
    <w:rsid w:val="00591509"/>
    <w:rsid w:val="005A43A3"/>
    <w:rsid w:val="005B7739"/>
    <w:rsid w:val="005C02C3"/>
    <w:rsid w:val="005C4AAB"/>
    <w:rsid w:val="005E79A4"/>
    <w:rsid w:val="005F3B58"/>
    <w:rsid w:val="005F6C4D"/>
    <w:rsid w:val="005F78B7"/>
    <w:rsid w:val="00603ABE"/>
    <w:rsid w:val="006077B7"/>
    <w:rsid w:val="006273A0"/>
    <w:rsid w:val="00636E14"/>
    <w:rsid w:val="006418AA"/>
    <w:rsid w:val="00643288"/>
    <w:rsid w:val="00644392"/>
    <w:rsid w:val="0065099A"/>
    <w:rsid w:val="00655138"/>
    <w:rsid w:val="00665309"/>
    <w:rsid w:val="00665387"/>
    <w:rsid w:val="00665D25"/>
    <w:rsid w:val="006702B8"/>
    <w:rsid w:val="006711FD"/>
    <w:rsid w:val="00683344"/>
    <w:rsid w:val="00684A75"/>
    <w:rsid w:val="00697735"/>
    <w:rsid w:val="006A3322"/>
    <w:rsid w:val="006B12E7"/>
    <w:rsid w:val="006C3641"/>
    <w:rsid w:val="006F0DB1"/>
    <w:rsid w:val="006F34C6"/>
    <w:rsid w:val="00713E69"/>
    <w:rsid w:val="007160A8"/>
    <w:rsid w:val="0072456C"/>
    <w:rsid w:val="007469EF"/>
    <w:rsid w:val="00747DAB"/>
    <w:rsid w:val="00761E7D"/>
    <w:rsid w:val="00762F0F"/>
    <w:rsid w:val="0076407D"/>
    <w:rsid w:val="00775148"/>
    <w:rsid w:val="00792162"/>
    <w:rsid w:val="007B36F9"/>
    <w:rsid w:val="007B4BC8"/>
    <w:rsid w:val="007B6D32"/>
    <w:rsid w:val="007D002E"/>
    <w:rsid w:val="007D5C44"/>
    <w:rsid w:val="007E57E2"/>
    <w:rsid w:val="007F420C"/>
    <w:rsid w:val="007F6AEF"/>
    <w:rsid w:val="0080244F"/>
    <w:rsid w:val="00802CE2"/>
    <w:rsid w:val="00802F32"/>
    <w:rsid w:val="00813392"/>
    <w:rsid w:val="0081610D"/>
    <w:rsid w:val="00820530"/>
    <w:rsid w:val="008235D3"/>
    <w:rsid w:val="00832C5C"/>
    <w:rsid w:val="00836731"/>
    <w:rsid w:val="00841A46"/>
    <w:rsid w:val="008503EF"/>
    <w:rsid w:val="00865752"/>
    <w:rsid w:val="00882EFA"/>
    <w:rsid w:val="008847F1"/>
    <w:rsid w:val="008908BF"/>
    <w:rsid w:val="008962DD"/>
    <w:rsid w:val="008A2876"/>
    <w:rsid w:val="008A4026"/>
    <w:rsid w:val="008A4FDA"/>
    <w:rsid w:val="008B06D8"/>
    <w:rsid w:val="008B18B5"/>
    <w:rsid w:val="008D4302"/>
    <w:rsid w:val="008D53AD"/>
    <w:rsid w:val="008E53CC"/>
    <w:rsid w:val="008F026B"/>
    <w:rsid w:val="008F059C"/>
    <w:rsid w:val="008F1BCA"/>
    <w:rsid w:val="008F26F4"/>
    <w:rsid w:val="008F7B17"/>
    <w:rsid w:val="009138E2"/>
    <w:rsid w:val="0092420A"/>
    <w:rsid w:val="00933FD3"/>
    <w:rsid w:val="0094271B"/>
    <w:rsid w:val="00961F55"/>
    <w:rsid w:val="0097416C"/>
    <w:rsid w:val="00976A76"/>
    <w:rsid w:val="0098333D"/>
    <w:rsid w:val="009A02A3"/>
    <w:rsid w:val="009B5E06"/>
    <w:rsid w:val="009C1B4F"/>
    <w:rsid w:val="009D17C0"/>
    <w:rsid w:val="009D1C31"/>
    <w:rsid w:val="009D32A5"/>
    <w:rsid w:val="009E3CE1"/>
    <w:rsid w:val="009E582B"/>
    <w:rsid w:val="009E58BB"/>
    <w:rsid w:val="009F1CC7"/>
    <w:rsid w:val="009F20D9"/>
    <w:rsid w:val="00A13978"/>
    <w:rsid w:val="00A141B6"/>
    <w:rsid w:val="00A200FE"/>
    <w:rsid w:val="00A2174E"/>
    <w:rsid w:val="00A33683"/>
    <w:rsid w:val="00A37A48"/>
    <w:rsid w:val="00A507A2"/>
    <w:rsid w:val="00A57FA7"/>
    <w:rsid w:val="00A60B72"/>
    <w:rsid w:val="00A62469"/>
    <w:rsid w:val="00A7069C"/>
    <w:rsid w:val="00A95F3E"/>
    <w:rsid w:val="00AA12EC"/>
    <w:rsid w:val="00AB0078"/>
    <w:rsid w:val="00AB0E46"/>
    <w:rsid w:val="00AC615B"/>
    <w:rsid w:val="00AF29A4"/>
    <w:rsid w:val="00AF2EA3"/>
    <w:rsid w:val="00B124C7"/>
    <w:rsid w:val="00B322E6"/>
    <w:rsid w:val="00B35361"/>
    <w:rsid w:val="00B53B86"/>
    <w:rsid w:val="00B5410F"/>
    <w:rsid w:val="00B56875"/>
    <w:rsid w:val="00B56C26"/>
    <w:rsid w:val="00B659EB"/>
    <w:rsid w:val="00B75D9E"/>
    <w:rsid w:val="00B81DAD"/>
    <w:rsid w:val="00B90604"/>
    <w:rsid w:val="00B91105"/>
    <w:rsid w:val="00B92070"/>
    <w:rsid w:val="00BB2243"/>
    <w:rsid w:val="00BB2A45"/>
    <w:rsid w:val="00BB632B"/>
    <w:rsid w:val="00BC3E39"/>
    <w:rsid w:val="00BD3217"/>
    <w:rsid w:val="00BF0592"/>
    <w:rsid w:val="00BF0A9F"/>
    <w:rsid w:val="00C00370"/>
    <w:rsid w:val="00C02237"/>
    <w:rsid w:val="00C31DC9"/>
    <w:rsid w:val="00C37A33"/>
    <w:rsid w:val="00C47952"/>
    <w:rsid w:val="00C50C4A"/>
    <w:rsid w:val="00C70E1C"/>
    <w:rsid w:val="00C75032"/>
    <w:rsid w:val="00C90484"/>
    <w:rsid w:val="00C9294D"/>
    <w:rsid w:val="00C92D1B"/>
    <w:rsid w:val="00C955BF"/>
    <w:rsid w:val="00C970FB"/>
    <w:rsid w:val="00CB0725"/>
    <w:rsid w:val="00CB7D06"/>
    <w:rsid w:val="00CC3AC0"/>
    <w:rsid w:val="00CD2625"/>
    <w:rsid w:val="00CF7D47"/>
    <w:rsid w:val="00D5432D"/>
    <w:rsid w:val="00D56ABD"/>
    <w:rsid w:val="00D6228F"/>
    <w:rsid w:val="00D67F29"/>
    <w:rsid w:val="00D70097"/>
    <w:rsid w:val="00D719B7"/>
    <w:rsid w:val="00D729AF"/>
    <w:rsid w:val="00D97D8C"/>
    <w:rsid w:val="00DA1456"/>
    <w:rsid w:val="00DA6F5B"/>
    <w:rsid w:val="00DC2B70"/>
    <w:rsid w:val="00DC7A7B"/>
    <w:rsid w:val="00DF082D"/>
    <w:rsid w:val="00E11773"/>
    <w:rsid w:val="00E12C35"/>
    <w:rsid w:val="00E142E1"/>
    <w:rsid w:val="00E165DB"/>
    <w:rsid w:val="00E16AC2"/>
    <w:rsid w:val="00E275A2"/>
    <w:rsid w:val="00E4094F"/>
    <w:rsid w:val="00E41573"/>
    <w:rsid w:val="00E536F8"/>
    <w:rsid w:val="00E63919"/>
    <w:rsid w:val="00E72B53"/>
    <w:rsid w:val="00E97971"/>
    <w:rsid w:val="00EA0C9F"/>
    <w:rsid w:val="00EA162E"/>
    <w:rsid w:val="00EA3985"/>
    <w:rsid w:val="00ED5F74"/>
    <w:rsid w:val="00EE0CF7"/>
    <w:rsid w:val="00EE1742"/>
    <w:rsid w:val="00EF005D"/>
    <w:rsid w:val="00EF0907"/>
    <w:rsid w:val="00EF2654"/>
    <w:rsid w:val="00EF520C"/>
    <w:rsid w:val="00F13EBB"/>
    <w:rsid w:val="00F15E4B"/>
    <w:rsid w:val="00F2708D"/>
    <w:rsid w:val="00F27D80"/>
    <w:rsid w:val="00F342D7"/>
    <w:rsid w:val="00F72954"/>
    <w:rsid w:val="00F8058E"/>
    <w:rsid w:val="00F80FF8"/>
    <w:rsid w:val="00F912C6"/>
    <w:rsid w:val="00F91FAC"/>
    <w:rsid w:val="00F925DC"/>
    <w:rsid w:val="00F96D41"/>
    <w:rsid w:val="00FA2B3E"/>
    <w:rsid w:val="00FB05F0"/>
    <w:rsid w:val="00FB573F"/>
    <w:rsid w:val="00FC7340"/>
    <w:rsid w:val="00FD0EA3"/>
    <w:rsid w:val="00FE12ED"/>
    <w:rsid w:val="00FF1082"/>
    <w:rsid w:val="1CDE5F56"/>
    <w:rsid w:val="4BBBB94F"/>
    <w:rsid w:val="664534E2"/>
    <w:rsid w:val="7FA277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D3A98"/>
  <w15:chartTrackingRefBased/>
  <w15:docId w15:val="{7C9EF2BE-4C7A-4E6A-B1D5-77AEE3774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24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24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24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24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24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24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24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24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24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24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24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24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24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24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24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24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24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244F"/>
    <w:rPr>
      <w:rFonts w:eastAsiaTheme="majorEastAsia" w:cstheme="majorBidi"/>
      <w:color w:val="272727" w:themeColor="text1" w:themeTint="D8"/>
    </w:rPr>
  </w:style>
  <w:style w:type="paragraph" w:styleId="Title">
    <w:name w:val="Title"/>
    <w:basedOn w:val="Normal"/>
    <w:next w:val="Normal"/>
    <w:link w:val="TitleChar"/>
    <w:uiPriority w:val="10"/>
    <w:qFormat/>
    <w:rsid w:val="008024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24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24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24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244F"/>
    <w:pPr>
      <w:spacing w:before="160"/>
      <w:jc w:val="center"/>
    </w:pPr>
    <w:rPr>
      <w:i/>
      <w:iCs/>
      <w:color w:val="404040" w:themeColor="text1" w:themeTint="BF"/>
    </w:rPr>
  </w:style>
  <w:style w:type="character" w:customStyle="1" w:styleId="QuoteChar">
    <w:name w:val="Quote Char"/>
    <w:basedOn w:val="DefaultParagraphFont"/>
    <w:link w:val="Quote"/>
    <w:uiPriority w:val="29"/>
    <w:rsid w:val="0080244F"/>
    <w:rPr>
      <w:i/>
      <w:iCs/>
      <w:color w:val="404040" w:themeColor="text1" w:themeTint="BF"/>
    </w:rPr>
  </w:style>
  <w:style w:type="paragraph" w:styleId="ListParagraph">
    <w:name w:val="List Paragraph"/>
    <w:basedOn w:val="Normal"/>
    <w:uiPriority w:val="34"/>
    <w:qFormat/>
    <w:rsid w:val="0080244F"/>
    <w:pPr>
      <w:ind w:left="720"/>
      <w:contextualSpacing/>
    </w:pPr>
  </w:style>
  <w:style w:type="character" w:styleId="IntenseEmphasis">
    <w:name w:val="Intense Emphasis"/>
    <w:basedOn w:val="DefaultParagraphFont"/>
    <w:uiPriority w:val="21"/>
    <w:qFormat/>
    <w:rsid w:val="0080244F"/>
    <w:rPr>
      <w:i/>
      <w:iCs/>
      <w:color w:val="0F4761" w:themeColor="accent1" w:themeShade="BF"/>
    </w:rPr>
  </w:style>
  <w:style w:type="paragraph" w:styleId="IntenseQuote">
    <w:name w:val="Intense Quote"/>
    <w:basedOn w:val="Normal"/>
    <w:next w:val="Normal"/>
    <w:link w:val="IntenseQuoteChar"/>
    <w:uiPriority w:val="30"/>
    <w:qFormat/>
    <w:rsid w:val="008024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244F"/>
    <w:rPr>
      <w:i/>
      <w:iCs/>
      <w:color w:val="0F4761" w:themeColor="accent1" w:themeShade="BF"/>
    </w:rPr>
  </w:style>
  <w:style w:type="character" w:styleId="IntenseReference">
    <w:name w:val="Intense Reference"/>
    <w:basedOn w:val="DefaultParagraphFont"/>
    <w:uiPriority w:val="32"/>
    <w:qFormat/>
    <w:rsid w:val="0080244F"/>
    <w:rPr>
      <w:b/>
      <w:bCs/>
      <w:smallCaps/>
      <w:color w:val="0F4761" w:themeColor="accent1" w:themeShade="BF"/>
      <w:spacing w:val="5"/>
    </w:rPr>
  </w:style>
  <w:style w:type="character" w:styleId="CommentReference">
    <w:name w:val="annotation reference"/>
    <w:basedOn w:val="DefaultParagraphFont"/>
    <w:uiPriority w:val="99"/>
    <w:semiHidden/>
    <w:unhideWhenUsed/>
    <w:rsid w:val="000445E6"/>
    <w:rPr>
      <w:sz w:val="16"/>
      <w:szCs w:val="16"/>
    </w:rPr>
  </w:style>
  <w:style w:type="paragraph" w:styleId="CommentText">
    <w:name w:val="annotation text"/>
    <w:basedOn w:val="Normal"/>
    <w:link w:val="CommentTextChar"/>
    <w:uiPriority w:val="99"/>
    <w:unhideWhenUsed/>
    <w:rsid w:val="000445E6"/>
    <w:pPr>
      <w:spacing w:line="240" w:lineRule="auto"/>
    </w:pPr>
    <w:rPr>
      <w:sz w:val="20"/>
      <w:szCs w:val="20"/>
    </w:rPr>
  </w:style>
  <w:style w:type="character" w:customStyle="1" w:styleId="CommentTextChar">
    <w:name w:val="Comment Text Char"/>
    <w:basedOn w:val="DefaultParagraphFont"/>
    <w:link w:val="CommentText"/>
    <w:uiPriority w:val="99"/>
    <w:rsid w:val="000445E6"/>
    <w:rPr>
      <w:sz w:val="20"/>
      <w:szCs w:val="20"/>
    </w:rPr>
  </w:style>
  <w:style w:type="paragraph" w:styleId="CommentSubject">
    <w:name w:val="annotation subject"/>
    <w:basedOn w:val="CommentText"/>
    <w:next w:val="CommentText"/>
    <w:link w:val="CommentSubjectChar"/>
    <w:uiPriority w:val="99"/>
    <w:semiHidden/>
    <w:unhideWhenUsed/>
    <w:rsid w:val="000445E6"/>
    <w:rPr>
      <w:b/>
      <w:bCs/>
    </w:rPr>
  </w:style>
  <w:style w:type="character" w:customStyle="1" w:styleId="CommentSubjectChar">
    <w:name w:val="Comment Subject Char"/>
    <w:basedOn w:val="CommentTextChar"/>
    <w:link w:val="CommentSubject"/>
    <w:uiPriority w:val="99"/>
    <w:semiHidden/>
    <w:rsid w:val="000445E6"/>
    <w:rPr>
      <w:b/>
      <w:bCs/>
      <w:sz w:val="20"/>
      <w:szCs w:val="20"/>
    </w:rPr>
  </w:style>
  <w:style w:type="paragraph" w:styleId="Revision">
    <w:name w:val="Revision"/>
    <w:hidden/>
    <w:uiPriority w:val="99"/>
    <w:semiHidden/>
    <w:rsid w:val="0048405C"/>
    <w:pPr>
      <w:spacing w:after="0" w:line="240" w:lineRule="auto"/>
    </w:pPr>
  </w:style>
  <w:style w:type="character" w:styleId="Hyperlink">
    <w:name w:val="Hyperlink"/>
    <w:basedOn w:val="DefaultParagraphFont"/>
    <w:uiPriority w:val="99"/>
    <w:unhideWhenUsed/>
    <w:rsid w:val="00157F1F"/>
    <w:rPr>
      <w:color w:val="467886" w:themeColor="hyperlink"/>
      <w:u w:val="single"/>
    </w:rPr>
  </w:style>
  <w:style w:type="character" w:styleId="UnresolvedMention">
    <w:name w:val="Unresolved Mention"/>
    <w:basedOn w:val="DefaultParagraphFont"/>
    <w:uiPriority w:val="99"/>
    <w:semiHidden/>
    <w:unhideWhenUsed/>
    <w:rsid w:val="00157F1F"/>
    <w:rPr>
      <w:color w:val="605E5C"/>
      <w:shd w:val="clear" w:color="auto" w:fill="E1DFDD"/>
    </w:rPr>
  </w:style>
  <w:style w:type="paragraph" w:styleId="FootnoteText">
    <w:name w:val="footnote text"/>
    <w:basedOn w:val="Normal"/>
    <w:link w:val="FootnoteTextChar"/>
    <w:uiPriority w:val="99"/>
    <w:semiHidden/>
    <w:unhideWhenUsed/>
    <w:rsid w:val="008D53A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53AD"/>
    <w:rPr>
      <w:sz w:val="20"/>
      <w:szCs w:val="20"/>
    </w:rPr>
  </w:style>
  <w:style w:type="character" w:styleId="FootnoteReference">
    <w:name w:val="footnote reference"/>
    <w:basedOn w:val="DefaultParagraphFont"/>
    <w:uiPriority w:val="99"/>
    <w:semiHidden/>
    <w:unhideWhenUsed/>
    <w:rsid w:val="008D53AD"/>
    <w:rPr>
      <w:vertAlign w:val="superscript"/>
    </w:rPr>
  </w:style>
  <w:style w:type="paragraph" w:styleId="Header">
    <w:name w:val="header"/>
    <w:basedOn w:val="Normal"/>
    <w:link w:val="HeaderChar"/>
    <w:uiPriority w:val="99"/>
    <w:unhideWhenUsed/>
    <w:rsid w:val="003D53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535F"/>
  </w:style>
  <w:style w:type="paragraph" w:styleId="Footer">
    <w:name w:val="footer"/>
    <w:basedOn w:val="Normal"/>
    <w:link w:val="FooterChar"/>
    <w:uiPriority w:val="99"/>
    <w:unhideWhenUsed/>
    <w:rsid w:val="003D53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535F"/>
  </w:style>
  <w:style w:type="paragraph" w:customStyle="1" w:styleId="Default">
    <w:name w:val="Default"/>
    <w:rsid w:val="009A02A3"/>
    <w:pPr>
      <w:autoSpaceDE w:val="0"/>
      <w:autoSpaceDN w:val="0"/>
      <w:adjustRightInd w:val="0"/>
      <w:spacing w:after="0" w:line="240" w:lineRule="auto"/>
    </w:pPr>
    <w:rPr>
      <w:rFonts w:ascii="Calibri" w:hAnsi="Calibri" w:cs="Calibri"/>
      <w:color w:val="000000"/>
      <w:kern w:val="0"/>
      <w:lang w:val="en-CA"/>
      <w14:ligatures w14:val="none"/>
    </w:rPr>
  </w:style>
  <w:style w:type="character" w:styleId="FollowedHyperlink">
    <w:name w:val="FollowedHyperlink"/>
    <w:basedOn w:val="DefaultParagraphFont"/>
    <w:uiPriority w:val="99"/>
    <w:semiHidden/>
    <w:unhideWhenUsed/>
    <w:rsid w:val="002B6C8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eb.ca/sites/default/files/2026%20Commodity-Accounts-Analysis-Workform-Instructions_vA_clean.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5BC00-4EB3-4E2A-BB29-15FEBCB0D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1078</Words>
  <Characters>5564</Characters>
  <Application>Microsoft Office Word</Application>
  <DocSecurity>0</DocSecurity>
  <Lines>163</Lines>
  <Paragraphs>92</Paragraphs>
  <ScaleCrop>false</ScaleCrop>
  <HeadingPairs>
    <vt:vector size="2" baseType="variant">
      <vt:variant>
        <vt:lpstr>Title</vt:lpstr>
      </vt:variant>
      <vt:variant>
        <vt:i4>1</vt:i4>
      </vt:variant>
    </vt:vector>
  </HeadingPairs>
  <TitlesOfParts>
    <vt:vector size="1" baseType="lpstr">
      <vt:lpstr/>
    </vt:vector>
  </TitlesOfParts>
  <Company>Ontario Energy Board</Company>
  <LinksUpToDate>false</LinksUpToDate>
  <CharactersWithSpaces>6550</CharactersWithSpaces>
  <SharedDoc>false</SharedDoc>
  <HLinks>
    <vt:vector size="6" baseType="variant">
      <vt:variant>
        <vt:i4>1376328</vt:i4>
      </vt:variant>
      <vt:variant>
        <vt:i4>0</vt:i4>
      </vt:variant>
      <vt:variant>
        <vt:i4>0</vt:i4>
      </vt:variant>
      <vt:variant>
        <vt:i4>5</vt:i4>
      </vt:variant>
      <vt:variant>
        <vt:lpwstr>https://www.oeb.ca/sites/default/files/2026 Commodity-Accounts-Analysis-Workform-Instructions_vA_clean.pdf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Urooj Iqbal</dc:creator>
  <cp:keywords/>
  <dc:description/>
  <cp:lastModifiedBy>Michael DeJong</cp:lastModifiedBy>
  <cp:revision>2</cp:revision>
  <cp:lastPrinted>2026-02-12T20:48:00Z</cp:lastPrinted>
  <dcterms:created xsi:type="dcterms:W3CDTF">2026-02-23T14:47:00Z</dcterms:created>
  <dcterms:modified xsi:type="dcterms:W3CDTF">2026-02-23T14:47:00Z</dcterms:modified>
</cp:coreProperties>
</file>