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8B58D" w14:textId="5ADF7BA7" w:rsidR="00F71708" w:rsidRDefault="00C40989" w:rsidP="00F71708">
      <w:pPr>
        <w:spacing w:after="0" w:line="240" w:lineRule="auto"/>
        <w:jc w:val="center"/>
        <w:rPr>
          <w:rFonts w:ascii="Arial" w:hAnsi="Arial" w:cs="Arial"/>
          <w:b/>
          <w:bCs/>
          <w:sz w:val="28"/>
          <w:szCs w:val="28"/>
        </w:rPr>
      </w:pPr>
      <w:r w:rsidRPr="00C40989">
        <w:rPr>
          <w:rFonts w:ascii="Arial" w:hAnsi="Arial" w:cs="Arial"/>
          <w:b/>
          <w:bCs/>
          <w:sz w:val="28"/>
          <w:szCs w:val="28"/>
        </w:rPr>
        <w:t xml:space="preserve">Essex Powerlines Corporation </w:t>
      </w:r>
      <w:r w:rsidR="00F71708">
        <w:rPr>
          <w:rFonts w:ascii="Arial" w:hAnsi="Arial" w:cs="Arial"/>
          <w:b/>
          <w:bCs/>
          <w:sz w:val="28"/>
          <w:szCs w:val="28"/>
        </w:rPr>
        <w:t>(</w:t>
      </w:r>
      <w:r>
        <w:rPr>
          <w:rFonts w:ascii="Arial" w:hAnsi="Arial" w:cs="Arial"/>
          <w:b/>
          <w:bCs/>
          <w:sz w:val="28"/>
          <w:szCs w:val="28"/>
        </w:rPr>
        <w:t>EPLC</w:t>
      </w:r>
      <w:r w:rsidR="00F71708">
        <w:rPr>
          <w:rFonts w:ascii="Arial" w:hAnsi="Arial" w:cs="Arial"/>
          <w:b/>
          <w:bCs/>
          <w:sz w:val="28"/>
          <w:szCs w:val="28"/>
        </w:rPr>
        <w:t>)</w:t>
      </w:r>
    </w:p>
    <w:p w14:paraId="2139E8F2" w14:textId="77777777" w:rsidR="00F71708" w:rsidRDefault="00F71708" w:rsidP="00F71708">
      <w:pPr>
        <w:spacing w:after="0" w:line="240" w:lineRule="auto"/>
        <w:jc w:val="center"/>
        <w:rPr>
          <w:rFonts w:ascii="Arial" w:hAnsi="Arial" w:cs="Arial"/>
          <w:b/>
          <w:bCs/>
          <w:sz w:val="28"/>
          <w:szCs w:val="28"/>
        </w:rPr>
      </w:pPr>
      <w:r>
        <w:rPr>
          <w:rFonts w:ascii="Arial" w:hAnsi="Arial" w:cs="Arial"/>
          <w:b/>
          <w:bCs/>
          <w:sz w:val="28"/>
          <w:szCs w:val="28"/>
        </w:rPr>
        <w:t>OEB Staff Questions</w:t>
      </w:r>
    </w:p>
    <w:p w14:paraId="45AA562B" w14:textId="00D613E5" w:rsidR="00F71708" w:rsidRDefault="00C40989" w:rsidP="00F71708">
      <w:pPr>
        <w:spacing w:after="0" w:line="240" w:lineRule="auto"/>
        <w:jc w:val="center"/>
        <w:rPr>
          <w:rFonts w:ascii="Arial" w:hAnsi="Arial" w:cs="Arial"/>
          <w:b/>
          <w:bCs/>
          <w:sz w:val="28"/>
          <w:szCs w:val="28"/>
        </w:rPr>
      </w:pPr>
      <w:r>
        <w:rPr>
          <w:rFonts w:ascii="Arial" w:hAnsi="Arial" w:cs="Arial"/>
          <w:b/>
          <w:bCs/>
          <w:sz w:val="28"/>
          <w:szCs w:val="28"/>
        </w:rPr>
        <w:t>October</w:t>
      </w:r>
      <w:r w:rsidR="00F71708">
        <w:rPr>
          <w:rFonts w:ascii="Arial" w:hAnsi="Arial" w:cs="Arial"/>
          <w:b/>
          <w:bCs/>
          <w:sz w:val="28"/>
          <w:szCs w:val="28"/>
        </w:rPr>
        <w:t xml:space="preserve"> </w:t>
      </w:r>
      <w:r w:rsidR="00D707AE">
        <w:rPr>
          <w:rFonts w:ascii="Arial" w:hAnsi="Arial" w:cs="Arial"/>
          <w:b/>
          <w:bCs/>
          <w:sz w:val="28"/>
          <w:szCs w:val="28"/>
        </w:rPr>
        <w:t>01</w:t>
      </w:r>
      <w:r w:rsidR="00F71708">
        <w:rPr>
          <w:rFonts w:ascii="Arial" w:hAnsi="Arial" w:cs="Arial"/>
          <w:b/>
          <w:bCs/>
          <w:sz w:val="28"/>
          <w:szCs w:val="28"/>
        </w:rPr>
        <w:t>, 202</w:t>
      </w:r>
      <w:r>
        <w:rPr>
          <w:rFonts w:ascii="Arial" w:hAnsi="Arial" w:cs="Arial"/>
          <w:b/>
          <w:bCs/>
          <w:sz w:val="28"/>
          <w:szCs w:val="28"/>
        </w:rPr>
        <w:t>6</w:t>
      </w:r>
    </w:p>
    <w:p w14:paraId="32B889B0" w14:textId="77777777" w:rsidR="00F71708" w:rsidRDefault="00F71708" w:rsidP="00F71708">
      <w:pPr>
        <w:spacing w:after="0" w:line="240" w:lineRule="auto"/>
        <w:rPr>
          <w:rFonts w:ascii="Arial" w:hAnsi="Arial" w:cs="Arial"/>
          <w:b/>
          <w:bCs/>
        </w:rPr>
      </w:pPr>
    </w:p>
    <w:p w14:paraId="6C86E526" w14:textId="595EE8EC" w:rsidR="00F71708" w:rsidRDefault="00F71708" w:rsidP="00F71708">
      <w:pPr>
        <w:spacing w:after="0" w:line="240" w:lineRule="auto"/>
        <w:rPr>
          <w:rFonts w:ascii="Arial" w:hAnsi="Arial" w:cs="Arial"/>
          <w:sz w:val="24"/>
          <w:szCs w:val="24"/>
        </w:rPr>
      </w:pPr>
      <w:r>
        <w:rPr>
          <w:rFonts w:ascii="Arial" w:hAnsi="Arial" w:cs="Arial"/>
          <w:sz w:val="24"/>
          <w:szCs w:val="24"/>
        </w:rPr>
        <w:t xml:space="preserve">Please note, that </w:t>
      </w:r>
      <w:r w:rsidR="00C40989">
        <w:rPr>
          <w:rFonts w:ascii="Arial" w:hAnsi="Arial" w:cs="Arial"/>
          <w:sz w:val="24"/>
          <w:szCs w:val="24"/>
        </w:rPr>
        <w:t>EPLC</w:t>
      </w:r>
      <w:r>
        <w:rPr>
          <w:rFonts w:ascii="Arial" w:hAnsi="Arial" w:cs="Arial"/>
          <w:sz w:val="24"/>
          <w:szCs w:val="24"/>
        </w:rPr>
        <w:t xml:space="preserve"> is responsible for ensuring that all documents it files with the OEB, including responses to OEB staff interrogatories and any other supporting documentation, do not include personal information (as that phrase is defined in the Freedom of Information and Protection of Privacy Act), unless filed in accordance with rule 9A of the OEB’s Rules of Practice and Procedure.</w:t>
      </w:r>
    </w:p>
    <w:p w14:paraId="218B386D" w14:textId="77777777" w:rsidR="00B37DBC" w:rsidRDefault="00B37DBC" w:rsidP="00F0080E">
      <w:pPr>
        <w:pStyle w:val="Default"/>
        <w:spacing w:line="276" w:lineRule="auto"/>
        <w:rPr>
          <w:b/>
          <w:bCs/>
        </w:rPr>
      </w:pPr>
    </w:p>
    <w:p w14:paraId="422B1C08" w14:textId="7A66DE76" w:rsidR="00F0080E" w:rsidRPr="00E37A46" w:rsidRDefault="00F0080E" w:rsidP="00F0080E">
      <w:pPr>
        <w:pStyle w:val="Default"/>
        <w:spacing w:line="276" w:lineRule="auto"/>
        <w:rPr>
          <w:b/>
          <w:bCs/>
        </w:rPr>
      </w:pPr>
      <w:r w:rsidRPr="00E37A46">
        <w:rPr>
          <w:b/>
          <w:bCs/>
        </w:rPr>
        <w:t>Staff Question-</w:t>
      </w:r>
      <w:r w:rsidR="00B37DBC">
        <w:rPr>
          <w:b/>
          <w:bCs/>
        </w:rPr>
        <w:t>1</w:t>
      </w:r>
    </w:p>
    <w:p w14:paraId="750E38A8" w14:textId="77777777" w:rsidR="00F0080E" w:rsidRPr="008C7E6A" w:rsidRDefault="00F0080E" w:rsidP="00F0080E">
      <w:pPr>
        <w:pStyle w:val="Default"/>
        <w:spacing w:line="276" w:lineRule="auto"/>
        <w:rPr>
          <w:b/>
          <w:bCs/>
        </w:rPr>
      </w:pPr>
      <w:r w:rsidRPr="4CD1E705">
        <w:rPr>
          <w:b/>
          <w:bCs/>
        </w:rPr>
        <w:t xml:space="preserve">Ref: Rate Generator Model, Tab 3, Continuity Schedule </w:t>
      </w:r>
    </w:p>
    <w:p w14:paraId="3DA0714E" w14:textId="77777777" w:rsidR="00F0080E" w:rsidRDefault="00F0080E" w:rsidP="00F0080E">
      <w:pPr>
        <w:pStyle w:val="Default"/>
        <w:spacing w:line="276" w:lineRule="auto"/>
        <w:rPr>
          <w:b/>
          <w:bCs/>
        </w:rPr>
      </w:pPr>
    </w:p>
    <w:p w14:paraId="4F2782F2" w14:textId="77777777" w:rsidR="00F0080E" w:rsidRPr="005A78D9" w:rsidRDefault="00F0080E" w:rsidP="00F0080E">
      <w:pPr>
        <w:pStyle w:val="Default"/>
        <w:spacing w:line="276" w:lineRule="auto"/>
      </w:pPr>
      <w:r w:rsidRPr="005A78D9">
        <w:t>Preamble:</w:t>
      </w:r>
    </w:p>
    <w:p w14:paraId="39D74DF0" w14:textId="77777777" w:rsidR="00F0080E" w:rsidRPr="0001273A" w:rsidRDefault="00F0080E" w:rsidP="00F0080E">
      <w:pPr>
        <w:pStyle w:val="Default"/>
        <w:spacing w:line="276" w:lineRule="auto"/>
      </w:pPr>
      <w:r>
        <w:t xml:space="preserve">On </w:t>
      </w:r>
      <w:r w:rsidRPr="00077EE4">
        <w:t>September 14, 2026</w:t>
      </w:r>
      <w:r w:rsidRPr="0001273A">
        <w:t>, the OEB published Q4 2026 prescribed accounting interest rates applicable to the carrying charges of deferral, variance and construction work in progress (CWIP) accounts of natural gas utilities, electricity distributors and other rate-regulated entities.</w:t>
      </w:r>
    </w:p>
    <w:p w14:paraId="13D5C9BB" w14:textId="77777777" w:rsidR="00F0080E" w:rsidRPr="0001273A" w:rsidRDefault="00F0080E" w:rsidP="00F0080E">
      <w:pPr>
        <w:pStyle w:val="Default"/>
        <w:spacing w:line="276" w:lineRule="auto"/>
      </w:pPr>
    </w:p>
    <w:p w14:paraId="0BA8C0BC" w14:textId="77777777" w:rsidR="00F0080E" w:rsidRPr="0001273A" w:rsidRDefault="00F0080E" w:rsidP="00F0080E">
      <w:pPr>
        <w:pStyle w:val="Default"/>
        <w:spacing w:line="276" w:lineRule="auto"/>
      </w:pPr>
      <w:r w:rsidRPr="0001273A">
        <w:t xml:space="preserve">Question(s): </w:t>
      </w:r>
    </w:p>
    <w:p w14:paraId="63F6AFCE" w14:textId="77777777" w:rsidR="00F0080E" w:rsidRPr="0001273A" w:rsidRDefault="00F0080E" w:rsidP="00F0080E">
      <w:pPr>
        <w:pStyle w:val="Default"/>
        <w:spacing w:line="276" w:lineRule="auto"/>
      </w:pPr>
    </w:p>
    <w:p w14:paraId="09C364EE" w14:textId="77777777" w:rsidR="00F0080E" w:rsidRPr="0001273A" w:rsidRDefault="00F0080E" w:rsidP="00F0080E">
      <w:pPr>
        <w:pStyle w:val="ListParagraph"/>
        <w:numPr>
          <w:ilvl w:val="0"/>
          <w:numId w:val="3"/>
        </w:numPr>
        <w:spacing w:after="0" w:line="276" w:lineRule="auto"/>
        <w:rPr>
          <w:rFonts w:ascii="Arial" w:hAnsi="Arial" w:cs="Arial"/>
          <w:sz w:val="24"/>
          <w:szCs w:val="24"/>
        </w:rPr>
      </w:pPr>
      <w:r w:rsidRPr="0001273A">
        <w:rPr>
          <w:rFonts w:ascii="Arial" w:hAnsi="Arial" w:cs="Arial"/>
          <w:sz w:val="24"/>
          <w:szCs w:val="24"/>
        </w:rPr>
        <w:t xml:space="preserve">Please update Tab 3 (Continuity Schedule) as necessary to reflect the Q4 2026 OEB-prescribed interest rate of </w:t>
      </w:r>
      <w:r w:rsidRPr="00077EE4">
        <w:rPr>
          <w:rFonts w:ascii="Arial" w:hAnsi="Arial" w:cs="Arial"/>
          <w:sz w:val="24"/>
          <w:szCs w:val="24"/>
        </w:rPr>
        <w:t>2.87%.</w:t>
      </w:r>
    </w:p>
    <w:p w14:paraId="2803B1F0" w14:textId="77777777" w:rsidR="00F0080E" w:rsidRDefault="00F0080E" w:rsidP="00F0080E">
      <w:pPr>
        <w:spacing w:after="0" w:line="276" w:lineRule="auto"/>
        <w:rPr>
          <w:rFonts w:ascii="Arial" w:hAnsi="Arial" w:cs="Arial"/>
          <w:sz w:val="24"/>
          <w:szCs w:val="24"/>
        </w:rPr>
      </w:pPr>
    </w:p>
    <w:p w14:paraId="30CE15DC" w14:textId="14A6D7D5" w:rsidR="00F0080E" w:rsidRPr="005656EA" w:rsidRDefault="00F0080E" w:rsidP="00F0080E">
      <w:pPr>
        <w:spacing w:after="0" w:line="276" w:lineRule="auto"/>
        <w:rPr>
          <w:rFonts w:ascii="Arial" w:hAnsi="Arial" w:cs="Arial"/>
          <w:b/>
          <w:bCs/>
          <w:sz w:val="24"/>
          <w:szCs w:val="24"/>
        </w:rPr>
      </w:pPr>
      <w:r w:rsidRPr="005656EA">
        <w:rPr>
          <w:rFonts w:ascii="Arial" w:hAnsi="Arial" w:cs="Arial"/>
          <w:b/>
          <w:bCs/>
          <w:sz w:val="24"/>
          <w:szCs w:val="24"/>
        </w:rPr>
        <w:t>Staff Question</w:t>
      </w:r>
      <w:r>
        <w:rPr>
          <w:rFonts w:ascii="Arial" w:hAnsi="Arial" w:cs="Arial"/>
          <w:b/>
          <w:bCs/>
          <w:sz w:val="24"/>
          <w:szCs w:val="24"/>
        </w:rPr>
        <w:t>-</w:t>
      </w:r>
      <w:r w:rsidR="006A054C">
        <w:rPr>
          <w:rFonts w:ascii="Arial" w:hAnsi="Arial" w:cs="Arial"/>
          <w:b/>
          <w:bCs/>
          <w:sz w:val="24"/>
          <w:szCs w:val="24"/>
        </w:rPr>
        <w:t>2</w:t>
      </w:r>
    </w:p>
    <w:p w14:paraId="7DF023A2" w14:textId="77777777" w:rsidR="00F0080E" w:rsidRPr="00197BFF" w:rsidRDefault="00F0080E" w:rsidP="00F0080E">
      <w:pPr>
        <w:autoSpaceDE w:val="0"/>
        <w:autoSpaceDN w:val="0"/>
        <w:adjustRightInd w:val="0"/>
        <w:spacing w:after="0"/>
        <w:rPr>
          <w:rFonts w:ascii="Arial" w:hAnsi="Arial" w:cs="Arial"/>
          <w:b/>
          <w:sz w:val="24"/>
          <w:szCs w:val="24"/>
        </w:rPr>
      </w:pPr>
      <w:r w:rsidRPr="00197BFF">
        <w:rPr>
          <w:rFonts w:ascii="Arial" w:hAnsi="Arial" w:cs="Arial"/>
          <w:b/>
          <w:sz w:val="24"/>
          <w:szCs w:val="24"/>
        </w:rPr>
        <w:t>Ref 1: OEB Accounting Guidance Related to Commodity Pass-Through Accounts 1588 &amp; 1589 (Accounting Guidance), April 28, 2025</w:t>
      </w:r>
    </w:p>
    <w:p w14:paraId="0093F032" w14:textId="77777777" w:rsidR="00F0080E" w:rsidRPr="00197BFF" w:rsidRDefault="00F0080E" w:rsidP="00F0080E">
      <w:pPr>
        <w:autoSpaceDE w:val="0"/>
        <w:autoSpaceDN w:val="0"/>
        <w:adjustRightInd w:val="0"/>
        <w:spacing w:after="0"/>
        <w:rPr>
          <w:rFonts w:ascii="Arial" w:hAnsi="Arial" w:cs="Arial"/>
          <w:b/>
          <w:sz w:val="24"/>
          <w:szCs w:val="24"/>
        </w:rPr>
      </w:pPr>
      <w:r w:rsidRPr="00197BFF">
        <w:rPr>
          <w:rFonts w:ascii="Arial" w:hAnsi="Arial" w:cs="Arial"/>
          <w:b/>
          <w:sz w:val="24"/>
          <w:szCs w:val="24"/>
        </w:rPr>
        <w:t>Ref 2: Updated Illustrative Commodity Model, April 28, 2025</w:t>
      </w:r>
    </w:p>
    <w:p w14:paraId="467268D5" w14:textId="77777777" w:rsidR="00F0080E" w:rsidRDefault="00F0080E" w:rsidP="00F0080E">
      <w:pPr>
        <w:spacing w:after="0"/>
        <w:rPr>
          <w:rFonts w:ascii="Arial" w:hAnsi="Arial" w:cs="Arial"/>
          <w:szCs w:val="24"/>
        </w:rPr>
      </w:pPr>
    </w:p>
    <w:p w14:paraId="0D0DFD06" w14:textId="608B57B5" w:rsidR="000727CE" w:rsidRDefault="000727CE" w:rsidP="00F0080E">
      <w:pPr>
        <w:spacing w:after="0"/>
        <w:rPr>
          <w:rFonts w:ascii="Arial" w:hAnsi="Arial" w:cs="Arial"/>
          <w:szCs w:val="24"/>
        </w:rPr>
      </w:pPr>
      <w:r>
        <w:rPr>
          <w:rFonts w:ascii="Arial" w:hAnsi="Arial" w:cs="Arial"/>
          <w:szCs w:val="24"/>
        </w:rPr>
        <w:t>Preamble:</w:t>
      </w:r>
    </w:p>
    <w:p w14:paraId="2E2C95D6" w14:textId="0CAE0DF6" w:rsidR="00F0080E" w:rsidRPr="00197BFF" w:rsidRDefault="00F0080E" w:rsidP="00F0080E">
      <w:pPr>
        <w:spacing w:after="0" w:line="276" w:lineRule="auto"/>
        <w:rPr>
          <w:rFonts w:ascii="Arial" w:hAnsi="Arial" w:cs="Arial"/>
          <w:sz w:val="24"/>
          <w:szCs w:val="24"/>
        </w:rPr>
      </w:pPr>
      <w:r w:rsidRPr="00197BFF">
        <w:rPr>
          <w:rFonts w:ascii="Arial" w:hAnsi="Arial" w:cs="Arial"/>
          <w:sz w:val="24"/>
          <w:szCs w:val="24"/>
        </w:rPr>
        <w:t xml:space="preserve">The OEB issued final updates to the Accounting Guidance and the updated </w:t>
      </w:r>
      <w:r w:rsidR="724668B4" w:rsidRPr="560A4AF0">
        <w:rPr>
          <w:rFonts w:ascii="Arial" w:hAnsi="Arial" w:cs="Arial"/>
          <w:sz w:val="24"/>
          <w:szCs w:val="24"/>
        </w:rPr>
        <w:t>Illustrative</w:t>
      </w:r>
      <w:r w:rsidRPr="00197BFF">
        <w:rPr>
          <w:rFonts w:ascii="Arial" w:hAnsi="Arial" w:cs="Arial"/>
          <w:sz w:val="24"/>
          <w:szCs w:val="24"/>
        </w:rPr>
        <w:t xml:space="preserve"> Commodity Model related to the implementation of the Independent Electricity System Operator (IESO)’s Market Renewal Program (MRP), effective May 1, 2025. Page 11 of Reference 1 states that:</w:t>
      </w:r>
    </w:p>
    <w:p w14:paraId="7F7D0B9B" w14:textId="77777777" w:rsidR="00F0080E" w:rsidRPr="00197BFF" w:rsidRDefault="00F0080E" w:rsidP="00F0080E">
      <w:pPr>
        <w:spacing w:after="0" w:line="276" w:lineRule="auto"/>
        <w:rPr>
          <w:rFonts w:ascii="Arial" w:hAnsi="Arial" w:cs="Arial"/>
          <w:sz w:val="24"/>
          <w:szCs w:val="24"/>
        </w:rPr>
      </w:pPr>
    </w:p>
    <w:p w14:paraId="7B33237B" w14:textId="50018079" w:rsidR="00F0080E" w:rsidRPr="00197BFF" w:rsidRDefault="00F0080E" w:rsidP="00F0080E">
      <w:pPr>
        <w:spacing w:after="0" w:line="276" w:lineRule="auto"/>
        <w:ind w:left="720"/>
        <w:rPr>
          <w:rFonts w:ascii="Arial" w:hAnsi="Arial" w:cs="Arial"/>
          <w:sz w:val="24"/>
          <w:szCs w:val="24"/>
        </w:rPr>
      </w:pPr>
      <w:r w:rsidRPr="00197BFF">
        <w:rPr>
          <w:rFonts w:ascii="Arial" w:hAnsi="Arial" w:cs="Arial"/>
          <w:sz w:val="24"/>
          <w:szCs w:val="24"/>
        </w:rPr>
        <w:t xml:space="preserve">In Tab “Variances in ac 1588” of the updated Illustrative Commodity Model, two new tables are added to quantify the energy variances that are included in Account 1588 for </w:t>
      </w:r>
      <w:r w:rsidRPr="41C083F1">
        <w:rPr>
          <w:rFonts w:ascii="Arial" w:hAnsi="Arial" w:cs="Arial"/>
          <w:sz w:val="24"/>
          <w:szCs w:val="24"/>
        </w:rPr>
        <w:t>record</w:t>
      </w:r>
      <w:r w:rsidRPr="00197BFF">
        <w:rPr>
          <w:rFonts w:ascii="Arial" w:hAnsi="Arial" w:cs="Arial"/>
          <w:sz w:val="24"/>
          <w:szCs w:val="24"/>
        </w:rPr>
        <w:t xml:space="preserve">-keeping purposes. While the quantification tables are not required to be filed with the OEB at this time, </w:t>
      </w:r>
      <w:r w:rsidR="04581972" w:rsidRPr="0C05BDCA">
        <w:rPr>
          <w:rFonts w:ascii="Arial" w:hAnsi="Arial" w:cs="Arial"/>
          <w:sz w:val="24"/>
          <w:szCs w:val="24"/>
        </w:rPr>
        <w:t xml:space="preserve">the </w:t>
      </w:r>
      <w:r w:rsidR="04581972" w:rsidRPr="30A7CA64">
        <w:rPr>
          <w:rFonts w:ascii="Arial" w:hAnsi="Arial" w:cs="Arial"/>
          <w:sz w:val="24"/>
          <w:szCs w:val="24"/>
        </w:rPr>
        <w:t>tables</w:t>
      </w:r>
      <w:r w:rsidR="50E73052" w:rsidRPr="5AF8889C">
        <w:rPr>
          <w:rFonts w:ascii="Arial" w:hAnsi="Arial" w:cs="Arial"/>
          <w:sz w:val="24"/>
          <w:szCs w:val="24"/>
        </w:rPr>
        <w:t xml:space="preserve"> </w:t>
      </w:r>
      <w:r w:rsidR="50E73052" w:rsidRPr="6CFF98C8">
        <w:rPr>
          <w:rFonts w:ascii="Arial" w:hAnsi="Arial" w:cs="Arial"/>
          <w:sz w:val="24"/>
          <w:szCs w:val="24"/>
        </w:rPr>
        <w:t>may</w:t>
      </w:r>
      <w:r w:rsidRPr="00197BFF">
        <w:rPr>
          <w:rFonts w:ascii="Arial" w:hAnsi="Arial" w:cs="Arial"/>
          <w:sz w:val="24"/>
          <w:szCs w:val="24"/>
        </w:rPr>
        <w:t xml:space="preserve"> assist the distributors in explaining the 1% threshold test in Account 1588. </w:t>
      </w:r>
    </w:p>
    <w:p w14:paraId="73E50E5B" w14:textId="77777777" w:rsidR="00F0080E" w:rsidRPr="00197BFF" w:rsidRDefault="00F0080E" w:rsidP="00F0080E">
      <w:pPr>
        <w:spacing w:after="0" w:line="276" w:lineRule="auto"/>
        <w:rPr>
          <w:rFonts w:ascii="Arial" w:hAnsi="Arial" w:cs="Arial"/>
          <w:sz w:val="24"/>
          <w:szCs w:val="24"/>
        </w:rPr>
      </w:pPr>
    </w:p>
    <w:p w14:paraId="3564AFD2" w14:textId="77777777" w:rsidR="00F0080E" w:rsidRPr="00197BFF" w:rsidRDefault="00F0080E" w:rsidP="00F0080E">
      <w:pPr>
        <w:spacing w:after="0" w:line="276" w:lineRule="auto"/>
        <w:rPr>
          <w:rFonts w:ascii="Arial" w:hAnsi="Arial" w:cs="Arial"/>
          <w:sz w:val="24"/>
          <w:szCs w:val="24"/>
        </w:rPr>
      </w:pPr>
      <w:r w:rsidRPr="00197BFF">
        <w:rPr>
          <w:rFonts w:ascii="Arial" w:hAnsi="Arial" w:cs="Arial"/>
          <w:sz w:val="24"/>
          <w:szCs w:val="24"/>
        </w:rPr>
        <w:lastRenderedPageBreak/>
        <w:t xml:space="preserve">Reference 2 introduced two new reconciliation tables under the “Variances in ac 1588” tab to quantify energy cost variances arising from the implementation of MRP. In Page 11 of Reference 1, </w:t>
      </w:r>
      <w:proofErr w:type="gramStart"/>
      <w:r w:rsidRPr="00197BFF">
        <w:rPr>
          <w:rFonts w:ascii="Arial" w:hAnsi="Arial" w:cs="Arial"/>
          <w:sz w:val="24"/>
          <w:szCs w:val="24"/>
        </w:rPr>
        <w:t>the OEB</w:t>
      </w:r>
      <w:proofErr w:type="gramEnd"/>
      <w:r w:rsidRPr="00197BFF">
        <w:rPr>
          <w:rFonts w:ascii="Arial" w:hAnsi="Arial" w:cs="Arial"/>
          <w:sz w:val="24"/>
          <w:szCs w:val="24"/>
        </w:rPr>
        <w:t xml:space="preserve"> stated that these tables are intended for record-keeping purposes and are not required to be filed with the OEB. However, these two reconciliation tables may assist the distributors in explaining the 1% threshold test in Account 1588 where applicable.</w:t>
      </w:r>
    </w:p>
    <w:p w14:paraId="72B9E161" w14:textId="77777777" w:rsidR="00F0080E" w:rsidRPr="00197BFF" w:rsidRDefault="00F0080E" w:rsidP="00F0080E">
      <w:pPr>
        <w:spacing w:after="0" w:line="276" w:lineRule="auto"/>
        <w:rPr>
          <w:rFonts w:ascii="Arial" w:hAnsi="Arial" w:cs="Arial"/>
          <w:sz w:val="24"/>
          <w:szCs w:val="24"/>
        </w:rPr>
      </w:pPr>
    </w:p>
    <w:p w14:paraId="60083B20" w14:textId="77777777" w:rsidR="00F0080E" w:rsidRPr="00197BFF" w:rsidRDefault="00F0080E" w:rsidP="00F0080E">
      <w:pPr>
        <w:spacing w:after="0" w:line="276" w:lineRule="auto"/>
        <w:rPr>
          <w:rFonts w:ascii="Arial" w:hAnsi="Arial" w:cs="Arial"/>
          <w:sz w:val="24"/>
          <w:szCs w:val="24"/>
        </w:rPr>
      </w:pPr>
      <w:r w:rsidRPr="00197BFF">
        <w:rPr>
          <w:rFonts w:ascii="Arial" w:hAnsi="Arial" w:cs="Arial"/>
          <w:sz w:val="24"/>
          <w:szCs w:val="24"/>
        </w:rPr>
        <w:t>Question(s):</w:t>
      </w:r>
    </w:p>
    <w:p w14:paraId="36D12240" w14:textId="32627992" w:rsidR="00F0080E" w:rsidRPr="00197BFF" w:rsidRDefault="00F0080E" w:rsidP="00F0080E">
      <w:pPr>
        <w:pStyle w:val="ListParagraph"/>
        <w:numPr>
          <w:ilvl w:val="0"/>
          <w:numId w:val="2"/>
        </w:numPr>
        <w:spacing w:line="276" w:lineRule="auto"/>
        <w:rPr>
          <w:rFonts w:ascii="Arial" w:hAnsi="Arial" w:cs="Arial"/>
          <w:sz w:val="24"/>
          <w:szCs w:val="24"/>
        </w:rPr>
      </w:pPr>
      <w:r w:rsidRPr="00197BFF">
        <w:rPr>
          <w:rFonts w:ascii="Arial" w:hAnsi="Arial" w:cs="Arial"/>
          <w:sz w:val="24"/>
          <w:szCs w:val="24"/>
        </w:rPr>
        <w:t xml:space="preserve">Has </w:t>
      </w:r>
      <w:r w:rsidR="00A81B73">
        <w:rPr>
          <w:rFonts w:ascii="Arial" w:hAnsi="Arial" w:cs="Arial"/>
          <w:sz w:val="24"/>
          <w:szCs w:val="24"/>
        </w:rPr>
        <w:t>EPLC</w:t>
      </w:r>
      <w:r w:rsidRPr="00197BFF">
        <w:rPr>
          <w:rFonts w:ascii="Arial" w:hAnsi="Arial" w:cs="Arial"/>
          <w:sz w:val="24"/>
          <w:szCs w:val="24"/>
        </w:rPr>
        <w:t xml:space="preserve"> utilized Table 42 and/or 43 of Ref. 2 to track or quantify the MRP-related energy variances recorded in Account 1588?</w:t>
      </w:r>
    </w:p>
    <w:p w14:paraId="101BD31C" w14:textId="77777777" w:rsidR="00F0080E" w:rsidRPr="00197BFF" w:rsidRDefault="00F0080E" w:rsidP="00F0080E">
      <w:pPr>
        <w:pStyle w:val="ListParagraph"/>
        <w:numPr>
          <w:ilvl w:val="0"/>
          <w:numId w:val="1"/>
        </w:numPr>
        <w:spacing w:line="276" w:lineRule="auto"/>
        <w:rPr>
          <w:rFonts w:ascii="Arial" w:hAnsi="Arial" w:cs="Arial"/>
          <w:sz w:val="24"/>
          <w:szCs w:val="24"/>
        </w:rPr>
      </w:pPr>
      <w:r w:rsidRPr="00197BFF">
        <w:rPr>
          <w:rFonts w:ascii="Arial" w:hAnsi="Arial" w:cs="Arial"/>
          <w:sz w:val="24"/>
          <w:szCs w:val="24"/>
        </w:rPr>
        <w:t xml:space="preserve">If so, please explain whether the variances recorded in </w:t>
      </w:r>
      <w:r>
        <w:rPr>
          <w:rFonts w:ascii="Arial" w:hAnsi="Arial" w:cs="Arial"/>
          <w:sz w:val="24"/>
          <w:szCs w:val="24"/>
        </w:rPr>
        <w:t>T</w:t>
      </w:r>
      <w:r w:rsidRPr="00197BFF">
        <w:rPr>
          <w:rFonts w:ascii="Arial" w:hAnsi="Arial" w:cs="Arial"/>
          <w:sz w:val="24"/>
          <w:szCs w:val="24"/>
        </w:rPr>
        <w:t xml:space="preserve">able 42 and Table 43 were material in 2025, respectively. Please provide the corresponding quantum of the variances if the variance(s) are material. </w:t>
      </w:r>
    </w:p>
    <w:p w14:paraId="167E9531" w14:textId="77777777" w:rsidR="00F0080E" w:rsidRPr="00197BFF" w:rsidRDefault="00F0080E" w:rsidP="00F0080E">
      <w:pPr>
        <w:pStyle w:val="ListParagraph"/>
        <w:numPr>
          <w:ilvl w:val="0"/>
          <w:numId w:val="1"/>
        </w:numPr>
        <w:spacing w:line="276" w:lineRule="auto"/>
        <w:rPr>
          <w:rFonts w:ascii="Arial" w:hAnsi="Arial" w:cs="Arial"/>
          <w:sz w:val="24"/>
          <w:szCs w:val="24"/>
        </w:rPr>
      </w:pPr>
      <w:r w:rsidRPr="00197BFF">
        <w:rPr>
          <w:rFonts w:ascii="Arial" w:hAnsi="Arial" w:cs="Arial"/>
          <w:sz w:val="24"/>
          <w:szCs w:val="24"/>
        </w:rPr>
        <w:t xml:space="preserve">If not, please explain why not. </w:t>
      </w:r>
    </w:p>
    <w:p w14:paraId="539BD449" w14:textId="77777777" w:rsidR="00F0080E" w:rsidRDefault="00F0080E" w:rsidP="00F0080E">
      <w:pPr>
        <w:spacing w:after="0" w:line="276" w:lineRule="auto"/>
        <w:rPr>
          <w:rFonts w:ascii="Arial" w:hAnsi="Arial" w:cs="Arial"/>
          <w:sz w:val="24"/>
          <w:szCs w:val="24"/>
        </w:rPr>
      </w:pPr>
    </w:p>
    <w:p w14:paraId="1C2BDE05" w14:textId="033C34C9" w:rsidR="00F0080E" w:rsidRPr="001E0660" w:rsidRDefault="00F0080E" w:rsidP="00F0080E">
      <w:pPr>
        <w:pStyle w:val="Default"/>
        <w:spacing w:line="276" w:lineRule="auto"/>
        <w:rPr>
          <w:b/>
          <w:bCs/>
        </w:rPr>
      </w:pPr>
      <w:r w:rsidRPr="001E0660">
        <w:rPr>
          <w:b/>
          <w:bCs/>
        </w:rPr>
        <w:t>Staff Question</w:t>
      </w:r>
      <w:r w:rsidR="002B0728">
        <w:rPr>
          <w:b/>
          <w:bCs/>
        </w:rPr>
        <w:t xml:space="preserve"> </w:t>
      </w:r>
      <w:r w:rsidRPr="001E0660">
        <w:rPr>
          <w:b/>
          <w:bCs/>
        </w:rPr>
        <w:t>-</w:t>
      </w:r>
      <w:r w:rsidR="00A81B73">
        <w:rPr>
          <w:b/>
          <w:bCs/>
        </w:rPr>
        <w:t>3</w:t>
      </w:r>
    </w:p>
    <w:p w14:paraId="15B3F242" w14:textId="77777777" w:rsidR="00F0080E" w:rsidRPr="00877493" w:rsidRDefault="00F0080E" w:rsidP="00F0080E">
      <w:pPr>
        <w:spacing w:after="0" w:line="276" w:lineRule="auto"/>
        <w:rPr>
          <w:rFonts w:ascii="Arial" w:eastAsia="Calibri" w:hAnsi="Arial" w:cs="Arial"/>
          <w:color w:val="000000" w:themeColor="text1"/>
          <w:sz w:val="24"/>
          <w:szCs w:val="24"/>
        </w:rPr>
      </w:pPr>
      <w:r w:rsidRPr="00877493">
        <w:rPr>
          <w:rFonts w:ascii="Arial" w:eastAsia="Calibri" w:hAnsi="Arial" w:cs="Arial"/>
          <w:color w:val="000000" w:themeColor="text1"/>
          <w:sz w:val="24"/>
          <w:szCs w:val="24"/>
        </w:rPr>
        <w:t> </w:t>
      </w:r>
    </w:p>
    <w:p w14:paraId="33619DC7" w14:textId="77777777" w:rsidR="00F0080E" w:rsidRPr="007D36D7" w:rsidRDefault="00F0080E" w:rsidP="00F0080E">
      <w:pPr>
        <w:spacing w:after="0" w:line="276" w:lineRule="auto"/>
        <w:rPr>
          <w:rFonts w:ascii="Arial" w:eastAsia="Calibri" w:hAnsi="Arial" w:cs="Arial"/>
          <w:color w:val="000000" w:themeColor="text1"/>
          <w:sz w:val="24"/>
          <w:szCs w:val="24"/>
        </w:rPr>
      </w:pPr>
      <w:r w:rsidRPr="007D36D7">
        <w:rPr>
          <w:rFonts w:ascii="Arial" w:eastAsia="Calibri" w:hAnsi="Arial" w:cs="Arial"/>
          <w:color w:val="000000" w:themeColor="text1"/>
          <w:sz w:val="24"/>
          <w:szCs w:val="24"/>
        </w:rPr>
        <w:t>Question(s): </w:t>
      </w:r>
    </w:p>
    <w:p w14:paraId="42EE9FED" w14:textId="5570808E" w:rsidR="00F0080E" w:rsidRPr="00877493" w:rsidRDefault="00F0080E" w:rsidP="00F0080E">
      <w:pPr>
        <w:numPr>
          <w:ilvl w:val="0"/>
          <w:numId w:val="5"/>
        </w:numPr>
        <w:spacing w:after="0" w:line="276" w:lineRule="auto"/>
        <w:rPr>
          <w:rFonts w:ascii="Arial" w:eastAsia="Calibri" w:hAnsi="Arial" w:cs="Arial"/>
          <w:color w:val="000000" w:themeColor="text1"/>
          <w:sz w:val="24"/>
          <w:szCs w:val="24"/>
        </w:rPr>
      </w:pPr>
      <w:r w:rsidRPr="00877493">
        <w:rPr>
          <w:rFonts w:ascii="Arial" w:eastAsia="Calibri" w:hAnsi="Arial" w:cs="Arial"/>
          <w:color w:val="000000" w:themeColor="text1"/>
          <w:sz w:val="24"/>
          <w:szCs w:val="24"/>
        </w:rPr>
        <w:t xml:space="preserve">In the instance the OEB releases any updated rates/charges (e.g., 2027 </w:t>
      </w:r>
      <w:r w:rsidRPr="7DA37D75">
        <w:rPr>
          <w:rFonts w:ascii="Arial" w:eastAsia="Calibri" w:hAnsi="Arial" w:cs="Arial"/>
          <w:color w:val="000000" w:themeColor="text1"/>
          <w:sz w:val="24"/>
          <w:szCs w:val="24"/>
        </w:rPr>
        <w:t>preliminary Uniform</w:t>
      </w:r>
      <w:r w:rsidRPr="00877493">
        <w:rPr>
          <w:rFonts w:ascii="Arial" w:eastAsia="Calibri" w:hAnsi="Arial" w:cs="Arial"/>
          <w:color w:val="000000" w:themeColor="text1"/>
          <w:sz w:val="24"/>
          <w:szCs w:val="24"/>
        </w:rPr>
        <w:t xml:space="preserve"> Transmission Rates) before </w:t>
      </w:r>
      <w:r w:rsidR="00B2474C" w:rsidRPr="00B2474C">
        <w:rPr>
          <w:rFonts w:ascii="Arial" w:eastAsia="Calibri" w:hAnsi="Arial" w:cs="Arial"/>
          <w:color w:val="000000" w:themeColor="text1"/>
          <w:sz w:val="24"/>
          <w:szCs w:val="24"/>
        </w:rPr>
        <w:t>EPLC</w:t>
      </w:r>
      <w:r w:rsidRPr="00877493">
        <w:rPr>
          <w:rFonts w:ascii="Arial" w:eastAsia="Calibri" w:hAnsi="Arial" w:cs="Arial"/>
          <w:color w:val="000000" w:themeColor="text1"/>
          <w:sz w:val="24"/>
          <w:szCs w:val="24"/>
        </w:rPr>
        <w:t xml:space="preserve"> provides its responses to OEB staff’s questions, please update the Rate Generator Model, as applicable. If any updates are made, please identify the rate and/or charge that have been updated. </w:t>
      </w:r>
    </w:p>
    <w:p w14:paraId="1D3D967A" w14:textId="65238027" w:rsidR="00A55013" w:rsidRDefault="00A55013" w:rsidP="00F71708"/>
    <w:p w14:paraId="512E5EC4" w14:textId="77777777" w:rsidR="00CE3251" w:rsidRDefault="00CE3251" w:rsidP="00A55013">
      <w:pPr>
        <w:pStyle w:val="Default"/>
        <w:spacing w:line="276" w:lineRule="auto"/>
        <w:rPr>
          <w:b/>
          <w:bCs/>
        </w:rPr>
      </w:pPr>
    </w:p>
    <w:p w14:paraId="06555334" w14:textId="2F75B1AF" w:rsidR="00A55013" w:rsidRPr="001E0660" w:rsidRDefault="00A55013" w:rsidP="00A55013">
      <w:pPr>
        <w:pStyle w:val="Default"/>
        <w:spacing w:line="276" w:lineRule="auto"/>
        <w:rPr>
          <w:b/>
          <w:bCs/>
        </w:rPr>
      </w:pPr>
      <w:r w:rsidRPr="001E0660">
        <w:rPr>
          <w:b/>
          <w:bCs/>
        </w:rPr>
        <w:t>Staff Question/Interrogatory</w:t>
      </w:r>
      <w:r w:rsidR="009074BD">
        <w:rPr>
          <w:b/>
          <w:bCs/>
        </w:rPr>
        <w:t xml:space="preserve"> </w:t>
      </w:r>
      <w:r w:rsidRPr="001E0660">
        <w:rPr>
          <w:b/>
          <w:bCs/>
        </w:rPr>
        <w:t>-</w:t>
      </w:r>
      <w:r w:rsidR="009074BD">
        <w:rPr>
          <w:b/>
          <w:bCs/>
        </w:rPr>
        <w:t xml:space="preserve"> </w:t>
      </w:r>
      <w:r>
        <w:rPr>
          <w:b/>
          <w:bCs/>
        </w:rPr>
        <w:t>4</w:t>
      </w:r>
    </w:p>
    <w:p w14:paraId="54E9DB19" w14:textId="3F90B72D" w:rsidR="00A07030" w:rsidRDefault="00A07030" w:rsidP="00F71708">
      <w:pPr>
        <w:rPr>
          <w:rFonts w:ascii="Arial" w:hAnsi="Arial" w:cs="Arial"/>
          <w:b/>
          <w:sz w:val="24"/>
          <w:szCs w:val="24"/>
        </w:rPr>
      </w:pPr>
      <w:r w:rsidRPr="00197BFF">
        <w:rPr>
          <w:rFonts w:ascii="Arial" w:hAnsi="Arial" w:cs="Arial"/>
          <w:b/>
          <w:sz w:val="24"/>
          <w:szCs w:val="24"/>
        </w:rPr>
        <w:t xml:space="preserve">Ref 1: </w:t>
      </w:r>
      <w:r w:rsidR="008D1963">
        <w:rPr>
          <w:rFonts w:ascii="Arial" w:hAnsi="Arial" w:cs="Arial"/>
          <w:b/>
          <w:sz w:val="24"/>
          <w:szCs w:val="24"/>
        </w:rPr>
        <w:t>EPLC 2027 Rate Generator</w:t>
      </w:r>
      <w:r w:rsidR="00C92FD4">
        <w:rPr>
          <w:rFonts w:ascii="Arial" w:hAnsi="Arial" w:cs="Arial"/>
          <w:b/>
          <w:sz w:val="24"/>
          <w:szCs w:val="24"/>
        </w:rPr>
        <w:t xml:space="preserve">, </w:t>
      </w:r>
      <w:r w:rsidR="009074BD">
        <w:rPr>
          <w:rFonts w:ascii="Arial" w:hAnsi="Arial" w:cs="Arial"/>
          <w:b/>
          <w:sz w:val="24"/>
          <w:szCs w:val="24"/>
        </w:rPr>
        <w:t>Tab 6 Class A Consumption</w:t>
      </w:r>
    </w:p>
    <w:p w14:paraId="0057D955" w14:textId="3A5BA991" w:rsidR="000727CE" w:rsidRPr="000727CE" w:rsidRDefault="000727CE" w:rsidP="00F71708">
      <w:pPr>
        <w:rPr>
          <w:rFonts w:ascii="Arial" w:hAnsi="Arial" w:cs="Arial"/>
          <w:bCs/>
          <w:sz w:val="24"/>
          <w:szCs w:val="24"/>
        </w:rPr>
      </w:pPr>
      <w:r>
        <w:rPr>
          <w:rFonts w:ascii="Arial" w:hAnsi="Arial" w:cs="Arial"/>
          <w:bCs/>
          <w:sz w:val="24"/>
          <w:szCs w:val="24"/>
        </w:rPr>
        <w:t>Preamble:</w:t>
      </w:r>
    </w:p>
    <w:p w14:paraId="0D6268A2" w14:textId="6DC273F3" w:rsidR="00B01E9F" w:rsidRDefault="00BF212F" w:rsidP="00F71708">
      <w:r w:rsidRPr="00BF212F">
        <w:rPr>
          <w:noProof/>
        </w:rPr>
        <w:drawing>
          <wp:inline distT="0" distB="0" distL="0" distR="0" wp14:anchorId="57E710A9" wp14:editId="06C155C9">
            <wp:extent cx="6248946" cy="1117600"/>
            <wp:effectExtent l="0" t="0" r="0" b="6350"/>
            <wp:docPr id="1769372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372704" name=""/>
                    <pic:cNvPicPr/>
                  </pic:nvPicPr>
                  <pic:blipFill>
                    <a:blip r:embed="rId10"/>
                    <a:stretch>
                      <a:fillRect/>
                    </a:stretch>
                  </pic:blipFill>
                  <pic:spPr>
                    <a:xfrm>
                      <a:off x="0" y="0"/>
                      <a:ext cx="6250038" cy="1117795"/>
                    </a:xfrm>
                    <a:prstGeom prst="rect">
                      <a:avLst/>
                    </a:prstGeom>
                  </pic:spPr>
                </pic:pic>
              </a:graphicData>
            </a:graphic>
          </wp:inline>
        </w:drawing>
      </w:r>
    </w:p>
    <w:p w14:paraId="22C7B868" w14:textId="77777777" w:rsidR="00BF212F" w:rsidRPr="007D36D7" w:rsidRDefault="00BF212F" w:rsidP="00BF212F">
      <w:pPr>
        <w:spacing w:after="0" w:line="276" w:lineRule="auto"/>
        <w:rPr>
          <w:rFonts w:ascii="Arial" w:eastAsia="Calibri" w:hAnsi="Arial" w:cs="Arial"/>
          <w:color w:val="000000" w:themeColor="text1"/>
          <w:sz w:val="24"/>
          <w:szCs w:val="24"/>
        </w:rPr>
      </w:pPr>
      <w:r w:rsidRPr="007D36D7">
        <w:rPr>
          <w:rFonts w:ascii="Arial" w:eastAsia="Calibri" w:hAnsi="Arial" w:cs="Arial"/>
          <w:color w:val="000000" w:themeColor="text1"/>
          <w:sz w:val="24"/>
          <w:szCs w:val="24"/>
        </w:rPr>
        <w:t>Question(s): </w:t>
      </w:r>
    </w:p>
    <w:p w14:paraId="229A50D9" w14:textId="3F52437D" w:rsidR="00BF212F" w:rsidRDefault="007439C7" w:rsidP="00CE3251">
      <w:pPr>
        <w:pStyle w:val="ListParagraph"/>
        <w:numPr>
          <w:ilvl w:val="0"/>
          <w:numId w:val="7"/>
        </w:numPr>
        <w:rPr>
          <w:rFonts w:ascii="Arial" w:hAnsi="Arial" w:cs="Arial"/>
          <w:sz w:val="24"/>
          <w:szCs w:val="24"/>
        </w:rPr>
      </w:pPr>
      <w:r w:rsidRPr="007439C7">
        <w:rPr>
          <w:rFonts w:ascii="Arial" w:hAnsi="Arial" w:cs="Arial"/>
          <w:sz w:val="24"/>
          <w:szCs w:val="24"/>
        </w:rPr>
        <w:t>Customer</w:t>
      </w:r>
      <w:r>
        <w:rPr>
          <w:rFonts w:ascii="Arial" w:hAnsi="Arial" w:cs="Arial"/>
          <w:sz w:val="24"/>
          <w:szCs w:val="24"/>
        </w:rPr>
        <w:t xml:space="preserve"> </w:t>
      </w:r>
      <w:r w:rsidR="004669CC">
        <w:rPr>
          <w:rFonts w:ascii="Arial" w:hAnsi="Arial" w:cs="Arial"/>
          <w:sz w:val="24"/>
          <w:szCs w:val="24"/>
        </w:rPr>
        <w:t>1</w:t>
      </w:r>
      <w:r w:rsidR="00A61C13">
        <w:rPr>
          <w:rFonts w:ascii="Arial" w:hAnsi="Arial" w:cs="Arial"/>
          <w:sz w:val="24"/>
          <w:szCs w:val="24"/>
        </w:rPr>
        <w:t xml:space="preserve"> had a substantial </w:t>
      </w:r>
      <w:r w:rsidR="001A289A">
        <w:rPr>
          <w:rFonts w:ascii="Arial" w:hAnsi="Arial" w:cs="Arial"/>
          <w:sz w:val="24"/>
          <w:szCs w:val="24"/>
        </w:rPr>
        <w:t>in</w:t>
      </w:r>
      <w:r w:rsidR="00A61C13">
        <w:rPr>
          <w:rFonts w:ascii="Arial" w:hAnsi="Arial" w:cs="Arial"/>
          <w:sz w:val="24"/>
          <w:szCs w:val="24"/>
        </w:rPr>
        <w:t xml:space="preserve">crease in consumption transferring from Class </w:t>
      </w:r>
      <w:r w:rsidR="002D28DC">
        <w:rPr>
          <w:rFonts w:ascii="Arial" w:hAnsi="Arial" w:cs="Arial"/>
          <w:sz w:val="24"/>
          <w:szCs w:val="24"/>
        </w:rPr>
        <w:t>B at 5,222,000</w:t>
      </w:r>
      <w:r w:rsidR="00701608">
        <w:rPr>
          <w:rFonts w:ascii="Arial" w:hAnsi="Arial" w:cs="Arial"/>
          <w:sz w:val="24"/>
          <w:szCs w:val="24"/>
        </w:rPr>
        <w:t xml:space="preserve"> kWh to </w:t>
      </w:r>
      <w:r w:rsidR="00D56EBF">
        <w:rPr>
          <w:rFonts w:ascii="Arial" w:hAnsi="Arial" w:cs="Arial"/>
          <w:sz w:val="24"/>
          <w:szCs w:val="24"/>
        </w:rPr>
        <w:t xml:space="preserve">Class A at </w:t>
      </w:r>
      <w:r w:rsidR="00AA0BF2">
        <w:rPr>
          <w:rFonts w:ascii="Arial" w:hAnsi="Arial" w:cs="Arial"/>
          <w:sz w:val="24"/>
          <w:szCs w:val="24"/>
        </w:rPr>
        <w:t>14,</w:t>
      </w:r>
      <w:r w:rsidR="00F61347">
        <w:rPr>
          <w:rFonts w:ascii="Arial" w:hAnsi="Arial" w:cs="Arial"/>
          <w:sz w:val="24"/>
          <w:szCs w:val="24"/>
        </w:rPr>
        <w:t>614</w:t>
      </w:r>
      <w:r w:rsidR="00D56EBF">
        <w:rPr>
          <w:rFonts w:ascii="Arial" w:hAnsi="Arial" w:cs="Arial"/>
          <w:sz w:val="24"/>
          <w:szCs w:val="24"/>
        </w:rPr>
        <w:t>,834 kWh.</w:t>
      </w:r>
      <w:r w:rsidR="00CE3251">
        <w:rPr>
          <w:rFonts w:ascii="Arial" w:hAnsi="Arial" w:cs="Arial"/>
          <w:sz w:val="24"/>
          <w:szCs w:val="24"/>
        </w:rPr>
        <w:t xml:space="preserve"> </w:t>
      </w:r>
      <w:r w:rsidR="00CE3251" w:rsidRPr="00CE3251">
        <w:rPr>
          <w:rFonts w:ascii="Arial" w:hAnsi="Arial" w:cs="Arial"/>
          <w:sz w:val="24"/>
          <w:szCs w:val="24"/>
        </w:rPr>
        <w:t xml:space="preserve">Please explain the </w:t>
      </w:r>
      <w:proofErr w:type="gramStart"/>
      <w:r w:rsidR="00CE3251" w:rsidRPr="00CE3251">
        <w:rPr>
          <w:rFonts w:ascii="Arial" w:hAnsi="Arial" w:cs="Arial"/>
          <w:sz w:val="24"/>
          <w:szCs w:val="24"/>
        </w:rPr>
        <w:t>factor</w:t>
      </w:r>
      <w:r w:rsidR="00426F6E">
        <w:rPr>
          <w:rFonts w:ascii="Arial" w:hAnsi="Arial" w:cs="Arial"/>
          <w:sz w:val="24"/>
          <w:szCs w:val="24"/>
        </w:rPr>
        <w:t>(</w:t>
      </w:r>
      <w:r w:rsidR="00CE3251" w:rsidRPr="00CE3251">
        <w:rPr>
          <w:rFonts w:ascii="Arial" w:hAnsi="Arial" w:cs="Arial"/>
          <w:sz w:val="24"/>
          <w:szCs w:val="24"/>
        </w:rPr>
        <w:t>s</w:t>
      </w:r>
      <w:r w:rsidR="00426F6E">
        <w:rPr>
          <w:rFonts w:ascii="Arial" w:hAnsi="Arial" w:cs="Arial"/>
          <w:sz w:val="24"/>
          <w:szCs w:val="24"/>
        </w:rPr>
        <w:t>)</w:t>
      </w:r>
      <w:proofErr w:type="gramEnd"/>
      <w:r w:rsidR="00CE3251" w:rsidRPr="00CE3251">
        <w:rPr>
          <w:rFonts w:ascii="Arial" w:hAnsi="Arial" w:cs="Arial"/>
          <w:sz w:val="24"/>
          <w:szCs w:val="24"/>
        </w:rPr>
        <w:t xml:space="preserve"> that have resulted in the big difference.</w:t>
      </w:r>
    </w:p>
    <w:p w14:paraId="307C3C95" w14:textId="324CEC4F" w:rsidR="00CE3251" w:rsidRPr="001E0660" w:rsidRDefault="00CE3251" w:rsidP="00CE3251">
      <w:pPr>
        <w:pStyle w:val="Default"/>
        <w:spacing w:line="276" w:lineRule="auto"/>
        <w:rPr>
          <w:b/>
          <w:bCs/>
        </w:rPr>
      </w:pPr>
      <w:r w:rsidRPr="001E0660">
        <w:rPr>
          <w:b/>
          <w:bCs/>
        </w:rPr>
        <w:lastRenderedPageBreak/>
        <w:t>Staff Question</w:t>
      </w:r>
      <w:r>
        <w:rPr>
          <w:b/>
          <w:bCs/>
        </w:rPr>
        <w:t xml:space="preserve"> </w:t>
      </w:r>
      <w:r w:rsidRPr="001E0660">
        <w:rPr>
          <w:b/>
          <w:bCs/>
        </w:rPr>
        <w:t>-</w:t>
      </w:r>
      <w:r>
        <w:rPr>
          <w:b/>
          <w:bCs/>
        </w:rPr>
        <w:t xml:space="preserve"> 5</w:t>
      </w:r>
    </w:p>
    <w:p w14:paraId="56D79999" w14:textId="6C010F05" w:rsidR="00FA3E7A" w:rsidRPr="00197BFF" w:rsidRDefault="00FA3E7A" w:rsidP="00FA3E7A">
      <w:pPr>
        <w:autoSpaceDE w:val="0"/>
        <w:autoSpaceDN w:val="0"/>
        <w:adjustRightInd w:val="0"/>
        <w:spacing w:after="0"/>
        <w:rPr>
          <w:rFonts w:ascii="Arial" w:hAnsi="Arial" w:cs="Arial"/>
          <w:b/>
          <w:sz w:val="24"/>
          <w:szCs w:val="24"/>
        </w:rPr>
      </w:pPr>
      <w:r w:rsidRPr="00197BFF">
        <w:rPr>
          <w:rFonts w:ascii="Arial" w:hAnsi="Arial" w:cs="Arial"/>
          <w:b/>
          <w:sz w:val="24"/>
          <w:szCs w:val="24"/>
        </w:rPr>
        <w:t xml:space="preserve">Ref 1: </w:t>
      </w:r>
      <w:r w:rsidRPr="00FA3E7A">
        <w:rPr>
          <w:rFonts w:ascii="Arial" w:hAnsi="Arial" w:cs="Arial"/>
          <w:b/>
          <w:sz w:val="24"/>
          <w:szCs w:val="24"/>
        </w:rPr>
        <w:t>EPLC 2027 Rate Generator, Tab 3 Continuity Schedule</w:t>
      </w:r>
    </w:p>
    <w:p w14:paraId="282C6D48" w14:textId="00642D6A" w:rsidR="00FA3E7A" w:rsidRDefault="00FA3E7A" w:rsidP="00FA3E7A">
      <w:pPr>
        <w:autoSpaceDE w:val="0"/>
        <w:autoSpaceDN w:val="0"/>
        <w:adjustRightInd w:val="0"/>
        <w:spacing w:after="0"/>
        <w:rPr>
          <w:rFonts w:ascii="Arial" w:hAnsi="Arial" w:cs="Arial"/>
          <w:b/>
          <w:sz w:val="24"/>
          <w:szCs w:val="24"/>
        </w:rPr>
      </w:pPr>
      <w:r w:rsidRPr="00197BFF">
        <w:rPr>
          <w:rFonts w:ascii="Arial" w:hAnsi="Arial" w:cs="Arial"/>
          <w:b/>
          <w:sz w:val="24"/>
          <w:szCs w:val="24"/>
        </w:rPr>
        <w:t xml:space="preserve">Ref 2: </w:t>
      </w:r>
      <w:r w:rsidR="007A2862">
        <w:rPr>
          <w:rFonts w:ascii="Arial" w:hAnsi="Arial" w:cs="Arial"/>
          <w:b/>
          <w:sz w:val="24"/>
          <w:szCs w:val="24"/>
        </w:rPr>
        <w:t>EB-</w:t>
      </w:r>
      <w:r w:rsidR="00CE48C0">
        <w:rPr>
          <w:rFonts w:ascii="Arial" w:hAnsi="Arial" w:cs="Arial"/>
          <w:b/>
          <w:sz w:val="24"/>
          <w:szCs w:val="24"/>
        </w:rPr>
        <w:t xml:space="preserve">2024-0022, Essex Cost of Service Application, </w:t>
      </w:r>
      <w:r w:rsidR="002A751D">
        <w:rPr>
          <w:rFonts w:ascii="Arial" w:hAnsi="Arial" w:cs="Arial"/>
          <w:b/>
          <w:sz w:val="24"/>
          <w:szCs w:val="24"/>
        </w:rPr>
        <w:t>Exhibit 9</w:t>
      </w:r>
    </w:p>
    <w:p w14:paraId="0A2E443D" w14:textId="2B168DB7" w:rsidR="002A751D" w:rsidRPr="00197BFF" w:rsidRDefault="002A751D" w:rsidP="00FA3E7A">
      <w:pPr>
        <w:autoSpaceDE w:val="0"/>
        <w:autoSpaceDN w:val="0"/>
        <w:adjustRightInd w:val="0"/>
        <w:spacing w:after="0"/>
        <w:rPr>
          <w:rFonts w:ascii="Arial" w:hAnsi="Arial" w:cs="Arial"/>
          <w:b/>
          <w:sz w:val="24"/>
          <w:szCs w:val="24"/>
        </w:rPr>
      </w:pPr>
      <w:r>
        <w:rPr>
          <w:rFonts w:ascii="Arial" w:hAnsi="Arial" w:cs="Arial"/>
          <w:b/>
          <w:sz w:val="24"/>
          <w:szCs w:val="24"/>
        </w:rPr>
        <w:t>Ref 3:</w:t>
      </w:r>
      <w:r w:rsidR="00AA71EA">
        <w:rPr>
          <w:rFonts w:ascii="Arial" w:hAnsi="Arial" w:cs="Arial"/>
          <w:b/>
          <w:sz w:val="24"/>
          <w:szCs w:val="24"/>
        </w:rPr>
        <w:t xml:space="preserve"> EB-2025-0040, Decision and Rate Order, p. 12</w:t>
      </w:r>
    </w:p>
    <w:p w14:paraId="4B692FCF" w14:textId="77777777" w:rsidR="00FA3E7A" w:rsidRDefault="00FA3E7A" w:rsidP="00FA3E7A">
      <w:pPr>
        <w:spacing w:after="0"/>
        <w:rPr>
          <w:rFonts w:ascii="Arial" w:hAnsi="Arial" w:cs="Arial"/>
          <w:szCs w:val="24"/>
        </w:rPr>
      </w:pPr>
    </w:p>
    <w:p w14:paraId="5817ECC6" w14:textId="77777777" w:rsidR="00AA71EA" w:rsidRPr="005A78D9" w:rsidRDefault="00AA71EA" w:rsidP="00AA71EA">
      <w:pPr>
        <w:pStyle w:val="Default"/>
        <w:spacing w:line="276" w:lineRule="auto"/>
      </w:pPr>
      <w:r w:rsidRPr="005A78D9">
        <w:t>Preamble:</w:t>
      </w:r>
    </w:p>
    <w:p w14:paraId="44F1F666" w14:textId="4F75BB6B" w:rsidR="00FA3E7A" w:rsidRDefault="008F4E1A" w:rsidP="00AA71EA">
      <w:pPr>
        <w:rPr>
          <w:rFonts w:ascii="Arial" w:hAnsi="Arial" w:cs="Arial"/>
          <w:sz w:val="24"/>
          <w:szCs w:val="24"/>
        </w:rPr>
      </w:pPr>
      <w:r>
        <w:rPr>
          <w:rFonts w:ascii="Arial" w:hAnsi="Arial" w:cs="Arial"/>
          <w:sz w:val="24"/>
          <w:szCs w:val="24"/>
        </w:rPr>
        <w:t xml:space="preserve">OEB </w:t>
      </w:r>
      <w:r w:rsidR="0064319F">
        <w:rPr>
          <w:rFonts w:ascii="Arial" w:hAnsi="Arial" w:cs="Arial"/>
          <w:sz w:val="24"/>
          <w:szCs w:val="24"/>
        </w:rPr>
        <w:t>s</w:t>
      </w:r>
      <w:r>
        <w:rPr>
          <w:rFonts w:ascii="Arial" w:hAnsi="Arial" w:cs="Arial"/>
          <w:sz w:val="24"/>
          <w:szCs w:val="24"/>
        </w:rPr>
        <w:t xml:space="preserve">taff notes that </w:t>
      </w:r>
      <w:r w:rsidR="00092916">
        <w:rPr>
          <w:rFonts w:ascii="Arial" w:hAnsi="Arial" w:cs="Arial"/>
          <w:sz w:val="24"/>
          <w:szCs w:val="24"/>
        </w:rPr>
        <w:t>Account 1595</w:t>
      </w:r>
      <w:r w:rsidR="0064319F">
        <w:rPr>
          <w:rFonts w:ascii="Arial" w:hAnsi="Arial" w:cs="Arial"/>
          <w:sz w:val="24"/>
          <w:szCs w:val="24"/>
        </w:rPr>
        <w:t xml:space="preserve"> </w:t>
      </w:r>
      <w:r w:rsidR="00A21218">
        <w:rPr>
          <w:rFonts w:ascii="Arial" w:hAnsi="Arial" w:cs="Arial"/>
          <w:sz w:val="24"/>
          <w:szCs w:val="24"/>
        </w:rPr>
        <w:t xml:space="preserve">(2021) was disposed </w:t>
      </w:r>
      <w:proofErr w:type="gramStart"/>
      <w:r w:rsidR="00A21218">
        <w:rPr>
          <w:rFonts w:ascii="Arial" w:hAnsi="Arial" w:cs="Arial"/>
          <w:sz w:val="24"/>
          <w:szCs w:val="24"/>
        </w:rPr>
        <w:t>in</w:t>
      </w:r>
      <w:proofErr w:type="gramEnd"/>
      <w:r w:rsidR="00A21218">
        <w:rPr>
          <w:rFonts w:ascii="Arial" w:hAnsi="Arial" w:cs="Arial"/>
          <w:sz w:val="24"/>
          <w:szCs w:val="24"/>
        </w:rPr>
        <w:t xml:space="preserve"> </w:t>
      </w:r>
      <w:r w:rsidR="00A36CED">
        <w:rPr>
          <w:rFonts w:ascii="Arial" w:hAnsi="Arial" w:cs="Arial"/>
          <w:sz w:val="24"/>
          <w:szCs w:val="24"/>
        </w:rPr>
        <w:t xml:space="preserve">EPLCs’ </w:t>
      </w:r>
      <w:r w:rsidR="00A21218">
        <w:rPr>
          <w:rFonts w:ascii="Arial" w:hAnsi="Arial" w:cs="Arial"/>
          <w:sz w:val="24"/>
          <w:szCs w:val="24"/>
        </w:rPr>
        <w:t>2026 IRM Decision</w:t>
      </w:r>
      <w:r w:rsidR="0064319F">
        <w:rPr>
          <w:rFonts w:ascii="Arial" w:hAnsi="Arial" w:cs="Arial"/>
          <w:sz w:val="24"/>
          <w:szCs w:val="24"/>
        </w:rPr>
        <w:t xml:space="preserve"> and Rate Order</w:t>
      </w:r>
      <w:r w:rsidR="00A21218">
        <w:rPr>
          <w:rFonts w:ascii="Arial" w:hAnsi="Arial" w:cs="Arial"/>
          <w:sz w:val="24"/>
          <w:szCs w:val="24"/>
        </w:rPr>
        <w:t xml:space="preserve"> </w:t>
      </w:r>
      <w:r w:rsidR="006850AD">
        <w:rPr>
          <w:rFonts w:ascii="Arial" w:hAnsi="Arial" w:cs="Arial"/>
          <w:sz w:val="24"/>
          <w:szCs w:val="24"/>
        </w:rPr>
        <w:t>as in Reference 2, and Account</w:t>
      </w:r>
      <w:r w:rsidR="007E43C3">
        <w:rPr>
          <w:rFonts w:ascii="Arial" w:hAnsi="Arial" w:cs="Arial"/>
          <w:sz w:val="24"/>
          <w:szCs w:val="24"/>
        </w:rPr>
        <w:t xml:space="preserve"> </w:t>
      </w:r>
      <w:r w:rsidR="006850AD">
        <w:rPr>
          <w:rFonts w:ascii="Arial" w:hAnsi="Arial" w:cs="Arial"/>
          <w:sz w:val="24"/>
          <w:szCs w:val="24"/>
        </w:rPr>
        <w:t>(2018)</w:t>
      </w:r>
      <w:r w:rsidR="007E43C3">
        <w:rPr>
          <w:rFonts w:ascii="Arial" w:hAnsi="Arial" w:cs="Arial"/>
          <w:sz w:val="24"/>
          <w:szCs w:val="24"/>
        </w:rPr>
        <w:t xml:space="preserve"> was disposed </w:t>
      </w:r>
      <w:proofErr w:type="gramStart"/>
      <w:r w:rsidR="007E43C3">
        <w:rPr>
          <w:rFonts w:ascii="Arial" w:hAnsi="Arial" w:cs="Arial"/>
          <w:sz w:val="24"/>
          <w:szCs w:val="24"/>
        </w:rPr>
        <w:t>in</w:t>
      </w:r>
      <w:proofErr w:type="gramEnd"/>
      <w:r w:rsidR="007E43C3">
        <w:rPr>
          <w:rFonts w:ascii="Arial" w:hAnsi="Arial" w:cs="Arial"/>
          <w:sz w:val="24"/>
          <w:szCs w:val="24"/>
        </w:rPr>
        <w:t xml:space="preserve"> </w:t>
      </w:r>
      <w:r w:rsidR="00A36CED">
        <w:rPr>
          <w:rFonts w:ascii="Arial" w:hAnsi="Arial" w:cs="Arial"/>
          <w:sz w:val="24"/>
          <w:szCs w:val="24"/>
        </w:rPr>
        <w:t xml:space="preserve">EPLC’s </w:t>
      </w:r>
      <w:r w:rsidR="007E43C3">
        <w:rPr>
          <w:rFonts w:ascii="Arial" w:hAnsi="Arial" w:cs="Arial"/>
          <w:sz w:val="24"/>
          <w:szCs w:val="24"/>
        </w:rPr>
        <w:t xml:space="preserve">2025 Cost of Service </w:t>
      </w:r>
      <w:r w:rsidR="00A36CED">
        <w:rPr>
          <w:rFonts w:ascii="Arial" w:hAnsi="Arial" w:cs="Arial"/>
          <w:sz w:val="24"/>
          <w:szCs w:val="24"/>
        </w:rPr>
        <w:t>a</w:t>
      </w:r>
      <w:r w:rsidR="007E43C3">
        <w:rPr>
          <w:rFonts w:ascii="Arial" w:hAnsi="Arial" w:cs="Arial"/>
          <w:sz w:val="24"/>
          <w:szCs w:val="24"/>
        </w:rPr>
        <w:t xml:space="preserve">pplication. </w:t>
      </w:r>
    </w:p>
    <w:p w14:paraId="15411394" w14:textId="77777777" w:rsidR="009A4E42" w:rsidRPr="007D36D7" w:rsidRDefault="009A4E42" w:rsidP="009A4E42">
      <w:pPr>
        <w:spacing w:after="0" w:line="276" w:lineRule="auto"/>
        <w:rPr>
          <w:rFonts w:ascii="Arial" w:eastAsia="Calibri" w:hAnsi="Arial" w:cs="Arial"/>
          <w:color w:val="000000" w:themeColor="text1"/>
          <w:sz w:val="24"/>
          <w:szCs w:val="24"/>
        </w:rPr>
      </w:pPr>
      <w:r w:rsidRPr="007D36D7">
        <w:rPr>
          <w:rFonts w:ascii="Arial" w:eastAsia="Calibri" w:hAnsi="Arial" w:cs="Arial"/>
          <w:color w:val="000000" w:themeColor="text1"/>
          <w:sz w:val="24"/>
          <w:szCs w:val="24"/>
        </w:rPr>
        <w:t>Question(s): </w:t>
      </w:r>
    </w:p>
    <w:p w14:paraId="0DC7DDF1" w14:textId="77777777" w:rsidR="00D21868" w:rsidRDefault="00D21868" w:rsidP="009A4E42">
      <w:pPr>
        <w:pStyle w:val="ListParagraph"/>
        <w:numPr>
          <w:ilvl w:val="0"/>
          <w:numId w:val="8"/>
        </w:numPr>
        <w:rPr>
          <w:rFonts w:ascii="Arial" w:hAnsi="Arial" w:cs="Arial"/>
          <w:sz w:val="24"/>
          <w:szCs w:val="24"/>
          <w:lang w:val="en-CA"/>
        </w:rPr>
      </w:pPr>
      <w:r w:rsidRPr="00D21868">
        <w:rPr>
          <w:rFonts w:ascii="Arial" w:hAnsi="Arial" w:cs="Arial"/>
          <w:sz w:val="24"/>
          <w:szCs w:val="24"/>
          <w:lang w:val="en-CA"/>
        </w:rPr>
        <w:t>Please clarify whether the balance recorded in Account 1595 (2019 and pre-2019) consists solely of the Account 1595 (2019) balance. If not, please identify any other years' Account 1595 balances that have been included in Account 1595 (2019 and pre-2019) and provide a breakdown by year.</w:t>
      </w:r>
    </w:p>
    <w:p w14:paraId="0A723D75" w14:textId="7A296BF6" w:rsidR="00B40571" w:rsidRDefault="00B40571" w:rsidP="009A4E42">
      <w:pPr>
        <w:pStyle w:val="ListParagraph"/>
        <w:numPr>
          <w:ilvl w:val="0"/>
          <w:numId w:val="8"/>
        </w:numPr>
        <w:rPr>
          <w:rFonts w:ascii="Arial" w:hAnsi="Arial" w:cs="Arial"/>
          <w:sz w:val="24"/>
          <w:szCs w:val="24"/>
          <w:lang w:val="en-CA"/>
        </w:rPr>
      </w:pPr>
      <w:r>
        <w:rPr>
          <w:rFonts w:ascii="Arial" w:hAnsi="Arial" w:cs="Arial"/>
          <w:sz w:val="24"/>
          <w:szCs w:val="24"/>
          <w:lang w:val="en-CA"/>
        </w:rPr>
        <w:t xml:space="preserve">Please explain why EPLC </w:t>
      </w:r>
      <w:r w:rsidR="00783BE0" w:rsidRPr="00783BE0">
        <w:rPr>
          <w:rFonts w:ascii="Arial" w:hAnsi="Arial" w:cs="Arial"/>
          <w:sz w:val="24"/>
          <w:szCs w:val="24"/>
          <w:lang w:val="en-CA"/>
        </w:rPr>
        <w:t>has not proposed disposition of the Account 1595 (2023) balance in this application</w:t>
      </w:r>
      <w:r>
        <w:rPr>
          <w:rFonts w:ascii="Arial" w:hAnsi="Arial" w:cs="Arial"/>
          <w:sz w:val="24"/>
          <w:szCs w:val="24"/>
          <w:lang w:val="en-CA"/>
        </w:rPr>
        <w:t>.</w:t>
      </w:r>
    </w:p>
    <w:p w14:paraId="7AF99B6C" w14:textId="77777777" w:rsidR="002666BA" w:rsidRDefault="002666BA" w:rsidP="002666BA">
      <w:pPr>
        <w:rPr>
          <w:rFonts w:ascii="Arial" w:hAnsi="Arial" w:cs="Arial"/>
          <w:sz w:val="24"/>
          <w:szCs w:val="24"/>
          <w:lang w:val="en-CA"/>
        </w:rPr>
      </w:pPr>
    </w:p>
    <w:p w14:paraId="79F12725" w14:textId="41438CA7" w:rsidR="002666BA" w:rsidRPr="001E0660" w:rsidRDefault="002666BA" w:rsidP="002666BA">
      <w:pPr>
        <w:pStyle w:val="Default"/>
        <w:spacing w:line="276" w:lineRule="auto"/>
        <w:rPr>
          <w:b/>
          <w:bCs/>
        </w:rPr>
      </w:pPr>
      <w:r w:rsidRPr="001E0660">
        <w:rPr>
          <w:b/>
          <w:bCs/>
        </w:rPr>
        <w:t>Staff Question</w:t>
      </w:r>
      <w:r>
        <w:rPr>
          <w:b/>
          <w:bCs/>
        </w:rPr>
        <w:t xml:space="preserve"> </w:t>
      </w:r>
      <w:r w:rsidRPr="001E0660">
        <w:rPr>
          <w:b/>
          <w:bCs/>
        </w:rPr>
        <w:t>-</w:t>
      </w:r>
      <w:r>
        <w:rPr>
          <w:b/>
          <w:bCs/>
        </w:rPr>
        <w:t xml:space="preserve"> 6</w:t>
      </w:r>
    </w:p>
    <w:p w14:paraId="33779C92" w14:textId="6944FCD1" w:rsidR="002666BA" w:rsidRPr="00197BFF" w:rsidRDefault="002666BA" w:rsidP="002666BA">
      <w:pPr>
        <w:autoSpaceDE w:val="0"/>
        <w:autoSpaceDN w:val="0"/>
        <w:adjustRightInd w:val="0"/>
        <w:spacing w:after="0"/>
        <w:rPr>
          <w:rFonts w:ascii="Arial" w:hAnsi="Arial" w:cs="Arial"/>
          <w:b/>
          <w:sz w:val="24"/>
          <w:szCs w:val="24"/>
        </w:rPr>
      </w:pPr>
      <w:r w:rsidRPr="00197BFF">
        <w:rPr>
          <w:rFonts w:ascii="Arial" w:hAnsi="Arial" w:cs="Arial"/>
          <w:b/>
          <w:sz w:val="24"/>
          <w:szCs w:val="24"/>
        </w:rPr>
        <w:t xml:space="preserve">Ref 1: </w:t>
      </w:r>
      <w:r w:rsidRPr="00FA3E7A">
        <w:rPr>
          <w:rFonts w:ascii="Arial" w:hAnsi="Arial" w:cs="Arial"/>
          <w:b/>
          <w:sz w:val="24"/>
          <w:szCs w:val="24"/>
        </w:rPr>
        <w:t xml:space="preserve">EPLC </w:t>
      </w:r>
      <w:r w:rsidR="009A4EE6">
        <w:rPr>
          <w:rFonts w:ascii="Arial" w:hAnsi="Arial" w:cs="Arial"/>
          <w:b/>
          <w:sz w:val="24"/>
          <w:szCs w:val="24"/>
        </w:rPr>
        <w:t xml:space="preserve">2027 Commodity Accounts Analysis </w:t>
      </w:r>
      <w:proofErr w:type="spellStart"/>
      <w:r w:rsidR="009A4EE6">
        <w:rPr>
          <w:rFonts w:ascii="Arial" w:hAnsi="Arial" w:cs="Arial"/>
          <w:b/>
          <w:sz w:val="24"/>
          <w:szCs w:val="24"/>
        </w:rPr>
        <w:t>Workform</w:t>
      </w:r>
      <w:proofErr w:type="spellEnd"/>
      <w:r w:rsidR="00D461DF">
        <w:rPr>
          <w:rFonts w:ascii="Arial" w:hAnsi="Arial" w:cs="Arial"/>
          <w:b/>
          <w:sz w:val="24"/>
          <w:szCs w:val="24"/>
        </w:rPr>
        <w:t>, Tab Principal Adjustments</w:t>
      </w:r>
      <w:r w:rsidR="00697BE4">
        <w:rPr>
          <w:rFonts w:ascii="Arial" w:hAnsi="Arial" w:cs="Arial"/>
          <w:b/>
          <w:sz w:val="24"/>
          <w:szCs w:val="24"/>
        </w:rPr>
        <w:t>, Note 9</w:t>
      </w:r>
    </w:p>
    <w:p w14:paraId="1FCE7133" w14:textId="77777777" w:rsidR="002666BA" w:rsidRDefault="002666BA" w:rsidP="002666BA">
      <w:pPr>
        <w:rPr>
          <w:rFonts w:ascii="Arial" w:hAnsi="Arial" w:cs="Arial"/>
          <w:sz w:val="24"/>
          <w:szCs w:val="24"/>
          <w:lang w:val="en-CA"/>
        </w:rPr>
      </w:pPr>
    </w:p>
    <w:p w14:paraId="6D8585CC" w14:textId="77777777" w:rsidR="00104B0D" w:rsidRPr="007D36D7" w:rsidRDefault="00104B0D" w:rsidP="00104B0D">
      <w:pPr>
        <w:spacing w:after="0" w:line="276" w:lineRule="auto"/>
        <w:rPr>
          <w:rFonts w:ascii="Arial" w:eastAsia="Calibri" w:hAnsi="Arial" w:cs="Arial"/>
          <w:color w:val="000000" w:themeColor="text1"/>
          <w:sz w:val="24"/>
          <w:szCs w:val="24"/>
        </w:rPr>
      </w:pPr>
      <w:r w:rsidRPr="007D36D7">
        <w:rPr>
          <w:rFonts w:ascii="Arial" w:eastAsia="Calibri" w:hAnsi="Arial" w:cs="Arial"/>
          <w:color w:val="000000" w:themeColor="text1"/>
          <w:sz w:val="24"/>
          <w:szCs w:val="24"/>
        </w:rPr>
        <w:t>Question(s): </w:t>
      </w:r>
    </w:p>
    <w:p w14:paraId="6927F4F2" w14:textId="6D31F96F" w:rsidR="00104B0D" w:rsidRDefault="00104B0D" w:rsidP="00104B0D">
      <w:pPr>
        <w:pStyle w:val="ListParagraph"/>
        <w:numPr>
          <w:ilvl w:val="0"/>
          <w:numId w:val="9"/>
        </w:numPr>
        <w:rPr>
          <w:rFonts w:ascii="Arial" w:hAnsi="Arial" w:cs="Arial"/>
          <w:sz w:val="24"/>
          <w:szCs w:val="24"/>
          <w:lang w:val="en-CA"/>
        </w:rPr>
      </w:pPr>
      <w:r w:rsidRPr="00104B0D">
        <w:rPr>
          <w:rFonts w:ascii="Arial" w:hAnsi="Arial" w:cs="Arial"/>
          <w:sz w:val="24"/>
          <w:szCs w:val="24"/>
          <w:lang w:val="en-CA"/>
        </w:rPr>
        <w:t>Please</w:t>
      </w:r>
      <w:r w:rsidR="00697BE4">
        <w:rPr>
          <w:rFonts w:ascii="Arial" w:hAnsi="Arial" w:cs="Arial"/>
          <w:sz w:val="24"/>
          <w:szCs w:val="24"/>
          <w:lang w:val="en-CA"/>
        </w:rPr>
        <w:t xml:space="preserve"> update the </w:t>
      </w:r>
      <w:r w:rsidR="00231F13">
        <w:rPr>
          <w:rFonts w:ascii="Arial" w:hAnsi="Arial" w:cs="Arial"/>
          <w:sz w:val="24"/>
          <w:szCs w:val="24"/>
          <w:lang w:val="en-CA"/>
        </w:rPr>
        <w:t>“</w:t>
      </w:r>
      <w:r w:rsidR="00697BE4">
        <w:rPr>
          <w:rFonts w:ascii="Arial" w:hAnsi="Arial" w:cs="Arial"/>
          <w:sz w:val="24"/>
          <w:szCs w:val="24"/>
          <w:lang w:val="en-CA"/>
        </w:rPr>
        <w:t xml:space="preserve">Year </w:t>
      </w:r>
      <w:r w:rsidR="00231F13">
        <w:rPr>
          <w:rFonts w:ascii="Arial" w:hAnsi="Arial" w:cs="Arial"/>
          <w:sz w:val="24"/>
          <w:szCs w:val="24"/>
          <w:lang w:val="en-CA"/>
        </w:rPr>
        <w:t>Recorded in GL” for Account 1589 and Account 1588</w:t>
      </w:r>
      <w:r w:rsidR="00FE1D61">
        <w:rPr>
          <w:rFonts w:ascii="Arial" w:hAnsi="Arial" w:cs="Arial"/>
          <w:sz w:val="24"/>
          <w:szCs w:val="24"/>
          <w:lang w:val="en-CA"/>
        </w:rPr>
        <w:t xml:space="preserve"> in Reference 1.</w:t>
      </w:r>
    </w:p>
    <w:p w14:paraId="4613FD47" w14:textId="77777777" w:rsidR="009660CC" w:rsidRDefault="009660CC" w:rsidP="009660CC">
      <w:pPr>
        <w:rPr>
          <w:rFonts w:ascii="Arial" w:hAnsi="Arial" w:cs="Arial"/>
          <w:sz w:val="24"/>
          <w:szCs w:val="24"/>
          <w:lang w:val="en-CA"/>
        </w:rPr>
      </w:pPr>
    </w:p>
    <w:p w14:paraId="71FA7600" w14:textId="6B6FF64B" w:rsidR="009660CC" w:rsidRPr="001E0660" w:rsidRDefault="009660CC" w:rsidP="009660CC">
      <w:pPr>
        <w:pStyle w:val="Default"/>
        <w:spacing w:line="276" w:lineRule="auto"/>
        <w:rPr>
          <w:b/>
          <w:bCs/>
        </w:rPr>
      </w:pPr>
      <w:r w:rsidRPr="001E0660">
        <w:rPr>
          <w:b/>
          <w:bCs/>
        </w:rPr>
        <w:t>Staff Question</w:t>
      </w:r>
      <w:r>
        <w:rPr>
          <w:b/>
          <w:bCs/>
        </w:rPr>
        <w:t xml:space="preserve"> </w:t>
      </w:r>
      <w:r w:rsidRPr="001E0660">
        <w:rPr>
          <w:b/>
          <w:bCs/>
        </w:rPr>
        <w:t>-</w:t>
      </w:r>
      <w:r>
        <w:rPr>
          <w:b/>
          <w:bCs/>
        </w:rPr>
        <w:t xml:space="preserve"> 7</w:t>
      </w:r>
    </w:p>
    <w:p w14:paraId="308DC840" w14:textId="74A6DAB0" w:rsidR="009660CC" w:rsidRDefault="009660CC" w:rsidP="009660CC">
      <w:pPr>
        <w:autoSpaceDE w:val="0"/>
        <w:autoSpaceDN w:val="0"/>
        <w:adjustRightInd w:val="0"/>
        <w:spacing w:after="0"/>
        <w:rPr>
          <w:rFonts w:ascii="Arial" w:hAnsi="Arial" w:cs="Arial"/>
          <w:b/>
          <w:sz w:val="24"/>
          <w:szCs w:val="24"/>
        </w:rPr>
      </w:pPr>
      <w:r w:rsidRPr="00197BFF">
        <w:rPr>
          <w:rFonts w:ascii="Arial" w:hAnsi="Arial" w:cs="Arial"/>
          <w:b/>
          <w:sz w:val="24"/>
          <w:szCs w:val="24"/>
        </w:rPr>
        <w:t xml:space="preserve">Ref 1: </w:t>
      </w:r>
      <w:r w:rsidR="00195897" w:rsidRPr="00195897">
        <w:rPr>
          <w:rFonts w:ascii="Arial" w:hAnsi="Arial" w:cs="Arial"/>
          <w:b/>
          <w:sz w:val="24"/>
          <w:szCs w:val="24"/>
        </w:rPr>
        <w:t>EPLC 2027 Rate Generator, Tab 3 Continuity Schedule</w:t>
      </w:r>
    </w:p>
    <w:p w14:paraId="3C81A619" w14:textId="2B5059CC" w:rsidR="005949BE" w:rsidRDefault="005949BE" w:rsidP="009660CC">
      <w:pPr>
        <w:autoSpaceDE w:val="0"/>
        <w:autoSpaceDN w:val="0"/>
        <w:adjustRightInd w:val="0"/>
        <w:spacing w:after="0"/>
        <w:rPr>
          <w:rFonts w:ascii="Arial" w:hAnsi="Arial" w:cs="Arial"/>
          <w:b/>
          <w:sz w:val="24"/>
          <w:szCs w:val="24"/>
        </w:rPr>
      </w:pPr>
      <w:r>
        <w:rPr>
          <w:rFonts w:ascii="Arial" w:hAnsi="Arial" w:cs="Arial"/>
          <w:b/>
          <w:sz w:val="24"/>
          <w:szCs w:val="24"/>
        </w:rPr>
        <w:t>Ref 2:</w:t>
      </w:r>
      <w:r w:rsidRPr="005949BE">
        <w:rPr>
          <w:rFonts w:ascii="Arial" w:hAnsi="Arial" w:cs="Arial"/>
          <w:b/>
          <w:sz w:val="24"/>
          <w:szCs w:val="24"/>
        </w:rPr>
        <w:t xml:space="preserve"> EPLC 2027 Commodity Accounts Analysis </w:t>
      </w:r>
      <w:proofErr w:type="spellStart"/>
      <w:r w:rsidRPr="005949BE">
        <w:rPr>
          <w:rFonts w:ascii="Arial" w:hAnsi="Arial" w:cs="Arial"/>
          <w:b/>
          <w:sz w:val="24"/>
          <w:szCs w:val="24"/>
        </w:rPr>
        <w:t>Workform</w:t>
      </w:r>
      <w:proofErr w:type="spellEnd"/>
    </w:p>
    <w:p w14:paraId="3CAA3FCA" w14:textId="77777777" w:rsidR="00195897" w:rsidRDefault="00195897" w:rsidP="009660CC">
      <w:pPr>
        <w:autoSpaceDE w:val="0"/>
        <w:autoSpaceDN w:val="0"/>
        <w:adjustRightInd w:val="0"/>
        <w:spacing w:after="0"/>
        <w:rPr>
          <w:rFonts w:ascii="Arial" w:hAnsi="Arial" w:cs="Arial"/>
          <w:b/>
          <w:sz w:val="24"/>
          <w:szCs w:val="24"/>
        </w:rPr>
      </w:pPr>
    </w:p>
    <w:p w14:paraId="355121D1" w14:textId="000FAD48" w:rsidR="00195897" w:rsidRDefault="00195897" w:rsidP="00D85CF7">
      <w:pPr>
        <w:pStyle w:val="Default"/>
        <w:spacing w:line="276" w:lineRule="auto"/>
      </w:pPr>
      <w:r w:rsidRPr="005A78D9">
        <w:t>Preamble:</w:t>
      </w:r>
    </w:p>
    <w:p w14:paraId="232640CD" w14:textId="1C5FAC8B" w:rsidR="00D85CF7" w:rsidRDefault="00D85CF7" w:rsidP="00D85CF7">
      <w:pPr>
        <w:pStyle w:val="Default"/>
        <w:spacing w:line="276" w:lineRule="auto"/>
      </w:pPr>
      <w:r>
        <w:t>EPLC filed</w:t>
      </w:r>
      <w:r w:rsidR="00CC18D3">
        <w:t xml:space="preserve"> a revised</w:t>
      </w:r>
      <w:r w:rsidR="006422F7">
        <w:t xml:space="preserve"> </w:t>
      </w:r>
      <w:r w:rsidR="002062CB">
        <w:t>R</w:t>
      </w:r>
      <w:r w:rsidR="006422F7">
        <w:t xml:space="preserve">ate </w:t>
      </w:r>
      <w:r w:rsidR="002062CB">
        <w:t>G</w:t>
      </w:r>
      <w:r w:rsidR="006422F7">
        <w:t>enerator</w:t>
      </w:r>
      <w:r w:rsidR="00426602">
        <w:t xml:space="preserve"> and </w:t>
      </w:r>
      <w:r w:rsidR="002062CB">
        <w:t xml:space="preserve">Commodity Accounts Analysis </w:t>
      </w:r>
      <w:proofErr w:type="spellStart"/>
      <w:r w:rsidR="009C3B41">
        <w:t>Workform</w:t>
      </w:r>
      <w:proofErr w:type="spellEnd"/>
      <w:r w:rsidR="009C3B41">
        <w:t xml:space="preserve"> </w:t>
      </w:r>
      <w:r w:rsidR="00940CFD">
        <w:t xml:space="preserve">on September </w:t>
      </w:r>
      <w:r w:rsidR="00A86B88">
        <w:t xml:space="preserve">25, 2026 </w:t>
      </w:r>
      <w:r w:rsidR="009C3B41">
        <w:t xml:space="preserve">to update the </w:t>
      </w:r>
      <w:r w:rsidR="00125C3B">
        <w:t>o</w:t>
      </w:r>
      <w:r w:rsidR="009C3B41">
        <w:t xml:space="preserve">pening </w:t>
      </w:r>
      <w:r w:rsidR="00125C3B">
        <w:t>b</w:t>
      </w:r>
      <w:r w:rsidR="009C3B41">
        <w:t>alances</w:t>
      </w:r>
      <w:r w:rsidR="00125C3B">
        <w:t xml:space="preserve"> as of 2025 for Account 1588 and Account 1589</w:t>
      </w:r>
      <w:r w:rsidR="005949BE">
        <w:t>.</w:t>
      </w:r>
    </w:p>
    <w:p w14:paraId="2C372FDA" w14:textId="77777777" w:rsidR="005949BE" w:rsidRDefault="005949BE" w:rsidP="00D85CF7">
      <w:pPr>
        <w:pStyle w:val="Default"/>
        <w:spacing w:line="276" w:lineRule="auto"/>
      </w:pPr>
    </w:p>
    <w:p w14:paraId="235B6845" w14:textId="77777777" w:rsidR="005949BE" w:rsidRPr="007D36D7" w:rsidRDefault="005949BE" w:rsidP="005949BE">
      <w:pPr>
        <w:spacing w:after="0" w:line="276" w:lineRule="auto"/>
        <w:rPr>
          <w:rFonts w:ascii="Arial" w:eastAsia="Calibri" w:hAnsi="Arial" w:cs="Arial"/>
          <w:color w:val="000000" w:themeColor="text1"/>
          <w:sz w:val="24"/>
          <w:szCs w:val="24"/>
        </w:rPr>
      </w:pPr>
      <w:r w:rsidRPr="007D36D7">
        <w:rPr>
          <w:rFonts w:ascii="Arial" w:eastAsia="Calibri" w:hAnsi="Arial" w:cs="Arial"/>
          <w:color w:val="000000" w:themeColor="text1"/>
          <w:sz w:val="24"/>
          <w:szCs w:val="24"/>
        </w:rPr>
        <w:t>Question(s): </w:t>
      </w:r>
    </w:p>
    <w:p w14:paraId="2C506B1E" w14:textId="04424955" w:rsidR="00A226DB" w:rsidRPr="00A226DB" w:rsidRDefault="00A226DB" w:rsidP="00A226DB">
      <w:pPr>
        <w:pStyle w:val="ListParagraph"/>
        <w:numPr>
          <w:ilvl w:val="0"/>
          <w:numId w:val="13"/>
        </w:numPr>
        <w:rPr>
          <w:rFonts w:ascii="Arial" w:hAnsi="Arial" w:cs="Arial"/>
          <w:sz w:val="24"/>
          <w:szCs w:val="24"/>
          <w:lang w:val="en-CA"/>
        </w:rPr>
      </w:pPr>
      <w:r w:rsidRPr="00A226DB">
        <w:rPr>
          <w:rFonts w:ascii="Arial" w:eastAsiaTheme="minorHAnsi" w:hAnsi="Arial" w:cs="Arial"/>
          <w:color w:val="000000"/>
          <w:kern w:val="0"/>
          <w:sz w:val="24"/>
          <w:szCs w:val="24"/>
          <w:lang w:val="en-CA"/>
        </w:rPr>
        <w:t>Please confirm that no other changes have been made to the models and that the total disposition amount remains unchanged.</w:t>
      </w:r>
    </w:p>
    <w:p w14:paraId="76C64E4D" w14:textId="77777777" w:rsidR="00A226DB" w:rsidRDefault="00A226DB" w:rsidP="00A226DB">
      <w:pPr>
        <w:rPr>
          <w:rFonts w:ascii="Arial" w:hAnsi="Arial" w:cs="Arial"/>
          <w:sz w:val="24"/>
          <w:szCs w:val="24"/>
          <w:lang w:val="en-CA"/>
        </w:rPr>
      </w:pPr>
    </w:p>
    <w:p w14:paraId="36926D6D" w14:textId="77777777" w:rsidR="00A226DB" w:rsidRPr="00A226DB" w:rsidRDefault="00A226DB" w:rsidP="00A226DB">
      <w:pPr>
        <w:rPr>
          <w:rFonts w:ascii="Arial" w:hAnsi="Arial" w:cs="Arial"/>
          <w:sz w:val="24"/>
          <w:szCs w:val="24"/>
          <w:lang w:val="en-CA"/>
        </w:rPr>
      </w:pPr>
    </w:p>
    <w:p w14:paraId="17C62A2B" w14:textId="5D6F2E80" w:rsidR="00A610EF" w:rsidRPr="001E0660" w:rsidRDefault="00A610EF" w:rsidP="00A610EF">
      <w:pPr>
        <w:pStyle w:val="Default"/>
        <w:spacing w:line="276" w:lineRule="auto"/>
        <w:rPr>
          <w:b/>
          <w:bCs/>
        </w:rPr>
      </w:pPr>
      <w:r w:rsidRPr="001E0660">
        <w:rPr>
          <w:b/>
          <w:bCs/>
        </w:rPr>
        <w:t>Staff Question</w:t>
      </w:r>
      <w:r>
        <w:rPr>
          <w:b/>
          <w:bCs/>
        </w:rPr>
        <w:t xml:space="preserve"> </w:t>
      </w:r>
      <w:r w:rsidRPr="001E0660">
        <w:rPr>
          <w:b/>
          <w:bCs/>
        </w:rPr>
        <w:t>-</w:t>
      </w:r>
      <w:r>
        <w:rPr>
          <w:b/>
          <w:bCs/>
        </w:rPr>
        <w:t xml:space="preserve"> 8</w:t>
      </w:r>
    </w:p>
    <w:p w14:paraId="284C6D18" w14:textId="02433017" w:rsidR="00A610EF" w:rsidRPr="00197BFF" w:rsidRDefault="00A610EF" w:rsidP="00A610EF">
      <w:pPr>
        <w:autoSpaceDE w:val="0"/>
        <w:autoSpaceDN w:val="0"/>
        <w:adjustRightInd w:val="0"/>
        <w:spacing w:after="0"/>
        <w:rPr>
          <w:rFonts w:ascii="Arial" w:hAnsi="Arial" w:cs="Arial"/>
          <w:b/>
          <w:sz w:val="24"/>
          <w:szCs w:val="24"/>
        </w:rPr>
      </w:pPr>
      <w:r w:rsidRPr="00197BFF">
        <w:rPr>
          <w:rFonts w:ascii="Arial" w:hAnsi="Arial" w:cs="Arial"/>
          <w:b/>
          <w:sz w:val="24"/>
          <w:szCs w:val="24"/>
        </w:rPr>
        <w:t xml:space="preserve">Ref 1: </w:t>
      </w:r>
      <w:r w:rsidRPr="00FA3E7A">
        <w:rPr>
          <w:rFonts w:ascii="Arial" w:hAnsi="Arial" w:cs="Arial"/>
          <w:b/>
          <w:sz w:val="24"/>
          <w:szCs w:val="24"/>
        </w:rPr>
        <w:t xml:space="preserve">EPLC </w:t>
      </w:r>
      <w:r>
        <w:rPr>
          <w:rFonts w:ascii="Arial" w:hAnsi="Arial" w:cs="Arial"/>
          <w:b/>
          <w:sz w:val="24"/>
          <w:szCs w:val="24"/>
        </w:rPr>
        <w:t xml:space="preserve">2027 Commodity Accounts Analysis </w:t>
      </w:r>
      <w:proofErr w:type="spellStart"/>
      <w:r>
        <w:rPr>
          <w:rFonts w:ascii="Arial" w:hAnsi="Arial" w:cs="Arial"/>
          <w:b/>
          <w:sz w:val="24"/>
          <w:szCs w:val="24"/>
        </w:rPr>
        <w:t>Workform</w:t>
      </w:r>
      <w:proofErr w:type="spellEnd"/>
      <w:r>
        <w:rPr>
          <w:rFonts w:ascii="Arial" w:hAnsi="Arial" w:cs="Arial"/>
          <w:b/>
          <w:sz w:val="24"/>
          <w:szCs w:val="24"/>
        </w:rPr>
        <w:t xml:space="preserve">, Tab Principal Adjustments, Note </w:t>
      </w:r>
      <w:r w:rsidR="00437259">
        <w:rPr>
          <w:rFonts w:ascii="Arial" w:hAnsi="Arial" w:cs="Arial"/>
          <w:b/>
          <w:sz w:val="24"/>
          <w:szCs w:val="24"/>
        </w:rPr>
        <w:t>5</w:t>
      </w:r>
    </w:p>
    <w:p w14:paraId="1701F169" w14:textId="77777777" w:rsidR="00A610EF" w:rsidRDefault="00A610EF" w:rsidP="00A610EF">
      <w:pPr>
        <w:rPr>
          <w:rFonts w:ascii="Arial" w:hAnsi="Arial" w:cs="Arial"/>
          <w:sz w:val="24"/>
          <w:szCs w:val="24"/>
          <w:lang w:val="en-CA"/>
        </w:rPr>
      </w:pPr>
    </w:p>
    <w:p w14:paraId="40970BC2" w14:textId="77777777" w:rsidR="00A610EF" w:rsidRPr="007D36D7" w:rsidRDefault="00A610EF" w:rsidP="00A610EF">
      <w:pPr>
        <w:spacing w:after="0" w:line="276" w:lineRule="auto"/>
        <w:rPr>
          <w:rFonts w:ascii="Arial" w:eastAsia="Calibri" w:hAnsi="Arial" w:cs="Arial"/>
          <w:color w:val="000000" w:themeColor="text1"/>
          <w:sz w:val="24"/>
          <w:szCs w:val="24"/>
        </w:rPr>
      </w:pPr>
      <w:r w:rsidRPr="007D36D7">
        <w:rPr>
          <w:rFonts w:ascii="Arial" w:eastAsia="Calibri" w:hAnsi="Arial" w:cs="Arial"/>
          <w:color w:val="000000" w:themeColor="text1"/>
          <w:sz w:val="24"/>
          <w:szCs w:val="24"/>
        </w:rPr>
        <w:t>Question(s): </w:t>
      </w:r>
    </w:p>
    <w:p w14:paraId="20CB3BC2" w14:textId="0B727475" w:rsidR="00A610EF" w:rsidRDefault="00A610EF" w:rsidP="00C3190D">
      <w:pPr>
        <w:pStyle w:val="ListParagraph"/>
        <w:numPr>
          <w:ilvl w:val="0"/>
          <w:numId w:val="10"/>
        </w:numPr>
        <w:rPr>
          <w:rFonts w:ascii="Arial" w:hAnsi="Arial" w:cs="Arial"/>
          <w:sz w:val="24"/>
          <w:szCs w:val="24"/>
          <w:lang w:val="en-CA"/>
        </w:rPr>
      </w:pPr>
      <w:r w:rsidRPr="00C3190D">
        <w:rPr>
          <w:rFonts w:ascii="Arial" w:hAnsi="Arial" w:cs="Arial"/>
          <w:sz w:val="24"/>
          <w:szCs w:val="24"/>
          <w:lang w:val="en-CA"/>
        </w:rPr>
        <w:t xml:space="preserve">Please </w:t>
      </w:r>
      <w:r w:rsidR="00D72539">
        <w:rPr>
          <w:rFonts w:ascii="Arial" w:hAnsi="Arial" w:cs="Arial"/>
          <w:sz w:val="24"/>
          <w:szCs w:val="24"/>
          <w:lang w:val="en-CA"/>
        </w:rPr>
        <w:t>complete the</w:t>
      </w:r>
      <w:r w:rsidR="008C23CD">
        <w:rPr>
          <w:rFonts w:ascii="Arial" w:hAnsi="Arial" w:cs="Arial"/>
          <w:sz w:val="24"/>
          <w:szCs w:val="24"/>
          <w:lang w:val="en-CA"/>
        </w:rPr>
        <w:t xml:space="preserve"> </w:t>
      </w:r>
      <w:r w:rsidR="00D72539">
        <w:rPr>
          <w:rFonts w:ascii="Arial" w:hAnsi="Arial" w:cs="Arial"/>
          <w:sz w:val="24"/>
          <w:szCs w:val="24"/>
          <w:lang w:val="en-CA"/>
        </w:rPr>
        <w:t>c</w:t>
      </w:r>
      <w:r w:rsidR="008C23CD">
        <w:rPr>
          <w:rFonts w:ascii="Arial" w:hAnsi="Arial" w:cs="Arial"/>
          <w:sz w:val="24"/>
          <w:szCs w:val="24"/>
          <w:lang w:val="en-CA"/>
        </w:rPr>
        <w:t>olumn “Principal Adjustment on DVA Continuity Schedule”</w:t>
      </w:r>
      <w:r w:rsidR="00037AD1">
        <w:rPr>
          <w:rFonts w:ascii="Arial" w:hAnsi="Arial" w:cs="Arial"/>
          <w:sz w:val="24"/>
          <w:szCs w:val="24"/>
          <w:lang w:val="en-CA"/>
        </w:rPr>
        <w:t xml:space="preserve"> in Reference 1.</w:t>
      </w:r>
    </w:p>
    <w:p w14:paraId="6CDE28D0" w14:textId="77777777" w:rsidR="0016014A" w:rsidRDefault="0016014A" w:rsidP="0016014A">
      <w:pPr>
        <w:rPr>
          <w:rFonts w:ascii="Arial" w:hAnsi="Arial" w:cs="Arial"/>
          <w:sz w:val="24"/>
          <w:szCs w:val="24"/>
          <w:lang w:val="en-CA"/>
        </w:rPr>
      </w:pPr>
    </w:p>
    <w:p w14:paraId="7B3529E0" w14:textId="77777777" w:rsidR="0016014A" w:rsidRPr="001E0660" w:rsidRDefault="0016014A" w:rsidP="0016014A">
      <w:pPr>
        <w:pStyle w:val="Default"/>
        <w:spacing w:line="276" w:lineRule="auto"/>
        <w:rPr>
          <w:b/>
          <w:bCs/>
        </w:rPr>
      </w:pPr>
      <w:r w:rsidRPr="001E0660">
        <w:rPr>
          <w:b/>
          <w:bCs/>
        </w:rPr>
        <w:t>Staff Question</w:t>
      </w:r>
      <w:r>
        <w:rPr>
          <w:b/>
          <w:bCs/>
        </w:rPr>
        <w:t xml:space="preserve"> </w:t>
      </w:r>
      <w:r w:rsidRPr="001E0660">
        <w:rPr>
          <w:b/>
          <w:bCs/>
        </w:rPr>
        <w:t>-</w:t>
      </w:r>
      <w:r>
        <w:rPr>
          <w:b/>
          <w:bCs/>
        </w:rPr>
        <w:t xml:space="preserve"> 5</w:t>
      </w:r>
    </w:p>
    <w:p w14:paraId="419461BF" w14:textId="73F26E0D" w:rsidR="0016014A" w:rsidRPr="00197BFF" w:rsidRDefault="0016014A" w:rsidP="0016014A">
      <w:pPr>
        <w:autoSpaceDE w:val="0"/>
        <w:autoSpaceDN w:val="0"/>
        <w:adjustRightInd w:val="0"/>
        <w:spacing w:after="0"/>
        <w:rPr>
          <w:rFonts w:ascii="Arial" w:hAnsi="Arial" w:cs="Arial"/>
          <w:b/>
          <w:sz w:val="24"/>
          <w:szCs w:val="24"/>
        </w:rPr>
      </w:pPr>
      <w:r w:rsidRPr="00197BFF">
        <w:rPr>
          <w:rFonts w:ascii="Arial" w:hAnsi="Arial" w:cs="Arial"/>
          <w:b/>
          <w:sz w:val="24"/>
          <w:szCs w:val="24"/>
        </w:rPr>
        <w:t xml:space="preserve">Ref 1: </w:t>
      </w:r>
      <w:r w:rsidRPr="00FA3E7A">
        <w:rPr>
          <w:rFonts w:ascii="Arial" w:hAnsi="Arial" w:cs="Arial"/>
          <w:b/>
          <w:sz w:val="24"/>
          <w:szCs w:val="24"/>
        </w:rPr>
        <w:t>EPLC 2027 Rate Generator, Tab 3 Continuity Schedule</w:t>
      </w:r>
      <w:r w:rsidR="00A36738">
        <w:rPr>
          <w:rFonts w:ascii="Arial" w:hAnsi="Arial" w:cs="Arial"/>
          <w:b/>
          <w:sz w:val="24"/>
          <w:szCs w:val="24"/>
        </w:rPr>
        <w:t>, C</w:t>
      </w:r>
      <w:r w:rsidR="0079268F">
        <w:rPr>
          <w:rFonts w:ascii="Arial" w:hAnsi="Arial" w:cs="Arial"/>
          <w:b/>
          <w:sz w:val="24"/>
          <w:szCs w:val="24"/>
        </w:rPr>
        <w:t>ell</w:t>
      </w:r>
      <w:r w:rsidR="00A36738">
        <w:rPr>
          <w:rFonts w:ascii="Arial" w:hAnsi="Arial" w:cs="Arial"/>
          <w:b/>
          <w:sz w:val="24"/>
          <w:szCs w:val="24"/>
        </w:rPr>
        <w:t xml:space="preserve"> BM</w:t>
      </w:r>
      <w:r w:rsidR="0079268F">
        <w:rPr>
          <w:rFonts w:ascii="Arial" w:hAnsi="Arial" w:cs="Arial"/>
          <w:b/>
          <w:sz w:val="24"/>
          <w:szCs w:val="24"/>
        </w:rPr>
        <w:t xml:space="preserve"> 32</w:t>
      </w:r>
    </w:p>
    <w:p w14:paraId="7476C176" w14:textId="17FF5113" w:rsidR="0016014A" w:rsidRDefault="0016014A" w:rsidP="0016014A">
      <w:pPr>
        <w:autoSpaceDE w:val="0"/>
        <w:autoSpaceDN w:val="0"/>
        <w:adjustRightInd w:val="0"/>
        <w:spacing w:after="0"/>
        <w:rPr>
          <w:rFonts w:ascii="Arial" w:hAnsi="Arial" w:cs="Arial"/>
          <w:b/>
          <w:sz w:val="24"/>
          <w:szCs w:val="24"/>
        </w:rPr>
      </w:pPr>
      <w:r w:rsidRPr="00197BFF">
        <w:rPr>
          <w:rFonts w:ascii="Arial" w:hAnsi="Arial" w:cs="Arial"/>
          <w:b/>
          <w:sz w:val="24"/>
          <w:szCs w:val="24"/>
        </w:rPr>
        <w:t xml:space="preserve">Ref 2: </w:t>
      </w:r>
      <w:r>
        <w:rPr>
          <w:rFonts w:ascii="Arial" w:hAnsi="Arial" w:cs="Arial"/>
          <w:b/>
          <w:sz w:val="24"/>
          <w:szCs w:val="24"/>
        </w:rPr>
        <w:t>EB-202</w:t>
      </w:r>
      <w:r w:rsidR="0060071B">
        <w:rPr>
          <w:rFonts w:ascii="Arial" w:hAnsi="Arial" w:cs="Arial"/>
          <w:b/>
          <w:sz w:val="24"/>
          <w:szCs w:val="24"/>
        </w:rPr>
        <w:t>5</w:t>
      </w:r>
      <w:r>
        <w:rPr>
          <w:rFonts w:ascii="Arial" w:hAnsi="Arial" w:cs="Arial"/>
          <w:b/>
          <w:sz w:val="24"/>
          <w:szCs w:val="24"/>
        </w:rPr>
        <w:t>-00</w:t>
      </w:r>
      <w:r w:rsidR="0060071B">
        <w:rPr>
          <w:rFonts w:ascii="Arial" w:hAnsi="Arial" w:cs="Arial"/>
          <w:b/>
          <w:sz w:val="24"/>
          <w:szCs w:val="24"/>
        </w:rPr>
        <w:t>40</w:t>
      </w:r>
      <w:r>
        <w:rPr>
          <w:rFonts w:ascii="Arial" w:hAnsi="Arial" w:cs="Arial"/>
          <w:b/>
          <w:sz w:val="24"/>
          <w:szCs w:val="24"/>
        </w:rPr>
        <w:t xml:space="preserve">, </w:t>
      </w:r>
      <w:r w:rsidR="00326F3A" w:rsidRPr="00326F3A">
        <w:rPr>
          <w:rFonts w:ascii="Arial" w:hAnsi="Arial" w:cs="Arial"/>
          <w:b/>
          <w:sz w:val="24"/>
          <w:szCs w:val="24"/>
        </w:rPr>
        <w:t>Decision and Rate Order, p. 12</w:t>
      </w:r>
    </w:p>
    <w:p w14:paraId="201A7E04" w14:textId="77777777" w:rsidR="0016014A" w:rsidRDefault="0016014A" w:rsidP="0016014A">
      <w:pPr>
        <w:spacing w:after="0"/>
        <w:rPr>
          <w:rFonts w:ascii="Arial" w:hAnsi="Arial" w:cs="Arial"/>
          <w:szCs w:val="24"/>
        </w:rPr>
      </w:pPr>
    </w:p>
    <w:p w14:paraId="33611926" w14:textId="77777777" w:rsidR="0016014A" w:rsidRPr="005A78D9" w:rsidRDefault="0016014A" w:rsidP="0016014A">
      <w:pPr>
        <w:pStyle w:val="Default"/>
        <w:spacing w:line="276" w:lineRule="auto"/>
      </w:pPr>
      <w:r w:rsidRPr="005A78D9">
        <w:t>Preamble:</w:t>
      </w:r>
    </w:p>
    <w:p w14:paraId="2F0E9B66" w14:textId="6CD012CC" w:rsidR="0016014A" w:rsidRDefault="0016014A" w:rsidP="0016014A">
      <w:pPr>
        <w:rPr>
          <w:rFonts w:ascii="Arial" w:hAnsi="Arial" w:cs="Arial"/>
          <w:sz w:val="24"/>
          <w:szCs w:val="24"/>
        </w:rPr>
      </w:pPr>
      <w:r>
        <w:rPr>
          <w:rFonts w:ascii="Arial" w:hAnsi="Arial" w:cs="Arial"/>
          <w:sz w:val="24"/>
          <w:szCs w:val="24"/>
        </w:rPr>
        <w:t xml:space="preserve">OEB </w:t>
      </w:r>
      <w:r w:rsidR="00C9791C">
        <w:rPr>
          <w:rFonts w:ascii="Arial" w:hAnsi="Arial" w:cs="Arial"/>
          <w:sz w:val="24"/>
          <w:szCs w:val="24"/>
        </w:rPr>
        <w:t>s</w:t>
      </w:r>
      <w:r>
        <w:rPr>
          <w:rFonts w:ascii="Arial" w:hAnsi="Arial" w:cs="Arial"/>
          <w:sz w:val="24"/>
          <w:szCs w:val="24"/>
        </w:rPr>
        <w:t>taff notes that Account 1595</w:t>
      </w:r>
      <w:r w:rsidR="00C9791C">
        <w:rPr>
          <w:rFonts w:ascii="Arial" w:hAnsi="Arial" w:cs="Arial"/>
          <w:sz w:val="24"/>
          <w:szCs w:val="24"/>
        </w:rPr>
        <w:t xml:space="preserve"> </w:t>
      </w:r>
      <w:r>
        <w:rPr>
          <w:rFonts w:ascii="Arial" w:hAnsi="Arial" w:cs="Arial"/>
          <w:sz w:val="24"/>
          <w:szCs w:val="24"/>
        </w:rPr>
        <w:t xml:space="preserve">(2021) was disposed in </w:t>
      </w:r>
      <w:r w:rsidR="007468F1">
        <w:rPr>
          <w:rFonts w:ascii="Arial" w:hAnsi="Arial" w:cs="Arial"/>
          <w:sz w:val="24"/>
          <w:szCs w:val="24"/>
        </w:rPr>
        <w:t xml:space="preserve">EPLC’s </w:t>
      </w:r>
      <w:r>
        <w:rPr>
          <w:rFonts w:ascii="Arial" w:hAnsi="Arial" w:cs="Arial"/>
          <w:sz w:val="24"/>
          <w:szCs w:val="24"/>
        </w:rPr>
        <w:t>2026 IRM Decision</w:t>
      </w:r>
      <w:r w:rsidR="007468F1">
        <w:rPr>
          <w:rFonts w:ascii="Arial" w:hAnsi="Arial" w:cs="Arial"/>
          <w:sz w:val="24"/>
          <w:szCs w:val="24"/>
        </w:rPr>
        <w:t xml:space="preserve"> and Rate Order</w:t>
      </w:r>
      <w:r w:rsidR="00326F3A">
        <w:rPr>
          <w:rFonts w:ascii="Arial" w:hAnsi="Arial" w:cs="Arial"/>
          <w:sz w:val="24"/>
          <w:szCs w:val="24"/>
        </w:rPr>
        <w:t xml:space="preserve">, but </w:t>
      </w:r>
      <w:r w:rsidR="007468F1">
        <w:rPr>
          <w:rFonts w:ascii="Arial" w:hAnsi="Arial" w:cs="Arial"/>
          <w:sz w:val="24"/>
          <w:szCs w:val="24"/>
        </w:rPr>
        <w:t xml:space="preserve">the </w:t>
      </w:r>
      <w:r w:rsidR="001F269E">
        <w:rPr>
          <w:rFonts w:ascii="Arial" w:hAnsi="Arial" w:cs="Arial"/>
          <w:sz w:val="24"/>
          <w:szCs w:val="24"/>
        </w:rPr>
        <w:t>disposition amount</w:t>
      </w:r>
      <w:r w:rsidR="00326F3A">
        <w:rPr>
          <w:rFonts w:ascii="Arial" w:hAnsi="Arial" w:cs="Arial"/>
          <w:sz w:val="24"/>
          <w:szCs w:val="24"/>
        </w:rPr>
        <w:t xml:space="preserve"> </w:t>
      </w:r>
      <w:r w:rsidR="001F269E">
        <w:rPr>
          <w:rFonts w:ascii="Arial" w:hAnsi="Arial" w:cs="Arial"/>
          <w:sz w:val="24"/>
          <w:szCs w:val="24"/>
        </w:rPr>
        <w:t>is</w:t>
      </w:r>
      <w:r w:rsidR="00326F3A">
        <w:rPr>
          <w:rFonts w:ascii="Arial" w:hAnsi="Arial" w:cs="Arial"/>
          <w:sz w:val="24"/>
          <w:szCs w:val="24"/>
        </w:rPr>
        <w:t xml:space="preserve"> not indicated </w:t>
      </w:r>
      <w:r w:rsidR="001F269E">
        <w:rPr>
          <w:rFonts w:ascii="Arial" w:hAnsi="Arial" w:cs="Arial"/>
          <w:sz w:val="24"/>
          <w:szCs w:val="24"/>
        </w:rPr>
        <w:t xml:space="preserve">in the 2027 Rate Generator under column </w:t>
      </w:r>
      <w:r w:rsidR="00212D16">
        <w:rPr>
          <w:rFonts w:ascii="Arial" w:hAnsi="Arial" w:cs="Arial"/>
          <w:sz w:val="24"/>
          <w:szCs w:val="24"/>
        </w:rPr>
        <w:t>BM.</w:t>
      </w:r>
    </w:p>
    <w:p w14:paraId="5E6C74AA" w14:textId="77777777" w:rsidR="0016014A" w:rsidRPr="007D36D7" w:rsidRDefault="0016014A" w:rsidP="0016014A">
      <w:pPr>
        <w:spacing w:after="0" w:line="276" w:lineRule="auto"/>
        <w:rPr>
          <w:rFonts w:ascii="Arial" w:eastAsia="Calibri" w:hAnsi="Arial" w:cs="Arial"/>
          <w:color w:val="000000" w:themeColor="text1"/>
          <w:sz w:val="24"/>
          <w:szCs w:val="24"/>
        </w:rPr>
      </w:pPr>
      <w:r w:rsidRPr="007D36D7">
        <w:rPr>
          <w:rFonts w:ascii="Arial" w:eastAsia="Calibri" w:hAnsi="Arial" w:cs="Arial"/>
          <w:color w:val="000000" w:themeColor="text1"/>
          <w:sz w:val="24"/>
          <w:szCs w:val="24"/>
        </w:rPr>
        <w:t>Question(s): </w:t>
      </w:r>
    </w:p>
    <w:p w14:paraId="4C044C35" w14:textId="1C3EAEAF" w:rsidR="005D259A" w:rsidRPr="00212D16" w:rsidRDefault="00212D16" w:rsidP="00212D16">
      <w:pPr>
        <w:pStyle w:val="ListParagraph"/>
        <w:numPr>
          <w:ilvl w:val="0"/>
          <w:numId w:val="14"/>
        </w:numPr>
        <w:rPr>
          <w:rFonts w:ascii="Arial" w:hAnsi="Arial" w:cs="Arial"/>
          <w:sz w:val="24"/>
          <w:szCs w:val="24"/>
          <w:lang w:val="en-CA"/>
        </w:rPr>
      </w:pPr>
      <w:r>
        <w:rPr>
          <w:rFonts w:ascii="Arial" w:hAnsi="Arial" w:cs="Arial"/>
          <w:sz w:val="24"/>
          <w:szCs w:val="24"/>
          <w:lang w:val="en-CA"/>
        </w:rPr>
        <w:t xml:space="preserve">Please update the </w:t>
      </w:r>
      <w:r w:rsidR="00F45B80" w:rsidRPr="00F45B80">
        <w:rPr>
          <w:rFonts w:ascii="Arial" w:hAnsi="Arial" w:cs="Arial"/>
          <w:sz w:val="24"/>
          <w:szCs w:val="24"/>
          <w:lang w:val="en-CA"/>
        </w:rPr>
        <w:t>Account 1595(2021)</w:t>
      </w:r>
      <w:r w:rsidR="00F45B80">
        <w:rPr>
          <w:rFonts w:ascii="Arial" w:hAnsi="Arial" w:cs="Arial"/>
          <w:sz w:val="24"/>
          <w:szCs w:val="24"/>
          <w:lang w:val="en-CA"/>
        </w:rPr>
        <w:t xml:space="preserve"> </w:t>
      </w:r>
      <w:r>
        <w:rPr>
          <w:rFonts w:ascii="Arial" w:hAnsi="Arial" w:cs="Arial"/>
          <w:sz w:val="24"/>
          <w:szCs w:val="24"/>
          <w:lang w:val="en-CA"/>
        </w:rPr>
        <w:t xml:space="preserve">disposition </w:t>
      </w:r>
      <w:r w:rsidR="0049227B">
        <w:rPr>
          <w:rFonts w:ascii="Arial" w:hAnsi="Arial" w:cs="Arial"/>
          <w:sz w:val="24"/>
          <w:szCs w:val="24"/>
          <w:lang w:val="en-CA"/>
        </w:rPr>
        <w:t xml:space="preserve">amount in </w:t>
      </w:r>
      <w:r w:rsidR="0036771A">
        <w:rPr>
          <w:rFonts w:ascii="Arial" w:hAnsi="Arial" w:cs="Arial"/>
          <w:sz w:val="24"/>
          <w:szCs w:val="24"/>
          <w:lang w:val="en-CA"/>
        </w:rPr>
        <w:t>Reference 1.</w:t>
      </w:r>
    </w:p>
    <w:sectPr w:rsidR="005D259A" w:rsidRPr="00212D1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665B7" w14:textId="77777777" w:rsidR="004463F5" w:rsidRDefault="004463F5" w:rsidP="00F71708">
      <w:pPr>
        <w:spacing w:after="0" w:line="240" w:lineRule="auto"/>
      </w:pPr>
      <w:r>
        <w:separator/>
      </w:r>
    </w:p>
  </w:endnote>
  <w:endnote w:type="continuationSeparator" w:id="0">
    <w:p w14:paraId="3B31444D" w14:textId="77777777" w:rsidR="004463F5" w:rsidRDefault="004463F5" w:rsidP="00F71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E9EA" w14:textId="77777777" w:rsidR="007468F1" w:rsidRDefault="00746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83C33" w14:textId="77777777" w:rsidR="004463F5" w:rsidRDefault="004463F5" w:rsidP="00F71708">
      <w:pPr>
        <w:spacing w:after="0" w:line="240" w:lineRule="auto"/>
      </w:pPr>
      <w:r>
        <w:separator/>
      </w:r>
    </w:p>
  </w:footnote>
  <w:footnote w:type="continuationSeparator" w:id="0">
    <w:p w14:paraId="20A637CB" w14:textId="77777777" w:rsidR="004463F5" w:rsidRDefault="004463F5" w:rsidP="00F717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rPr>
        <w:rFonts w:ascii="Arial" w:hAnsi="Arial" w:cs="Arial"/>
      </w:rPr>
    </w:sdtEndPr>
    <w:sdtContent>
      <w:p w14:paraId="76CE9121" w14:textId="20C893ED" w:rsidR="00F71708" w:rsidRPr="00C54CE2" w:rsidRDefault="00C54CE2" w:rsidP="00F71708">
        <w:pPr>
          <w:pStyle w:val="Header"/>
          <w:jc w:val="right"/>
          <w:rPr>
            <w:rFonts w:ascii="Arial" w:hAnsi="Arial" w:cs="Arial"/>
          </w:rPr>
        </w:pPr>
        <w:r w:rsidRPr="00C54CE2">
          <w:rPr>
            <w:rFonts w:ascii="Arial" w:hAnsi="Arial" w:cs="Arial"/>
          </w:rPr>
          <w:t>Essex Powerlines Corporation</w:t>
        </w:r>
      </w:p>
      <w:p w14:paraId="6DA28BA2" w14:textId="29F9CFA5" w:rsidR="00F71708" w:rsidRPr="00C54CE2" w:rsidRDefault="00F71708" w:rsidP="00F71708">
        <w:pPr>
          <w:pStyle w:val="Header"/>
          <w:jc w:val="right"/>
          <w:rPr>
            <w:rFonts w:ascii="Arial" w:hAnsi="Arial" w:cs="Arial"/>
          </w:rPr>
        </w:pPr>
        <w:r w:rsidRPr="00C54CE2">
          <w:rPr>
            <w:rFonts w:ascii="Arial" w:hAnsi="Arial" w:cs="Arial"/>
          </w:rPr>
          <w:t>EB-202</w:t>
        </w:r>
        <w:r w:rsidR="00C54CE2" w:rsidRPr="00C54CE2">
          <w:rPr>
            <w:rFonts w:ascii="Arial" w:hAnsi="Arial" w:cs="Arial"/>
          </w:rPr>
          <w:t>6</w:t>
        </w:r>
        <w:r w:rsidRPr="00C54CE2">
          <w:rPr>
            <w:rFonts w:ascii="Arial" w:hAnsi="Arial" w:cs="Arial"/>
          </w:rPr>
          <w:t>-00</w:t>
        </w:r>
        <w:r w:rsidR="00C54CE2" w:rsidRPr="00C54CE2">
          <w:rPr>
            <w:rFonts w:ascii="Arial" w:hAnsi="Arial" w:cs="Arial"/>
          </w:rPr>
          <w:t>38</w:t>
        </w:r>
      </w:p>
      <w:p w14:paraId="0FD3AE61" w14:textId="77777777" w:rsidR="00F71708" w:rsidRPr="00C54CE2" w:rsidRDefault="00F71708" w:rsidP="00F71708">
        <w:pPr>
          <w:pStyle w:val="Header"/>
          <w:jc w:val="right"/>
          <w:rPr>
            <w:rFonts w:ascii="Arial" w:hAnsi="Arial" w:cs="Arial"/>
          </w:rPr>
        </w:pPr>
        <w:r w:rsidRPr="00C54CE2">
          <w:rPr>
            <w:rFonts w:ascii="Arial" w:hAnsi="Arial" w:cs="Arial"/>
          </w:rPr>
          <w:t xml:space="preserve">Page </w:t>
        </w:r>
        <w:r w:rsidRPr="00C54CE2">
          <w:rPr>
            <w:rFonts w:ascii="Arial" w:hAnsi="Arial" w:cs="Arial"/>
            <w:b/>
            <w:bCs/>
            <w:sz w:val="24"/>
            <w:szCs w:val="24"/>
          </w:rPr>
          <w:fldChar w:fldCharType="begin"/>
        </w:r>
        <w:r w:rsidRPr="00C54CE2">
          <w:rPr>
            <w:rFonts w:ascii="Arial" w:hAnsi="Arial" w:cs="Arial"/>
            <w:b/>
            <w:bCs/>
          </w:rPr>
          <w:instrText xml:space="preserve"> PAGE </w:instrText>
        </w:r>
        <w:r w:rsidRPr="00C54CE2">
          <w:rPr>
            <w:rFonts w:ascii="Arial" w:hAnsi="Arial" w:cs="Arial"/>
            <w:b/>
            <w:bCs/>
            <w:sz w:val="24"/>
            <w:szCs w:val="24"/>
          </w:rPr>
          <w:fldChar w:fldCharType="separate"/>
        </w:r>
        <w:r w:rsidRPr="00C54CE2">
          <w:rPr>
            <w:rFonts w:ascii="Arial" w:hAnsi="Arial" w:cs="Arial"/>
            <w:b/>
            <w:bCs/>
          </w:rPr>
          <w:t>1</w:t>
        </w:r>
        <w:r w:rsidRPr="00C54CE2">
          <w:rPr>
            <w:rFonts w:ascii="Arial" w:hAnsi="Arial" w:cs="Arial"/>
            <w:b/>
            <w:bCs/>
            <w:sz w:val="24"/>
            <w:szCs w:val="24"/>
          </w:rPr>
          <w:fldChar w:fldCharType="end"/>
        </w:r>
        <w:r w:rsidRPr="00C54CE2">
          <w:rPr>
            <w:rFonts w:ascii="Arial" w:hAnsi="Arial" w:cs="Arial"/>
          </w:rPr>
          <w:t xml:space="preserve"> of </w:t>
        </w:r>
        <w:r w:rsidRPr="00C54CE2">
          <w:rPr>
            <w:rFonts w:ascii="Arial" w:hAnsi="Arial" w:cs="Arial"/>
            <w:b/>
            <w:bCs/>
            <w:sz w:val="24"/>
            <w:szCs w:val="24"/>
          </w:rPr>
          <w:fldChar w:fldCharType="begin"/>
        </w:r>
        <w:r w:rsidRPr="00C54CE2">
          <w:rPr>
            <w:rFonts w:ascii="Arial" w:hAnsi="Arial" w:cs="Arial"/>
            <w:b/>
            <w:bCs/>
          </w:rPr>
          <w:instrText xml:space="preserve"> NUMPAGES  </w:instrText>
        </w:r>
        <w:r w:rsidRPr="00C54CE2">
          <w:rPr>
            <w:rFonts w:ascii="Arial" w:hAnsi="Arial" w:cs="Arial"/>
            <w:b/>
            <w:bCs/>
            <w:sz w:val="24"/>
            <w:szCs w:val="24"/>
          </w:rPr>
          <w:fldChar w:fldCharType="separate"/>
        </w:r>
        <w:r w:rsidRPr="00C54CE2">
          <w:rPr>
            <w:rFonts w:ascii="Arial" w:hAnsi="Arial" w:cs="Arial"/>
            <w:b/>
            <w:bCs/>
          </w:rPr>
          <w:t>4</w:t>
        </w:r>
        <w:r w:rsidRPr="00C54CE2">
          <w:rPr>
            <w:rFonts w:ascii="Arial" w:hAnsi="Arial" w:cs="Arial"/>
            <w:b/>
            <w:bCs/>
            <w:sz w:val="24"/>
            <w:szCs w:val="24"/>
          </w:rPr>
          <w:fldChar w:fldCharType="end"/>
        </w:r>
      </w:p>
    </w:sdtContent>
  </w:sdt>
  <w:p w14:paraId="0054B5C2" w14:textId="77777777" w:rsidR="00F71708" w:rsidRPr="00C54CE2" w:rsidRDefault="00F71708" w:rsidP="00F71708">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91D7C"/>
    <w:multiLevelType w:val="hybridMultilevel"/>
    <w:tmpl w:val="49581DA6"/>
    <w:lvl w:ilvl="0" w:tplc="3DA42E5E">
      <w:start w:val="1"/>
      <w:numFmt w:val="lowerRoman"/>
      <w:lvlText w:val="%1."/>
      <w:lvlJc w:val="left"/>
      <w:pPr>
        <w:ind w:left="1440" w:hanging="720"/>
      </w:pPr>
      <w:rPr>
        <w:rFonts w:ascii="Arial" w:hAnsi="Arial" w:cs="Arial"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B590433"/>
    <w:multiLevelType w:val="multilevel"/>
    <w:tmpl w:val="AE00DE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E417D0C"/>
    <w:multiLevelType w:val="hybridMultilevel"/>
    <w:tmpl w:val="C81A1D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521C6A"/>
    <w:multiLevelType w:val="hybridMultilevel"/>
    <w:tmpl w:val="6A7A32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540686"/>
    <w:multiLevelType w:val="multilevel"/>
    <w:tmpl w:val="07F0B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E620132"/>
    <w:multiLevelType w:val="hybridMultilevel"/>
    <w:tmpl w:val="444A389E"/>
    <w:lvl w:ilvl="0" w:tplc="5B88F0FA">
      <w:start w:val="1"/>
      <w:numFmt w:val="lowerLetter"/>
      <w:lvlText w:val="%1)"/>
      <w:lvlJc w:val="left"/>
      <w:pPr>
        <w:ind w:left="720" w:hanging="360"/>
      </w:pPr>
      <w:rPr>
        <w:rFonts w:ascii="Arial" w:eastAsia="Calibri" w:hAnsi="Arial" w:cs="Arial"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CA5170"/>
    <w:multiLevelType w:val="hybridMultilevel"/>
    <w:tmpl w:val="CCE86C04"/>
    <w:lvl w:ilvl="0" w:tplc="291C8BBA">
      <w:start w:val="1"/>
      <w:numFmt w:val="lowerLetter"/>
      <w:lvlText w:val="%1)"/>
      <w:lvlJc w:val="left"/>
      <w:pPr>
        <w:ind w:left="720" w:hanging="360"/>
      </w:pPr>
      <w:rPr>
        <w:rFonts w:ascii="Arial" w:hAnsi="Arial" w:cs="Aria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1766C92"/>
    <w:multiLevelType w:val="hybridMultilevel"/>
    <w:tmpl w:val="EA322E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177F9E"/>
    <w:multiLevelType w:val="hybridMultilevel"/>
    <w:tmpl w:val="5BD443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3A4AA7"/>
    <w:multiLevelType w:val="hybridMultilevel"/>
    <w:tmpl w:val="9438C7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A71A2B"/>
    <w:multiLevelType w:val="hybridMultilevel"/>
    <w:tmpl w:val="D15EBB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8F427F"/>
    <w:multiLevelType w:val="hybridMultilevel"/>
    <w:tmpl w:val="85DE2950"/>
    <w:lvl w:ilvl="0" w:tplc="92AEA3E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7D35269F"/>
    <w:multiLevelType w:val="hybridMultilevel"/>
    <w:tmpl w:val="BD7608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4C4BCA"/>
    <w:multiLevelType w:val="hybridMultilevel"/>
    <w:tmpl w:val="EED0239A"/>
    <w:lvl w:ilvl="0" w:tplc="6D249AC4">
      <w:start w:val="1"/>
      <w:numFmt w:val="lowerLetter"/>
      <w:lvlText w:val="%1)"/>
      <w:lvlJc w:val="left"/>
      <w:pPr>
        <w:ind w:left="720" w:hanging="360"/>
      </w:pPr>
      <w:rPr>
        <w:rFonts w:eastAsia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9281953">
    <w:abstractNumId w:val="11"/>
  </w:num>
  <w:num w:numId="2" w16cid:durableId="1269503727">
    <w:abstractNumId w:val="6"/>
  </w:num>
  <w:num w:numId="3" w16cid:durableId="579019750">
    <w:abstractNumId w:val="8"/>
  </w:num>
  <w:num w:numId="4" w16cid:durableId="756831668">
    <w:abstractNumId w:val="0"/>
  </w:num>
  <w:num w:numId="5" w16cid:durableId="803501244">
    <w:abstractNumId w:val="1"/>
  </w:num>
  <w:num w:numId="6" w16cid:durableId="1400447338">
    <w:abstractNumId w:val="4"/>
  </w:num>
  <w:num w:numId="7" w16cid:durableId="872040386">
    <w:abstractNumId w:val="5"/>
  </w:num>
  <w:num w:numId="8" w16cid:durableId="1372144838">
    <w:abstractNumId w:val="3"/>
  </w:num>
  <w:num w:numId="9" w16cid:durableId="387345244">
    <w:abstractNumId w:val="2"/>
  </w:num>
  <w:num w:numId="10" w16cid:durableId="594435397">
    <w:abstractNumId w:val="10"/>
  </w:num>
  <w:num w:numId="11" w16cid:durableId="1556234389">
    <w:abstractNumId w:val="12"/>
  </w:num>
  <w:num w:numId="12" w16cid:durableId="1681657287">
    <w:abstractNumId w:val="9"/>
  </w:num>
  <w:num w:numId="13" w16cid:durableId="1620145137">
    <w:abstractNumId w:val="13"/>
  </w:num>
  <w:num w:numId="14" w16cid:durableId="6041186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708"/>
    <w:rsid w:val="0001783A"/>
    <w:rsid w:val="00025B8F"/>
    <w:rsid w:val="00037AD1"/>
    <w:rsid w:val="00060639"/>
    <w:rsid w:val="00067D57"/>
    <w:rsid w:val="0007106D"/>
    <w:rsid w:val="000727CE"/>
    <w:rsid w:val="00092916"/>
    <w:rsid w:val="000B1F63"/>
    <w:rsid w:val="000B6921"/>
    <w:rsid w:val="000D2A6C"/>
    <w:rsid w:val="00104B0D"/>
    <w:rsid w:val="001223FE"/>
    <w:rsid w:val="00125C3B"/>
    <w:rsid w:val="0016014A"/>
    <w:rsid w:val="00161141"/>
    <w:rsid w:val="001650D6"/>
    <w:rsid w:val="00182490"/>
    <w:rsid w:val="001846A8"/>
    <w:rsid w:val="00185476"/>
    <w:rsid w:val="00195897"/>
    <w:rsid w:val="001A289A"/>
    <w:rsid w:val="001A4FC2"/>
    <w:rsid w:val="001C3106"/>
    <w:rsid w:val="001D08E8"/>
    <w:rsid w:val="001F269E"/>
    <w:rsid w:val="002008E9"/>
    <w:rsid w:val="002062CB"/>
    <w:rsid w:val="00212D16"/>
    <w:rsid w:val="00213DA3"/>
    <w:rsid w:val="00214E48"/>
    <w:rsid w:val="00231F13"/>
    <w:rsid w:val="00232511"/>
    <w:rsid w:val="00243EEA"/>
    <w:rsid w:val="002666BA"/>
    <w:rsid w:val="00274662"/>
    <w:rsid w:val="002A751D"/>
    <w:rsid w:val="002B0728"/>
    <w:rsid w:val="002D28DC"/>
    <w:rsid w:val="00326F3A"/>
    <w:rsid w:val="0036771A"/>
    <w:rsid w:val="00367D90"/>
    <w:rsid w:val="003869E7"/>
    <w:rsid w:val="003B6749"/>
    <w:rsid w:val="003C099E"/>
    <w:rsid w:val="003C4C7F"/>
    <w:rsid w:val="003E6F1A"/>
    <w:rsid w:val="004060D0"/>
    <w:rsid w:val="0041035B"/>
    <w:rsid w:val="004222FA"/>
    <w:rsid w:val="00426602"/>
    <w:rsid w:val="00426F6E"/>
    <w:rsid w:val="00437259"/>
    <w:rsid w:val="004463F5"/>
    <w:rsid w:val="00462745"/>
    <w:rsid w:val="004669CC"/>
    <w:rsid w:val="0049227B"/>
    <w:rsid w:val="004D0608"/>
    <w:rsid w:val="004F01E2"/>
    <w:rsid w:val="004F3F85"/>
    <w:rsid w:val="00532550"/>
    <w:rsid w:val="00541E2A"/>
    <w:rsid w:val="0058475C"/>
    <w:rsid w:val="005949BE"/>
    <w:rsid w:val="005B2697"/>
    <w:rsid w:val="005C2783"/>
    <w:rsid w:val="005D259A"/>
    <w:rsid w:val="005D2669"/>
    <w:rsid w:val="005E396D"/>
    <w:rsid w:val="005F17BD"/>
    <w:rsid w:val="0060071B"/>
    <w:rsid w:val="00621668"/>
    <w:rsid w:val="006422F7"/>
    <w:rsid w:val="0064319F"/>
    <w:rsid w:val="00643DF3"/>
    <w:rsid w:val="006850AD"/>
    <w:rsid w:val="00697BE4"/>
    <w:rsid w:val="006A054C"/>
    <w:rsid w:val="006C3626"/>
    <w:rsid w:val="006C7F42"/>
    <w:rsid w:val="006D50CD"/>
    <w:rsid w:val="006E18CF"/>
    <w:rsid w:val="00701608"/>
    <w:rsid w:val="00723C4D"/>
    <w:rsid w:val="007328D6"/>
    <w:rsid w:val="00733B15"/>
    <w:rsid w:val="007439C7"/>
    <w:rsid w:val="007468F1"/>
    <w:rsid w:val="007554E1"/>
    <w:rsid w:val="00783BE0"/>
    <w:rsid w:val="0079268F"/>
    <w:rsid w:val="007A2862"/>
    <w:rsid w:val="007D3A16"/>
    <w:rsid w:val="007E43C3"/>
    <w:rsid w:val="00817C82"/>
    <w:rsid w:val="00846AEC"/>
    <w:rsid w:val="008604CE"/>
    <w:rsid w:val="0087778E"/>
    <w:rsid w:val="008A23F3"/>
    <w:rsid w:val="008A4000"/>
    <w:rsid w:val="008A5697"/>
    <w:rsid w:val="008B6716"/>
    <w:rsid w:val="008C23CD"/>
    <w:rsid w:val="008D17BF"/>
    <w:rsid w:val="008D1963"/>
    <w:rsid w:val="008D7C45"/>
    <w:rsid w:val="008F4E1A"/>
    <w:rsid w:val="00904392"/>
    <w:rsid w:val="009074BD"/>
    <w:rsid w:val="0090768C"/>
    <w:rsid w:val="00915804"/>
    <w:rsid w:val="00940CFD"/>
    <w:rsid w:val="00964CA3"/>
    <w:rsid w:val="009660CC"/>
    <w:rsid w:val="00983F54"/>
    <w:rsid w:val="00985BB6"/>
    <w:rsid w:val="00985FD5"/>
    <w:rsid w:val="009A0BBE"/>
    <w:rsid w:val="009A4E42"/>
    <w:rsid w:val="009A4EE6"/>
    <w:rsid w:val="009A79FC"/>
    <w:rsid w:val="009C204F"/>
    <w:rsid w:val="009C3B41"/>
    <w:rsid w:val="009E0DC3"/>
    <w:rsid w:val="009F4A60"/>
    <w:rsid w:val="00A07030"/>
    <w:rsid w:val="00A20F33"/>
    <w:rsid w:val="00A21218"/>
    <w:rsid w:val="00A226DB"/>
    <w:rsid w:val="00A36738"/>
    <w:rsid w:val="00A36CED"/>
    <w:rsid w:val="00A441F2"/>
    <w:rsid w:val="00A50C19"/>
    <w:rsid w:val="00A55013"/>
    <w:rsid w:val="00A610EF"/>
    <w:rsid w:val="00A61C13"/>
    <w:rsid w:val="00A732FD"/>
    <w:rsid w:val="00A805D3"/>
    <w:rsid w:val="00A81B73"/>
    <w:rsid w:val="00A81C20"/>
    <w:rsid w:val="00A86B88"/>
    <w:rsid w:val="00AA0BF2"/>
    <w:rsid w:val="00AA71EA"/>
    <w:rsid w:val="00B01E9F"/>
    <w:rsid w:val="00B2474C"/>
    <w:rsid w:val="00B25818"/>
    <w:rsid w:val="00B33A04"/>
    <w:rsid w:val="00B37DBC"/>
    <w:rsid w:val="00B40571"/>
    <w:rsid w:val="00B67168"/>
    <w:rsid w:val="00B76DF3"/>
    <w:rsid w:val="00BA7C02"/>
    <w:rsid w:val="00BC12E3"/>
    <w:rsid w:val="00BC20E8"/>
    <w:rsid w:val="00BF212F"/>
    <w:rsid w:val="00C3190D"/>
    <w:rsid w:val="00C40989"/>
    <w:rsid w:val="00C44614"/>
    <w:rsid w:val="00C54CE2"/>
    <w:rsid w:val="00C76C05"/>
    <w:rsid w:val="00C9069A"/>
    <w:rsid w:val="00C92FD4"/>
    <w:rsid w:val="00C9791C"/>
    <w:rsid w:val="00CC18D3"/>
    <w:rsid w:val="00CE3251"/>
    <w:rsid w:val="00CE48C0"/>
    <w:rsid w:val="00CF6EFE"/>
    <w:rsid w:val="00D21868"/>
    <w:rsid w:val="00D34F84"/>
    <w:rsid w:val="00D42267"/>
    <w:rsid w:val="00D461DF"/>
    <w:rsid w:val="00D56EBF"/>
    <w:rsid w:val="00D61437"/>
    <w:rsid w:val="00D707AE"/>
    <w:rsid w:val="00D72539"/>
    <w:rsid w:val="00D7580D"/>
    <w:rsid w:val="00D85CF7"/>
    <w:rsid w:val="00D8695A"/>
    <w:rsid w:val="00DB2E8A"/>
    <w:rsid w:val="00DD2578"/>
    <w:rsid w:val="00DE6237"/>
    <w:rsid w:val="00DF62C3"/>
    <w:rsid w:val="00E12CBA"/>
    <w:rsid w:val="00E137F4"/>
    <w:rsid w:val="00E74A02"/>
    <w:rsid w:val="00EA5FB2"/>
    <w:rsid w:val="00EB5694"/>
    <w:rsid w:val="00EC5FA3"/>
    <w:rsid w:val="00F0080E"/>
    <w:rsid w:val="00F16CC1"/>
    <w:rsid w:val="00F45B80"/>
    <w:rsid w:val="00F46B2A"/>
    <w:rsid w:val="00F61347"/>
    <w:rsid w:val="00F71283"/>
    <w:rsid w:val="00F71708"/>
    <w:rsid w:val="00FA3E7A"/>
    <w:rsid w:val="00FC4BDD"/>
    <w:rsid w:val="00FD6DA6"/>
    <w:rsid w:val="00FE1D61"/>
    <w:rsid w:val="00FF3D8D"/>
    <w:rsid w:val="04581972"/>
    <w:rsid w:val="05DF8F35"/>
    <w:rsid w:val="0C05BDCA"/>
    <w:rsid w:val="0D95AA87"/>
    <w:rsid w:val="197AC33C"/>
    <w:rsid w:val="198B46D7"/>
    <w:rsid w:val="2F17CFE5"/>
    <w:rsid w:val="30A7CA64"/>
    <w:rsid w:val="41C083F1"/>
    <w:rsid w:val="4676D4F9"/>
    <w:rsid w:val="50E73052"/>
    <w:rsid w:val="560A4AF0"/>
    <w:rsid w:val="5AF8889C"/>
    <w:rsid w:val="6360FCBF"/>
    <w:rsid w:val="6CFF98C8"/>
    <w:rsid w:val="724668B4"/>
    <w:rsid w:val="76CDB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452F"/>
  <w15:chartTrackingRefBased/>
  <w15:docId w15:val="{93EA53DC-16E1-416F-848A-CB54E7C94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550"/>
    <w:pPr>
      <w:spacing w:line="256" w:lineRule="auto"/>
    </w:pPr>
    <w:rPr>
      <w:rFonts w:ascii="Aptos" w:eastAsia="Aptos" w:hAnsi="Aptos" w:cs="Times New Roman"/>
      <w:sz w:val="22"/>
      <w:szCs w:val="22"/>
    </w:rPr>
  </w:style>
  <w:style w:type="paragraph" w:styleId="Heading1">
    <w:name w:val="heading 1"/>
    <w:basedOn w:val="Normal"/>
    <w:next w:val="Normal"/>
    <w:link w:val="Heading1Char"/>
    <w:uiPriority w:val="9"/>
    <w:qFormat/>
    <w:rsid w:val="00F717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17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17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17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7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17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7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7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7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7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17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17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17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7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7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7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7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708"/>
    <w:rPr>
      <w:rFonts w:eastAsiaTheme="majorEastAsia" w:cstheme="majorBidi"/>
      <w:color w:val="272727" w:themeColor="text1" w:themeTint="D8"/>
    </w:rPr>
  </w:style>
  <w:style w:type="paragraph" w:styleId="Title">
    <w:name w:val="Title"/>
    <w:basedOn w:val="Normal"/>
    <w:next w:val="Normal"/>
    <w:link w:val="TitleChar"/>
    <w:uiPriority w:val="10"/>
    <w:qFormat/>
    <w:rsid w:val="00F717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7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7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7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708"/>
    <w:pPr>
      <w:spacing w:before="160"/>
      <w:jc w:val="center"/>
    </w:pPr>
    <w:rPr>
      <w:i/>
      <w:iCs/>
      <w:color w:val="404040" w:themeColor="text1" w:themeTint="BF"/>
    </w:rPr>
  </w:style>
  <w:style w:type="character" w:customStyle="1" w:styleId="QuoteChar">
    <w:name w:val="Quote Char"/>
    <w:basedOn w:val="DefaultParagraphFont"/>
    <w:link w:val="Quote"/>
    <w:uiPriority w:val="29"/>
    <w:rsid w:val="00F71708"/>
    <w:rPr>
      <w:i/>
      <w:iCs/>
      <w:color w:val="404040" w:themeColor="text1" w:themeTint="BF"/>
    </w:rPr>
  </w:style>
  <w:style w:type="paragraph" w:styleId="ListParagraph">
    <w:name w:val="List Paragraph"/>
    <w:basedOn w:val="Normal"/>
    <w:uiPriority w:val="34"/>
    <w:qFormat/>
    <w:rsid w:val="00F71708"/>
    <w:pPr>
      <w:ind w:left="720"/>
      <w:contextualSpacing/>
    </w:pPr>
  </w:style>
  <w:style w:type="character" w:styleId="IntenseEmphasis">
    <w:name w:val="Intense Emphasis"/>
    <w:basedOn w:val="DefaultParagraphFont"/>
    <w:uiPriority w:val="21"/>
    <w:qFormat/>
    <w:rsid w:val="00F71708"/>
    <w:rPr>
      <w:i/>
      <w:iCs/>
      <w:color w:val="0F4761" w:themeColor="accent1" w:themeShade="BF"/>
    </w:rPr>
  </w:style>
  <w:style w:type="paragraph" w:styleId="IntenseQuote">
    <w:name w:val="Intense Quote"/>
    <w:basedOn w:val="Normal"/>
    <w:next w:val="Normal"/>
    <w:link w:val="IntenseQuoteChar"/>
    <w:uiPriority w:val="30"/>
    <w:qFormat/>
    <w:rsid w:val="00F717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708"/>
    <w:rPr>
      <w:i/>
      <w:iCs/>
      <w:color w:val="0F4761" w:themeColor="accent1" w:themeShade="BF"/>
    </w:rPr>
  </w:style>
  <w:style w:type="character" w:styleId="IntenseReference">
    <w:name w:val="Intense Reference"/>
    <w:basedOn w:val="DefaultParagraphFont"/>
    <w:uiPriority w:val="32"/>
    <w:qFormat/>
    <w:rsid w:val="00F71708"/>
    <w:rPr>
      <w:b/>
      <w:bCs/>
      <w:smallCaps/>
      <w:color w:val="0F4761" w:themeColor="accent1" w:themeShade="BF"/>
      <w:spacing w:val="5"/>
    </w:rPr>
  </w:style>
  <w:style w:type="paragraph" w:styleId="Header">
    <w:name w:val="header"/>
    <w:basedOn w:val="Normal"/>
    <w:link w:val="HeaderChar"/>
    <w:uiPriority w:val="99"/>
    <w:unhideWhenUsed/>
    <w:rsid w:val="00F717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708"/>
    <w:rPr>
      <w:rFonts w:ascii="Aptos" w:eastAsia="Aptos" w:hAnsi="Aptos" w:cs="Times New Roman"/>
      <w:sz w:val="22"/>
      <w:szCs w:val="22"/>
    </w:rPr>
  </w:style>
  <w:style w:type="paragraph" w:styleId="Footer">
    <w:name w:val="footer"/>
    <w:basedOn w:val="Normal"/>
    <w:link w:val="FooterChar"/>
    <w:uiPriority w:val="99"/>
    <w:unhideWhenUsed/>
    <w:rsid w:val="00F717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708"/>
    <w:rPr>
      <w:rFonts w:ascii="Aptos" w:eastAsia="Aptos" w:hAnsi="Aptos" w:cs="Times New Roman"/>
      <w:sz w:val="22"/>
      <w:szCs w:val="22"/>
    </w:rPr>
  </w:style>
  <w:style w:type="paragraph" w:customStyle="1" w:styleId="Default">
    <w:name w:val="Default"/>
    <w:rsid w:val="00F0080E"/>
    <w:pPr>
      <w:autoSpaceDE w:val="0"/>
      <w:autoSpaceDN w:val="0"/>
      <w:adjustRightInd w:val="0"/>
      <w:spacing w:after="0" w:line="240" w:lineRule="auto"/>
    </w:pPr>
    <w:rPr>
      <w:rFonts w:ascii="Arial" w:hAnsi="Arial" w:cs="Arial"/>
      <w:color w:val="000000"/>
      <w:kern w:val="0"/>
    </w:rPr>
  </w:style>
  <w:style w:type="paragraph" w:styleId="Revision">
    <w:name w:val="Revision"/>
    <w:hidden/>
    <w:uiPriority w:val="99"/>
    <w:semiHidden/>
    <w:rsid w:val="00426F6E"/>
    <w:pPr>
      <w:spacing w:after="0" w:line="240" w:lineRule="auto"/>
    </w:pPr>
    <w:rPr>
      <w:rFonts w:ascii="Aptos" w:eastAsia="Aptos" w:hAnsi="Aptos" w:cs="Times New Roman"/>
      <w:sz w:val="22"/>
      <w:szCs w:val="22"/>
    </w:rPr>
  </w:style>
  <w:style w:type="paragraph" w:styleId="CommentText">
    <w:name w:val="annotation text"/>
    <w:basedOn w:val="Normal"/>
    <w:link w:val="CommentTextChar"/>
    <w:uiPriority w:val="99"/>
    <w:unhideWhenUsed/>
    <w:rsid w:val="00DF62C3"/>
    <w:pPr>
      <w:spacing w:line="240" w:lineRule="auto"/>
    </w:pPr>
    <w:rPr>
      <w:sz w:val="20"/>
      <w:szCs w:val="20"/>
    </w:rPr>
  </w:style>
  <w:style w:type="character" w:customStyle="1" w:styleId="CommentTextChar">
    <w:name w:val="Comment Text Char"/>
    <w:basedOn w:val="DefaultParagraphFont"/>
    <w:link w:val="CommentText"/>
    <w:uiPriority w:val="99"/>
    <w:rsid w:val="00DF62C3"/>
    <w:rPr>
      <w:rFonts w:ascii="Aptos" w:eastAsia="Aptos" w:hAnsi="Aptos" w:cs="Times New Roman"/>
      <w:sz w:val="20"/>
      <w:szCs w:val="20"/>
    </w:rPr>
  </w:style>
  <w:style w:type="character" w:styleId="CommentReference">
    <w:name w:val="annotation reference"/>
    <w:basedOn w:val="DefaultParagraphFont"/>
    <w:uiPriority w:val="99"/>
    <w:semiHidden/>
    <w:unhideWhenUsed/>
    <w:rsid w:val="00DF62C3"/>
    <w:rPr>
      <w:sz w:val="16"/>
      <w:szCs w:val="16"/>
    </w:rPr>
  </w:style>
  <w:style w:type="paragraph" w:styleId="CommentSubject">
    <w:name w:val="annotation subject"/>
    <w:basedOn w:val="CommentText"/>
    <w:next w:val="CommentText"/>
    <w:link w:val="CommentSubjectChar"/>
    <w:uiPriority w:val="99"/>
    <w:semiHidden/>
    <w:unhideWhenUsed/>
    <w:rsid w:val="000D2A6C"/>
    <w:rPr>
      <w:b/>
      <w:bCs/>
    </w:rPr>
  </w:style>
  <w:style w:type="character" w:customStyle="1" w:styleId="CommentSubjectChar">
    <w:name w:val="Comment Subject Char"/>
    <w:basedOn w:val="CommentTextChar"/>
    <w:link w:val="CommentSubject"/>
    <w:uiPriority w:val="99"/>
    <w:semiHidden/>
    <w:rsid w:val="000D2A6C"/>
    <w:rPr>
      <w:rFonts w:ascii="Aptos" w:eastAsia="Aptos" w:hAnsi="Apto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471336-afb1-4cde-a276-2d6acc6bcfc0" xsi:nil="true"/>
    <LegalCounsel xmlns="316c791d-0fa3-419f-a07f-96c4643f4cee" xsi:nil="true"/>
    <CaseManager xmlns="316c791d-0fa3-419f-a07f-96c4643f4cee" xsi:nil="true"/>
    <IRProcess xmlns="316c791d-0fa3-419f-a07f-96c4643f4cee" xsi:nil="true"/>
    <CaseType xmlns="316c791d-0fa3-419f-a07f-96c4643f4cee" xsi:nil="true"/>
    <lcf76f155ced4ddcb4097134ff3c332f xmlns="316c791d-0fa3-419f-a07f-96c4643f4ce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A355698168444985FE7D246FBBDFB6" ma:contentTypeVersion="15" ma:contentTypeDescription="Create a new document." ma:contentTypeScope="" ma:versionID="9bd05f9a929250e65a80604c28710f2c">
  <xsd:schema xmlns:xsd="http://www.w3.org/2001/XMLSchema" xmlns:xs="http://www.w3.org/2001/XMLSchema" xmlns:p="http://schemas.microsoft.com/office/2006/metadata/properties" xmlns:ns2="316c791d-0fa3-419f-a07f-96c4643f4cee" xmlns:ns3="01471336-afb1-4cde-a276-2d6acc6bcfc0" targetNamespace="http://schemas.microsoft.com/office/2006/metadata/properties" ma:root="true" ma:fieldsID="e371aa63315f43757b281dff45e33c9f" ns2:_="" ns3:_="">
    <xsd:import namespace="316c791d-0fa3-419f-a07f-96c4643f4cee"/>
    <xsd:import namespace="01471336-afb1-4cde-a276-2d6acc6bc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CaseManager" minOccurs="0"/>
                <xsd:element ref="ns2:IRProcess" minOccurs="0"/>
                <xsd:element ref="ns2:CaseType" minOccurs="0"/>
                <xsd:element ref="ns2:LegalCouns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c791d-0fa3-419f-a07f-96c4643f4c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6fef157-3fa8-492c-b9fa-e38244047c1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CaseManager" ma:index="19" nillable="true" ma:displayName="Case Manager" ma:format="Dropdown" ma:internalName="CaseManager">
      <xsd:simpleType>
        <xsd:restriction base="dms:Note">
          <xsd:maxLength value="255"/>
        </xsd:restriction>
      </xsd:simpleType>
    </xsd:element>
    <xsd:element name="IRProcess" ma:index="20" nillable="true" ma:displayName="IR Process" ma:format="Dropdown" ma:internalName="IRProcess">
      <xsd:simpleType>
        <xsd:restriction base="dms:Choice">
          <xsd:enumeration value="COS"/>
          <xsd:enumeration value="Custom IR"/>
          <xsd:enumeration value="Annual IR"/>
          <xsd:enumeration value="Price Cap IR"/>
        </xsd:restriction>
      </xsd:simpleType>
    </xsd:element>
    <xsd:element name="CaseType" ma:index="21" nillable="true" ma:displayName="Case Type" ma:format="Dropdown" ma:internalName="CaseType">
      <xsd:simpleType>
        <xsd:restriction base="dms:Choice">
          <xsd:enumeration value="DA"/>
          <xsd:enumeration value="Panel"/>
          <xsd:enumeration value="Choice 3"/>
        </xsd:restriction>
      </xsd:simpleType>
    </xsd:element>
    <xsd:element name="LegalCounsel" ma:index="22" nillable="true" ma:displayName="Legal Counsel" ma:format="Dropdown" ma:internalName="LegalCounsel">
      <xsd:simpleType>
        <xsd:restriction base="dms:Choice">
          <xsd:enumeration value="Faye Kidman"/>
          <xsd:enumeration value="Tobias Hobbins"/>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01471336-afb1-4cde-a276-2d6acc6bcf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3d9606-52aa-4b94-90db-b9f9f6e02968}" ma:internalName="TaxCatchAll" ma:showField="CatchAllData" ma:web="01471336-afb1-4cde-a276-2d6acc6bc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ABB4DE-86D9-4001-9555-A80993F8B254}">
  <ds:schemaRefs>
    <ds:schemaRef ds:uri="http://schemas.microsoft.com/office/2006/metadata/properties"/>
    <ds:schemaRef ds:uri="http://schemas.microsoft.com/office/infopath/2007/PartnerControls"/>
    <ds:schemaRef ds:uri="01471336-afb1-4cde-a276-2d6acc6bcfc0"/>
    <ds:schemaRef ds:uri="316c791d-0fa3-419f-a07f-96c4643f4cee"/>
  </ds:schemaRefs>
</ds:datastoreItem>
</file>

<file path=customXml/itemProps2.xml><?xml version="1.0" encoding="utf-8"?>
<ds:datastoreItem xmlns:ds="http://schemas.openxmlformats.org/officeDocument/2006/customXml" ds:itemID="{615BFF51-69BD-4701-BFEB-FCA9BE055BF5}">
  <ds:schemaRefs>
    <ds:schemaRef ds:uri="http://schemas.microsoft.com/sharepoint/v3/contenttype/forms"/>
  </ds:schemaRefs>
</ds:datastoreItem>
</file>

<file path=customXml/itemProps3.xml><?xml version="1.0" encoding="utf-8"?>
<ds:datastoreItem xmlns:ds="http://schemas.openxmlformats.org/officeDocument/2006/customXml" ds:itemID="{685347FB-B03A-4F78-8EB8-B8A421307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6c791d-0fa3-419f-a07f-96c4643f4cee"/>
    <ds:schemaRef ds:uri="01471336-afb1-4cde-a276-2d6acc6bc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4644</Characters>
  <Application>Microsoft Office Word</Application>
  <DocSecurity>0</DocSecurity>
  <Lines>38</Lines>
  <Paragraphs>10</Paragraphs>
  <ScaleCrop>false</ScaleCrop>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Zhang</dc:creator>
  <cp:keywords/>
  <dc:description/>
  <cp:lastModifiedBy>Lizzie Zhang</cp:lastModifiedBy>
  <cp:revision>2</cp:revision>
  <dcterms:created xsi:type="dcterms:W3CDTF">2026-10-01T17:01:00Z</dcterms:created>
  <dcterms:modified xsi:type="dcterms:W3CDTF">2026-10-01T17:01:00Z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0x010100C1A355698168444985FE7D246FBBDFB6</vt:lpwstr>
  </property>
  <property fmtid="{D5CDD505-2E9C-101B-9397-08002B2CF9AE}" pid="3" name="MediaServiceImageTags">
    <vt:lpwstr/>
  </property>
</Properties>
</file>