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A61C" w14:textId="1AC2762D" w:rsidR="007102DD" w:rsidRPr="00C6653E" w:rsidRDefault="00C6653E" w:rsidP="00C6653E">
      <w:pPr>
        <w:jc w:val="center"/>
        <w:rPr>
          <w:rFonts w:ascii="Arial" w:hAnsi="Arial" w:cs="Arial"/>
          <w:b/>
          <w:sz w:val="24"/>
          <w:szCs w:val="24"/>
        </w:rPr>
      </w:pPr>
      <w:r w:rsidRPr="00C6653E">
        <w:rPr>
          <w:rFonts w:ascii="Arial" w:hAnsi="Arial" w:cs="Arial"/>
          <w:b/>
          <w:sz w:val="24"/>
          <w:szCs w:val="24"/>
        </w:rPr>
        <w:t>OEB Staff Questions</w:t>
      </w:r>
      <w:r>
        <w:rPr>
          <w:rFonts w:ascii="Arial" w:hAnsi="Arial" w:cs="Arial"/>
          <w:b/>
          <w:sz w:val="24"/>
          <w:szCs w:val="24"/>
        </w:rPr>
        <w:t xml:space="preserve">                                                                                                              </w:t>
      </w:r>
      <w:r w:rsidRPr="00C6653E">
        <w:rPr>
          <w:rFonts w:ascii="Arial" w:hAnsi="Arial" w:cs="Arial"/>
          <w:b/>
          <w:sz w:val="24"/>
          <w:szCs w:val="24"/>
        </w:rPr>
        <w:t>Oakville Hydro Distribution Inc.</w:t>
      </w:r>
      <w:r>
        <w:rPr>
          <w:rFonts w:ascii="Arial" w:hAnsi="Arial" w:cs="Arial"/>
          <w:b/>
          <w:sz w:val="24"/>
          <w:szCs w:val="24"/>
        </w:rPr>
        <w:t xml:space="preserve">                                                                                                   </w:t>
      </w:r>
      <w:r w:rsidRPr="00C6653E">
        <w:rPr>
          <w:rFonts w:ascii="Arial" w:hAnsi="Arial" w:cs="Arial"/>
          <w:b/>
          <w:sz w:val="24"/>
          <w:szCs w:val="24"/>
        </w:rPr>
        <w:t>EB-2026-0063</w:t>
      </w:r>
    </w:p>
    <w:p w14:paraId="39DC28DC" w14:textId="77777777" w:rsidR="007102DD" w:rsidRPr="00C6653E" w:rsidRDefault="00BC62DD">
      <w:pPr>
        <w:rPr>
          <w:rFonts w:ascii="Arial" w:hAnsi="Arial" w:cs="Arial"/>
          <w:sz w:val="24"/>
          <w:szCs w:val="24"/>
        </w:rPr>
      </w:pPr>
      <w:r w:rsidRPr="00C6653E">
        <w:rPr>
          <w:rFonts w:ascii="Arial" w:hAnsi="Arial" w:cs="Arial"/>
          <w:sz w:val="24"/>
          <w:szCs w:val="24"/>
        </w:rPr>
        <w:t>Please note, Oakville Hydro Electricity Distribution Inc. (Oakville Hydro) is responsible for ensuring that all documents it files with the OEB, including responses to OEB staff questions and any other supporting documentation, do not include personal information (as that phrase is defined in the Freedom of Information and Protection of Privacy Act), unless filed in accordance with rule 9A of the OEB’s Rules of Practice and Procedure.</w:t>
      </w:r>
    </w:p>
    <w:p w14:paraId="151917F5" w14:textId="77777777" w:rsidR="007102DD" w:rsidRPr="00C6653E" w:rsidRDefault="00BC62DD">
      <w:pPr>
        <w:pStyle w:val="Heading3"/>
        <w:rPr>
          <w:rFonts w:ascii="Arial" w:hAnsi="Arial" w:cs="Arial"/>
          <w:szCs w:val="24"/>
        </w:rPr>
      </w:pPr>
      <w:r w:rsidRPr="00C6653E">
        <w:rPr>
          <w:rFonts w:ascii="Arial" w:hAnsi="Arial" w:cs="Arial"/>
          <w:szCs w:val="24"/>
        </w:rPr>
        <w:t>Staff Question-1</w:t>
      </w:r>
    </w:p>
    <w:p w14:paraId="7EB8D0A4" w14:textId="77777777" w:rsidR="007102DD" w:rsidRPr="00C6653E" w:rsidRDefault="00BC62DD">
      <w:pPr>
        <w:rPr>
          <w:rFonts w:ascii="Arial" w:hAnsi="Arial" w:cs="Arial"/>
          <w:b/>
          <w:bCs/>
          <w:sz w:val="24"/>
          <w:szCs w:val="24"/>
        </w:rPr>
      </w:pPr>
      <w:r w:rsidRPr="00C6653E">
        <w:rPr>
          <w:rFonts w:ascii="Arial" w:hAnsi="Arial" w:cs="Arial"/>
          <w:b/>
          <w:bCs/>
          <w:sz w:val="24"/>
          <w:szCs w:val="24"/>
        </w:rPr>
        <w:t>Ref. 1: Rate Generator Model, Tab 3, Continuity Schedule</w:t>
      </w:r>
    </w:p>
    <w:p w14:paraId="13291E17" w14:textId="77777777" w:rsidR="007102DD" w:rsidRPr="00C6653E" w:rsidRDefault="00BC62DD">
      <w:pPr>
        <w:rPr>
          <w:rFonts w:ascii="Arial" w:hAnsi="Arial" w:cs="Arial"/>
          <w:b/>
          <w:bCs/>
          <w:sz w:val="24"/>
          <w:szCs w:val="24"/>
        </w:rPr>
      </w:pPr>
      <w:r w:rsidRPr="00C6653E">
        <w:rPr>
          <w:rFonts w:ascii="Arial" w:hAnsi="Arial" w:cs="Arial"/>
          <w:b/>
          <w:bCs/>
          <w:sz w:val="24"/>
          <w:szCs w:val="24"/>
        </w:rPr>
        <w:t>Preamble:</w:t>
      </w:r>
    </w:p>
    <w:p w14:paraId="2B740B3C" w14:textId="77777777" w:rsidR="007102DD" w:rsidRPr="00C6653E" w:rsidRDefault="00BC62DD">
      <w:pPr>
        <w:rPr>
          <w:rFonts w:ascii="Arial" w:hAnsi="Arial" w:cs="Arial"/>
          <w:sz w:val="24"/>
          <w:szCs w:val="24"/>
        </w:rPr>
      </w:pPr>
      <w:r w:rsidRPr="00C6653E">
        <w:rPr>
          <w:rFonts w:ascii="Arial" w:hAnsi="Arial" w:cs="Arial"/>
          <w:sz w:val="24"/>
          <w:szCs w:val="24"/>
        </w:rPr>
        <w:t xml:space="preserve">On September 14, 2026, the OEB published </w:t>
      </w:r>
      <w:proofErr w:type="gramStart"/>
      <w:r w:rsidRPr="00C6653E">
        <w:rPr>
          <w:rFonts w:ascii="Arial" w:hAnsi="Arial" w:cs="Arial"/>
          <w:sz w:val="24"/>
          <w:szCs w:val="24"/>
        </w:rPr>
        <w:t>the Q4</w:t>
      </w:r>
      <w:proofErr w:type="gramEnd"/>
      <w:r w:rsidRPr="00C6653E">
        <w:rPr>
          <w:rFonts w:ascii="Arial" w:hAnsi="Arial" w:cs="Arial"/>
          <w:sz w:val="24"/>
          <w:szCs w:val="24"/>
        </w:rPr>
        <w:t xml:space="preserve"> 2026 prescribed accounting interest rates applicable to the carrying charges of deferral, variance and construction work in progress (CWIP) accounts of natural gas utilities, electricity distributors and other rate-regulated entities.</w:t>
      </w:r>
    </w:p>
    <w:p w14:paraId="1DDFBD16" w14:textId="77777777" w:rsidR="007102DD" w:rsidRPr="00C6653E" w:rsidRDefault="00BC62DD">
      <w:pPr>
        <w:rPr>
          <w:rFonts w:ascii="Arial" w:hAnsi="Arial" w:cs="Arial"/>
          <w:b/>
          <w:bCs/>
          <w:sz w:val="24"/>
          <w:szCs w:val="24"/>
        </w:rPr>
      </w:pPr>
      <w:r w:rsidRPr="00C6653E">
        <w:rPr>
          <w:rFonts w:ascii="Arial" w:hAnsi="Arial" w:cs="Arial"/>
          <w:b/>
          <w:bCs/>
          <w:sz w:val="24"/>
          <w:szCs w:val="24"/>
        </w:rPr>
        <w:t>Question(s):</w:t>
      </w:r>
    </w:p>
    <w:p w14:paraId="2B65C8FD" w14:textId="3C6512BC" w:rsidR="007102DD" w:rsidRPr="00C6653E" w:rsidRDefault="00BC62DD" w:rsidP="00C6653E">
      <w:pPr>
        <w:pStyle w:val="ListParagraph"/>
        <w:numPr>
          <w:ilvl w:val="0"/>
          <w:numId w:val="5"/>
        </w:numPr>
        <w:rPr>
          <w:rFonts w:ascii="Arial" w:hAnsi="Arial" w:cs="Arial"/>
          <w:sz w:val="24"/>
          <w:szCs w:val="24"/>
        </w:rPr>
      </w:pPr>
      <w:r w:rsidRPr="00C6653E">
        <w:rPr>
          <w:rFonts w:ascii="Arial" w:hAnsi="Arial" w:cs="Arial"/>
          <w:sz w:val="24"/>
          <w:szCs w:val="24"/>
        </w:rPr>
        <w:t>Please update Tab 3 (Continuity Schedule) as necessary to reflect the Q4 2026 OEB-prescribed interest rate of 2.87%.</w:t>
      </w:r>
    </w:p>
    <w:p w14:paraId="72EDEFA3" w14:textId="77777777" w:rsidR="007102DD" w:rsidRPr="00C6653E" w:rsidRDefault="00BC62DD">
      <w:pPr>
        <w:pStyle w:val="Heading3"/>
        <w:rPr>
          <w:rFonts w:ascii="Arial" w:hAnsi="Arial" w:cs="Arial"/>
          <w:szCs w:val="24"/>
        </w:rPr>
      </w:pPr>
      <w:r w:rsidRPr="00C6653E">
        <w:rPr>
          <w:rFonts w:ascii="Arial" w:hAnsi="Arial" w:cs="Arial"/>
          <w:szCs w:val="24"/>
        </w:rPr>
        <w:t>Staff Question-2</w:t>
      </w:r>
    </w:p>
    <w:p w14:paraId="2D0F3E05" w14:textId="77777777" w:rsidR="007102DD" w:rsidRPr="00C6653E" w:rsidRDefault="00BC62DD">
      <w:pPr>
        <w:rPr>
          <w:rFonts w:ascii="Arial" w:hAnsi="Arial" w:cs="Arial"/>
          <w:b/>
          <w:bCs/>
          <w:sz w:val="24"/>
          <w:szCs w:val="24"/>
        </w:rPr>
      </w:pPr>
      <w:r w:rsidRPr="00C6653E">
        <w:rPr>
          <w:rFonts w:ascii="Arial" w:hAnsi="Arial" w:cs="Arial"/>
          <w:b/>
          <w:bCs/>
          <w:sz w:val="24"/>
          <w:szCs w:val="24"/>
        </w:rPr>
        <w:t>Ref. 1: Manager’s Summary, page 7, section 12.2</w:t>
      </w:r>
    </w:p>
    <w:p w14:paraId="3CCB1EC2" w14:textId="77777777" w:rsidR="007102DD" w:rsidRPr="00C6653E" w:rsidRDefault="00BC62DD">
      <w:pPr>
        <w:rPr>
          <w:rFonts w:ascii="Arial" w:hAnsi="Arial" w:cs="Arial"/>
          <w:b/>
          <w:bCs/>
          <w:sz w:val="24"/>
          <w:szCs w:val="24"/>
        </w:rPr>
      </w:pPr>
      <w:r w:rsidRPr="00C6653E">
        <w:rPr>
          <w:rFonts w:ascii="Arial" w:hAnsi="Arial" w:cs="Arial"/>
          <w:b/>
          <w:bCs/>
          <w:sz w:val="24"/>
          <w:szCs w:val="24"/>
        </w:rPr>
        <w:t xml:space="preserve">Ref. 2: Commodity Accounts Analysis </w:t>
      </w:r>
      <w:proofErr w:type="spellStart"/>
      <w:r w:rsidRPr="00C6653E">
        <w:rPr>
          <w:rFonts w:ascii="Arial" w:hAnsi="Arial" w:cs="Arial"/>
          <w:b/>
          <w:bCs/>
          <w:sz w:val="24"/>
          <w:szCs w:val="24"/>
        </w:rPr>
        <w:t>Workform</w:t>
      </w:r>
      <w:proofErr w:type="spellEnd"/>
      <w:r w:rsidRPr="00C6653E">
        <w:rPr>
          <w:rFonts w:ascii="Arial" w:hAnsi="Arial" w:cs="Arial"/>
          <w:b/>
          <w:bCs/>
          <w:sz w:val="24"/>
          <w:szCs w:val="24"/>
        </w:rPr>
        <w:t>, Account 1588 tab, Notes 7, 7a and 7b</w:t>
      </w:r>
    </w:p>
    <w:p w14:paraId="5767C341" w14:textId="77777777" w:rsidR="007102DD" w:rsidRPr="00C6653E" w:rsidRDefault="00BC62DD">
      <w:pPr>
        <w:rPr>
          <w:rFonts w:ascii="Arial" w:hAnsi="Arial" w:cs="Arial"/>
          <w:b/>
          <w:bCs/>
          <w:sz w:val="24"/>
          <w:szCs w:val="24"/>
        </w:rPr>
      </w:pPr>
      <w:r w:rsidRPr="00C6653E">
        <w:rPr>
          <w:rFonts w:ascii="Arial" w:hAnsi="Arial" w:cs="Arial"/>
          <w:b/>
          <w:bCs/>
          <w:sz w:val="24"/>
          <w:szCs w:val="24"/>
        </w:rPr>
        <w:t>Preamble:</w:t>
      </w:r>
    </w:p>
    <w:p w14:paraId="42BA7918" w14:textId="260ED31F" w:rsidR="007102DD" w:rsidRPr="00C6653E" w:rsidRDefault="00BC62DD">
      <w:pPr>
        <w:rPr>
          <w:rFonts w:ascii="Arial" w:hAnsi="Arial" w:cs="Arial"/>
          <w:sz w:val="24"/>
          <w:szCs w:val="24"/>
        </w:rPr>
      </w:pPr>
      <w:r w:rsidRPr="00C6653E">
        <w:rPr>
          <w:rFonts w:ascii="Arial" w:hAnsi="Arial" w:cs="Arial"/>
          <w:sz w:val="24"/>
          <w:szCs w:val="24"/>
        </w:rPr>
        <w:t>Oakville Hydro’s 2025 activity in Account 1588 is a credit of $3,102,809. This is 2.34% of the $132,743,866 recorded in Account 4705 and exceeds the 1% reasonability threshold.</w:t>
      </w:r>
    </w:p>
    <w:p w14:paraId="355BA66D" w14:textId="3E2185FB" w:rsidR="007102DD" w:rsidRPr="00C6653E" w:rsidRDefault="00BC62DD" w:rsidP="00C6653E">
      <w:pPr>
        <w:rPr>
          <w:rFonts w:ascii="Arial" w:hAnsi="Arial" w:cs="Arial"/>
          <w:sz w:val="24"/>
          <w:szCs w:val="24"/>
        </w:rPr>
      </w:pPr>
      <w:r w:rsidRPr="00C6653E">
        <w:rPr>
          <w:rFonts w:ascii="Arial" w:hAnsi="Arial" w:cs="Arial"/>
          <w:sz w:val="24"/>
          <w:szCs w:val="24"/>
        </w:rPr>
        <w:t>At Reference 1, Oakville Hydro states</w:t>
      </w:r>
      <w:r w:rsidR="00C6653E">
        <w:rPr>
          <w:rFonts w:ascii="Arial" w:hAnsi="Arial" w:cs="Arial"/>
          <w:sz w:val="24"/>
          <w:szCs w:val="24"/>
        </w:rPr>
        <w:t>, “</w:t>
      </w:r>
      <w:r w:rsidRPr="00C6653E">
        <w:rPr>
          <w:rFonts w:ascii="Arial" w:hAnsi="Arial" w:cs="Arial"/>
          <w:sz w:val="24"/>
          <w:szCs w:val="24"/>
        </w:rPr>
        <w:t>Analysis to date confirms 1.4% of the variance is directly attributable to minor differences in the weighted average price per kWh billed to customers and that paid per kWh to the IESO. The remaining variance is made up of variances between actual and accrued unbilled revenues caused by volume and rate differences.</w:t>
      </w:r>
      <w:r w:rsidR="00C6653E">
        <w:rPr>
          <w:rFonts w:ascii="Arial" w:hAnsi="Arial" w:cs="Arial"/>
          <w:sz w:val="24"/>
          <w:szCs w:val="24"/>
        </w:rPr>
        <w:t>”</w:t>
      </w:r>
    </w:p>
    <w:p w14:paraId="180C80A9" w14:textId="77777777" w:rsidR="007102DD" w:rsidRPr="00C6653E" w:rsidRDefault="00BC62DD">
      <w:pPr>
        <w:rPr>
          <w:rFonts w:ascii="Arial" w:hAnsi="Arial" w:cs="Arial"/>
          <w:sz w:val="24"/>
          <w:szCs w:val="24"/>
        </w:rPr>
      </w:pPr>
      <w:r w:rsidRPr="00C6653E">
        <w:rPr>
          <w:rFonts w:ascii="Arial" w:hAnsi="Arial" w:cs="Arial"/>
          <w:sz w:val="24"/>
          <w:szCs w:val="24"/>
        </w:rPr>
        <w:t>At Reference 2, Oakville Hydro quantifies the price difference at $1.85 million. No amount is recorded for the current year CT 1142/142 true up (Note 7a, item 2b) or the current year unbilled to actual revenue difference (Note 7a, item 3b), and no reconciling items are recorded in Note 7b.</w:t>
      </w:r>
    </w:p>
    <w:p w14:paraId="32B09DCD" w14:textId="77777777" w:rsidR="007102DD" w:rsidRPr="00C6653E" w:rsidRDefault="00BC62DD">
      <w:pPr>
        <w:rPr>
          <w:rFonts w:ascii="Arial" w:hAnsi="Arial" w:cs="Arial"/>
          <w:sz w:val="24"/>
          <w:szCs w:val="24"/>
        </w:rPr>
      </w:pPr>
      <w:r w:rsidRPr="00C6653E">
        <w:rPr>
          <w:rFonts w:ascii="Arial" w:hAnsi="Arial" w:cs="Arial"/>
          <w:sz w:val="24"/>
          <w:szCs w:val="24"/>
        </w:rPr>
        <w:lastRenderedPageBreak/>
        <w:t>Question(s):</w:t>
      </w:r>
    </w:p>
    <w:p w14:paraId="3CA2831C" w14:textId="6D45588C" w:rsidR="007102DD" w:rsidRPr="00C6653E" w:rsidRDefault="00BC62DD" w:rsidP="00C6653E">
      <w:pPr>
        <w:pStyle w:val="ListParagraph"/>
        <w:numPr>
          <w:ilvl w:val="0"/>
          <w:numId w:val="6"/>
        </w:numPr>
        <w:rPr>
          <w:rFonts w:ascii="Arial" w:hAnsi="Arial" w:cs="Arial"/>
          <w:sz w:val="24"/>
          <w:szCs w:val="24"/>
        </w:rPr>
      </w:pPr>
      <w:r w:rsidRPr="00C6653E">
        <w:rPr>
          <w:rFonts w:ascii="Arial" w:hAnsi="Arial" w:cs="Arial"/>
          <w:sz w:val="24"/>
          <w:szCs w:val="24"/>
        </w:rPr>
        <w:t>Please provide a complete explanation of the 2025 Account 1588 variance of $3,102,809, quantifying each principal adjustment in Note 7a and each reconciling item in Note 7b of Reference 2, and update the reasonability test.</w:t>
      </w:r>
    </w:p>
    <w:p w14:paraId="418CA782" w14:textId="62A8FC8C" w:rsidR="007102DD" w:rsidRPr="00C6653E" w:rsidRDefault="00BC62DD" w:rsidP="00C6653E">
      <w:pPr>
        <w:pStyle w:val="ListParagraph"/>
        <w:numPr>
          <w:ilvl w:val="0"/>
          <w:numId w:val="6"/>
        </w:numPr>
        <w:rPr>
          <w:rFonts w:ascii="Arial" w:hAnsi="Arial" w:cs="Arial"/>
          <w:sz w:val="24"/>
          <w:szCs w:val="24"/>
        </w:rPr>
      </w:pPr>
      <w:r w:rsidRPr="00C6653E">
        <w:rPr>
          <w:rFonts w:ascii="Arial" w:hAnsi="Arial" w:cs="Arial"/>
          <w:sz w:val="24"/>
          <w:szCs w:val="24"/>
        </w:rPr>
        <w:t>Please break down the $1.85 million price difference between RPP and non RPP customers. For each portion, please explain why the energy revenue billed differed from the cost paid to the IESO.</w:t>
      </w:r>
    </w:p>
    <w:p w14:paraId="4C02F400" w14:textId="0F6F3649" w:rsidR="007102DD" w:rsidRDefault="00BC62DD" w:rsidP="00C6653E">
      <w:pPr>
        <w:pStyle w:val="ListParagraph"/>
        <w:numPr>
          <w:ilvl w:val="0"/>
          <w:numId w:val="6"/>
        </w:numPr>
        <w:rPr>
          <w:rFonts w:ascii="Arial" w:hAnsi="Arial" w:cs="Arial"/>
          <w:sz w:val="24"/>
          <w:szCs w:val="24"/>
        </w:rPr>
      </w:pPr>
      <w:r w:rsidRPr="00C6653E">
        <w:rPr>
          <w:rFonts w:ascii="Arial" w:hAnsi="Arial" w:cs="Arial"/>
          <w:sz w:val="24"/>
          <w:szCs w:val="24"/>
        </w:rPr>
        <w:t xml:space="preserve">Reference 1 attributes the remaining variance to differences between actual and accrued unbilled revenues. Please explain why no amount is recorded for Note 7a items 2b and 3b. If either adjustment is required, please quantify it and update the Commodity Accounts Analysis </w:t>
      </w:r>
      <w:proofErr w:type="spellStart"/>
      <w:r w:rsidRPr="00C6653E">
        <w:rPr>
          <w:rFonts w:ascii="Arial" w:hAnsi="Arial" w:cs="Arial"/>
          <w:sz w:val="24"/>
          <w:szCs w:val="24"/>
        </w:rPr>
        <w:t>Workform</w:t>
      </w:r>
      <w:proofErr w:type="spellEnd"/>
      <w:r w:rsidRPr="00C6653E">
        <w:rPr>
          <w:rFonts w:ascii="Arial" w:hAnsi="Arial" w:cs="Arial"/>
          <w:sz w:val="24"/>
          <w:szCs w:val="24"/>
        </w:rPr>
        <w:t xml:space="preserve"> and Tab 3 of the Rate Generator Model.</w:t>
      </w:r>
    </w:p>
    <w:p w14:paraId="0047E7A1" w14:textId="5022BF8B" w:rsidR="00546DEC" w:rsidRDefault="00546DEC" w:rsidP="00546DEC">
      <w:pPr>
        <w:pStyle w:val="ListParagraph"/>
        <w:numPr>
          <w:ilvl w:val="0"/>
          <w:numId w:val="6"/>
        </w:numPr>
        <w:rPr>
          <w:rFonts w:ascii="Arial" w:hAnsi="Arial" w:cs="Arial"/>
          <w:sz w:val="24"/>
          <w:szCs w:val="24"/>
        </w:rPr>
      </w:pPr>
      <w:r w:rsidRPr="00546DEC">
        <w:rPr>
          <w:rFonts w:ascii="Arial" w:hAnsi="Arial" w:cs="Arial"/>
          <w:sz w:val="24"/>
          <w:szCs w:val="24"/>
        </w:rPr>
        <w:t>Please provide Oakville Hydro’s view on each of the following alternatives to final disposition of the Account 1588 and Account 1589 balances, and the reasons for that view.</w:t>
      </w:r>
    </w:p>
    <w:p w14:paraId="397222BD" w14:textId="77777777" w:rsidR="00546DEC" w:rsidRDefault="00546DEC" w:rsidP="00546DEC">
      <w:pPr>
        <w:pStyle w:val="ListParagraph"/>
        <w:numPr>
          <w:ilvl w:val="1"/>
          <w:numId w:val="6"/>
        </w:numPr>
        <w:rPr>
          <w:rFonts w:ascii="Arial" w:hAnsi="Arial" w:cs="Arial"/>
          <w:sz w:val="24"/>
          <w:szCs w:val="24"/>
        </w:rPr>
      </w:pPr>
      <w:r w:rsidRPr="00546DEC">
        <w:rPr>
          <w:rFonts w:ascii="Arial" w:hAnsi="Arial" w:cs="Arial"/>
          <w:sz w:val="24"/>
          <w:szCs w:val="24"/>
        </w:rPr>
        <w:t xml:space="preserve">Interim disposition of </w:t>
      </w:r>
      <w:proofErr w:type="gramStart"/>
      <w:r w:rsidRPr="00546DEC">
        <w:rPr>
          <w:rFonts w:ascii="Arial" w:hAnsi="Arial" w:cs="Arial"/>
          <w:sz w:val="24"/>
          <w:szCs w:val="24"/>
        </w:rPr>
        <w:t>the Account</w:t>
      </w:r>
      <w:proofErr w:type="gramEnd"/>
      <w:r w:rsidRPr="00546DEC">
        <w:rPr>
          <w:rFonts w:ascii="Arial" w:hAnsi="Arial" w:cs="Arial"/>
          <w:sz w:val="24"/>
          <w:szCs w:val="24"/>
        </w:rPr>
        <w:t xml:space="preserve"> 1588 and Account 1589 balances.</w:t>
      </w:r>
    </w:p>
    <w:p w14:paraId="7DD7A29D" w14:textId="77777777" w:rsidR="00546DEC" w:rsidRDefault="00546DEC" w:rsidP="00546DEC">
      <w:pPr>
        <w:pStyle w:val="ListParagraph"/>
        <w:numPr>
          <w:ilvl w:val="1"/>
          <w:numId w:val="6"/>
        </w:numPr>
        <w:rPr>
          <w:rFonts w:ascii="Arial" w:hAnsi="Arial" w:cs="Arial"/>
          <w:sz w:val="24"/>
          <w:szCs w:val="24"/>
        </w:rPr>
      </w:pPr>
      <w:r w:rsidRPr="00546DEC">
        <w:rPr>
          <w:rFonts w:ascii="Arial" w:hAnsi="Arial" w:cs="Arial"/>
          <w:sz w:val="24"/>
          <w:szCs w:val="24"/>
        </w:rPr>
        <w:t>Partial disposition, where the other Group 1 balances are disposed as proposed and the Account 1588 and Account 1589 balances are held for disposition in a future application.</w:t>
      </w:r>
    </w:p>
    <w:p w14:paraId="285792AC" w14:textId="77777777" w:rsidR="007102DD" w:rsidRPr="00C6653E" w:rsidRDefault="00BC62DD">
      <w:pPr>
        <w:pStyle w:val="Heading3"/>
        <w:rPr>
          <w:rFonts w:ascii="Arial" w:hAnsi="Arial" w:cs="Arial"/>
          <w:szCs w:val="24"/>
        </w:rPr>
      </w:pPr>
      <w:r w:rsidRPr="00C6653E">
        <w:rPr>
          <w:rFonts w:ascii="Arial" w:hAnsi="Arial" w:cs="Arial"/>
          <w:szCs w:val="24"/>
        </w:rPr>
        <w:t>Staff Question-3</w:t>
      </w:r>
    </w:p>
    <w:p w14:paraId="42A28ED3" w14:textId="77777777" w:rsidR="007102DD" w:rsidRPr="00C6653E" w:rsidRDefault="00BC62DD">
      <w:pPr>
        <w:rPr>
          <w:rFonts w:ascii="Arial" w:hAnsi="Arial" w:cs="Arial"/>
          <w:b/>
          <w:bCs/>
          <w:sz w:val="24"/>
          <w:szCs w:val="24"/>
        </w:rPr>
      </w:pPr>
      <w:r w:rsidRPr="00C6653E">
        <w:rPr>
          <w:rFonts w:ascii="Arial" w:hAnsi="Arial" w:cs="Arial"/>
          <w:b/>
          <w:bCs/>
          <w:sz w:val="24"/>
          <w:szCs w:val="24"/>
        </w:rPr>
        <w:t>Ref. 1: Manager’s Summary, page 8, section 12.3</w:t>
      </w:r>
    </w:p>
    <w:p w14:paraId="714E1349" w14:textId="77777777" w:rsidR="007102DD" w:rsidRPr="00C6653E" w:rsidRDefault="00BC62DD">
      <w:pPr>
        <w:rPr>
          <w:rFonts w:ascii="Arial" w:hAnsi="Arial" w:cs="Arial"/>
          <w:b/>
          <w:bCs/>
          <w:sz w:val="24"/>
          <w:szCs w:val="24"/>
        </w:rPr>
      </w:pPr>
      <w:r w:rsidRPr="00C6653E">
        <w:rPr>
          <w:rFonts w:ascii="Arial" w:hAnsi="Arial" w:cs="Arial"/>
          <w:b/>
          <w:bCs/>
          <w:sz w:val="24"/>
          <w:szCs w:val="24"/>
        </w:rPr>
        <w:t xml:space="preserve">Ref. 2: Commodity Accounts Analysis </w:t>
      </w:r>
      <w:proofErr w:type="spellStart"/>
      <w:r w:rsidRPr="00C6653E">
        <w:rPr>
          <w:rFonts w:ascii="Arial" w:hAnsi="Arial" w:cs="Arial"/>
          <w:b/>
          <w:bCs/>
          <w:sz w:val="24"/>
          <w:szCs w:val="24"/>
        </w:rPr>
        <w:t>Workform</w:t>
      </w:r>
      <w:proofErr w:type="spellEnd"/>
      <w:r w:rsidRPr="00C6653E">
        <w:rPr>
          <w:rFonts w:ascii="Arial" w:hAnsi="Arial" w:cs="Arial"/>
          <w:b/>
          <w:bCs/>
          <w:sz w:val="24"/>
          <w:szCs w:val="24"/>
        </w:rPr>
        <w:t>, Account 1588 tab, Note 7b</w:t>
      </w:r>
    </w:p>
    <w:p w14:paraId="5B46C12B" w14:textId="77777777" w:rsidR="007102DD" w:rsidRPr="00C6653E" w:rsidRDefault="00BC62DD">
      <w:pPr>
        <w:rPr>
          <w:rFonts w:ascii="Arial" w:hAnsi="Arial" w:cs="Arial"/>
          <w:b/>
          <w:bCs/>
          <w:sz w:val="24"/>
          <w:szCs w:val="24"/>
        </w:rPr>
      </w:pPr>
      <w:r w:rsidRPr="00C6653E">
        <w:rPr>
          <w:rFonts w:ascii="Arial" w:hAnsi="Arial" w:cs="Arial"/>
          <w:b/>
          <w:bCs/>
          <w:sz w:val="24"/>
          <w:szCs w:val="24"/>
        </w:rPr>
        <w:t>Preamble:</w:t>
      </w:r>
    </w:p>
    <w:p w14:paraId="34F9C0C8" w14:textId="0E9305C0" w:rsidR="007102DD" w:rsidRPr="00C6653E" w:rsidRDefault="00BC62DD" w:rsidP="00C6653E">
      <w:pPr>
        <w:rPr>
          <w:rFonts w:ascii="Arial" w:hAnsi="Arial" w:cs="Arial"/>
          <w:sz w:val="24"/>
          <w:szCs w:val="24"/>
        </w:rPr>
      </w:pPr>
      <w:r w:rsidRPr="00C6653E">
        <w:rPr>
          <w:rFonts w:ascii="Arial" w:hAnsi="Arial" w:cs="Arial"/>
          <w:sz w:val="24"/>
          <w:szCs w:val="24"/>
        </w:rPr>
        <w:t xml:space="preserve">On April 28, 2025, the OEB issued final updates to its Accounting Guidance Related to Commodity Pass-Through Accounts 1588 &amp; 1589 (Accounting Guidance) and an updated Illustrative Commodity Model related to the implementation of the Independent Electricity System Operator (IESO)’s Market Renewal Program (MRP), effective May 1, 2025. </w:t>
      </w:r>
      <w:r w:rsidR="00A30733">
        <w:rPr>
          <w:rFonts w:ascii="Arial" w:hAnsi="Arial" w:cs="Arial"/>
          <w:sz w:val="24"/>
          <w:szCs w:val="24"/>
        </w:rPr>
        <w:t>T</w:t>
      </w:r>
      <w:r w:rsidRPr="00C6653E">
        <w:rPr>
          <w:rFonts w:ascii="Arial" w:hAnsi="Arial" w:cs="Arial"/>
          <w:sz w:val="24"/>
          <w:szCs w:val="24"/>
        </w:rPr>
        <w:t>he Accounting Guidance states that</w:t>
      </w:r>
      <w:r w:rsidR="00C6653E">
        <w:rPr>
          <w:rFonts w:ascii="Arial" w:hAnsi="Arial" w:cs="Arial"/>
          <w:sz w:val="24"/>
          <w:szCs w:val="24"/>
        </w:rPr>
        <w:t>, “</w:t>
      </w:r>
      <w:r w:rsidRPr="00C6653E">
        <w:rPr>
          <w:rFonts w:ascii="Arial" w:hAnsi="Arial" w:cs="Arial"/>
          <w:sz w:val="24"/>
          <w:szCs w:val="24"/>
        </w:rPr>
        <w:t>In Tab “Variances in ac 1588” of the updated Illustrative Commodity Model, two new tables are added to quantify the energy variances that are included in Account 1588 for records-keeping purposes. While the quantification tables are not required to be filed with the OEB at this time, these tables assist the distributors in explaining the 1% threshold test in Account 1588.</w:t>
      </w:r>
      <w:r w:rsidR="00C6653E">
        <w:rPr>
          <w:rFonts w:ascii="Arial" w:hAnsi="Arial" w:cs="Arial"/>
          <w:sz w:val="24"/>
          <w:szCs w:val="24"/>
        </w:rPr>
        <w:t>”</w:t>
      </w:r>
    </w:p>
    <w:p w14:paraId="6C6580F6" w14:textId="77777777" w:rsidR="007102DD" w:rsidRPr="00C6653E" w:rsidRDefault="00BC62DD">
      <w:pPr>
        <w:rPr>
          <w:rFonts w:ascii="Arial" w:hAnsi="Arial" w:cs="Arial"/>
          <w:sz w:val="24"/>
          <w:szCs w:val="24"/>
        </w:rPr>
      </w:pPr>
      <w:r w:rsidRPr="00C6653E">
        <w:rPr>
          <w:rFonts w:ascii="Arial" w:hAnsi="Arial" w:cs="Arial"/>
          <w:sz w:val="24"/>
          <w:szCs w:val="24"/>
        </w:rPr>
        <w:t>The updated Illustrative Commodity Model introduced two new reconciliation tables under the “Variances in ac 1588” tab to quantify energy cost variances arising from the implementation of MRP. On page 11 of the Accounting Guidance, the OEB stated that these tables are intended for record-keeping purposes and are not required to be filed with the OEB. However, these two reconciliation tables may assist the distributors in explaining the 1% threshold test in Account 1588 where applicable.</w:t>
      </w:r>
    </w:p>
    <w:p w14:paraId="0D114213" w14:textId="77777777" w:rsidR="007102DD" w:rsidRPr="00C6653E" w:rsidRDefault="00BC62DD">
      <w:pPr>
        <w:rPr>
          <w:rFonts w:ascii="Arial" w:hAnsi="Arial" w:cs="Arial"/>
          <w:sz w:val="24"/>
          <w:szCs w:val="24"/>
        </w:rPr>
      </w:pPr>
      <w:r w:rsidRPr="00C6653E">
        <w:rPr>
          <w:rFonts w:ascii="Arial" w:hAnsi="Arial" w:cs="Arial"/>
          <w:sz w:val="24"/>
          <w:szCs w:val="24"/>
        </w:rPr>
        <w:lastRenderedPageBreak/>
        <w:t xml:space="preserve">At Reference 1, Oakville Hydro refers only to the OEB’s February 21, </w:t>
      </w:r>
      <w:proofErr w:type="gramStart"/>
      <w:r w:rsidRPr="00C6653E">
        <w:rPr>
          <w:rFonts w:ascii="Arial" w:hAnsi="Arial" w:cs="Arial"/>
          <w:sz w:val="24"/>
          <w:szCs w:val="24"/>
        </w:rPr>
        <w:t>2019</w:t>
      </w:r>
      <w:proofErr w:type="gramEnd"/>
      <w:r w:rsidRPr="00C6653E">
        <w:rPr>
          <w:rFonts w:ascii="Arial" w:hAnsi="Arial" w:cs="Arial"/>
          <w:sz w:val="24"/>
          <w:szCs w:val="24"/>
        </w:rPr>
        <w:t xml:space="preserve"> accounting guidance. Oakville Hydro’s 2025 Account 1588 activity exceeds the 1% </w:t>
      </w:r>
      <w:proofErr w:type="gramStart"/>
      <w:r w:rsidRPr="00C6653E">
        <w:rPr>
          <w:rFonts w:ascii="Arial" w:hAnsi="Arial" w:cs="Arial"/>
          <w:sz w:val="24"/>
          <w:szCs w:val="24"/>
        </w:rPr>
        <w:t>threshold</w:t>
      </w:r>
      <w:proofErr w:type="gramEnd"/>
      <w:r w:rsidRPr="00C6653E">
        <w:rPr>
          <w:rFonts w:ascii="Arial" w:hAnsi="Arial" w:cs="Arial"/>
          <w:sz w:val="24"/>
          <w:szCs w:val="24"/>
        </w:rPr>
        <w:t xml:space="preserve"> and no reconciling items are recorded in Note 7b at Reference 2.</w:t>
      </w:r>
    </w:p>
    <w:p w14:paraId="6A208B2C" w14:textId="77777777" w:rsidR="007102DD" w:rsidRPr="00C6653E" w:rsidRDefault="00BC62DD">
      <w:pPr>
        <w:rPr>
          <w:rFonts w:ascii="Arial" w:hAnsi="Arial" w:cs="Arial"/>
          <w:b/>
          <w:bCs/>
          <w:sz w:val="24"/>
          <w:szCs w:val="24"/>
        </w:rPr>
      </w:pPr>
      <w:r w:rsidRPr="00C6653E">
        <w:rPr>
          <w:rFonts w:ascii="Arial" w:hAnsi="Arial" w:cs="Arial"/>
          <w:b/>
          <w:bCs/>
          <w:sz w:val="24"/>
          <w:szCs w:val="24"/>
        </w:rPr>
        <w:t>Question(s):</w:t>
      </w:r>
    </w:p>
    <w:p w14:paraId="7D8800A1" w14:textId="21D57D72" w:rsidR="007102DD" w:rsidRPr="00C6653E" w:rsidRDefault="00BC62DD" w:rsidP="00C6653E">
      <w:pPr>
        <w:pStyle w:val="ListParagraph"/>
        <w:numPr>
          <w:ilvl w:val="0"/>
          <w:numId w:val="10"/>
        </w:numPr>
        <w:rPr>
          <w:rFonts w:ascii="Arial" w:hAnsi="Arial" w:cs="Arial"/>
          <w:sz w:val="24"/>
          <w:szCs w:val="24"/>
        </w:rPr>
      </w:pPr>
      <w:r w:rsidRPr="00C6653E">
        <w:rPr>
          <w:rFonts w:ascii="Arial" w:hAnsi="Arial" w:cs="Arial"/>
          <w:sz w:val="24"/>
          <w:szCs w:val="24"/>
        </w:rPr>
        <w:t>Has Oakville Hydro utilized Table 42 and/or 43 of the updated Illustrative Commodity Model to track or quantify the MRP-related energy variances recorded in Account 1588?</w:t>
      </w:r>
    </w:p>
    <w:p w14:paraId="658D2509" w14:textId="3E2F8605" w:rsidR="007102DD" w:rsidRPr="00C6653E" w:rsidRDefault="00BC62DD" w:rsidP="00C6653E">
      <w:pPr>
        <w:pStyle w:val="ListParagraph"/>
        <w:numPr>
          <w:ilvl w:val="1"/>
          <w:numId w:val="12"/>
        </w:numPr>
        <w:rPr>
          <w:rFonts w:ascii="Arial" w:hAnsi="Arial" w:cs="Arial"/>
          <w:sz w:val="24"/>
          <w:szCs w:val="24"/>
        </w:rPr>
      </w:pPr>
      <w:r w:rsidRPr="00C6653E">
        <w:rPr>
          <w:rFonts w:ascii="Arial" w:hAnsi="Arial" w:cs="Arial"/>
          <w:sz w:val="24"/>
          <w:szCs w:val="24"/>
        </w:rPr>
        <w:t>If so, please explain whether the variances recorded in Table 42 and Table 43 were material in 2025, respectively. Please provide the corresponding quantum of the variances if the variance(s) are material.</w:t>
      </w:r>
    </w:p>
    <w:p w14:paraId="72D2B08B" w14:textId="2FCDF75F" w:rsidR="007102DD" w:rsidRPr="00C6653E" w:rsidRDefault="00BC62DD" w:rsidP="00C6653E">
      <w:pPr>
        <w:pStyle w:val="ListParagraph"/>
        <w:numPr>
          <w:ilvl w:val="1"/>
          <w:numId w:val="12"/>
        </w:numPr>
        <w:rPr>
          <w:rFonts w:ascii="Arial" w:hAnsi="Arial" w:cs="Arial"/>
          <w:sz w:val="24"/>
          <w:szCs w:val="24"/>
        </w:rPr>
      </w:pPr>
      <w:r w:rsidRPr="00C6653E">
        <w:rPr>
          <w:rFonts w:ascii="Arial" w:hAnsi="Arial" w:cs="Arial"/>
          <w:sz w:val="24"/>
          <w:szCs w:val="24"/>
        </w:rPr>
        <w:t>If not, please explain why not.</w:t>
      </w:r>
    </w:p>
    <w:p w14:paraId="17CBC261" w14:textId="5F701666" w:rsidR="007102DD" w:rsidRPr="00C6653E" w:rsidRDefault="00BC62DD" w:rsidP="00C6653E">
      <w:pPr>
        <w:pStyle w:val="ListParagraph"/>
        <w:numPr>
          <w:ilvl w:val="0"/>
          <w:numId w:val="10"/>
        </w:numPr>
        <w:rPr>
          <w:rFonts w:ascii="Arial" w:hAnsi="Arial" w:cs="Arial"/>
          <w:sz w:val="24"/>
          <w:szCs w:val="24"/>
        </w:rPr>
      </w:pPr>
      <w:r w:rsidRPr="00C6653E">
        <w:rPr>
          <w:rFonts w:ascii="Arial" w:hAnsi="Arial" w:cs="Arial"/>
          <w:sz w:val="24"/>
          <w:szCs w:val="24"/>
        </w:rPr>
        <w:t>Please explain whether MRP-related activities recorded in Account 1588 contributed to Oakville Hydro’s Account 1588 balance exceeding the 1% threshold test in 2025.</w:t>
      </w:r>
    </w:p>
    <w:p w14:paraId="7EECBCB4" w14:textId="32A9794E" w:rsidR="007102DD" w:rsidRPr="00C6653E" w:rsidRDefault="00BC62DD" w:rsidP="00C6653E">
      <w:pPr>
        <w:pStyle w:val="ListParagraph"/>
        <w:numPr>
          <w:ilvl w:val="1"/>
          <w:numId w:val="13"/>
        </w:numPr>
        <w:rPr>
          <w:rFonts w:ascii="Arial" w:hAnsi="Arial" w:cs="Arial"/>
          <w:sz w:val="24"/>
          <w:szCs w:val="24"/>
        </w:rPr>
      </w:pPr>
      <w:r w:rsidRPr="00C6653E">
        <w:rPr>
          <w:rFonts w:ascii="Arial" w:hAnsi="Arial" w:cs="Arial"/>
          <w:sz w:val="24"/>
          <w:szCs w:val="24"/>
        </w:rPr>
        <w:t>If yes, please provide a detailed explanation and the applicable completed reconciliation Tables 42 and/or 43 from the updated Illustrative Commodity Model corresponding to the material variances identified.</w:t>
      </w:r>
    </w:p>
    <w:p w14:paraId="5B1051CE" w14:textId="5CF114EE" w:rsidR="007102DD" w:rsidRPr="00C6653E" w:rsidRDefault="00BC62DD" w:rsidP="00C6653E">
      <w:pPr>
        <w:pStyle w:val="ListParagraph"/>
        <w:numPr>
          <w:ilvl w:val="0"/>
          <w:numId w:val="10"/>
        </w:numPr>
        <w:rPr>
          <w:rFonts w:ascii="Arial" w:hAnsi="Arial" w:cs="Arial"/>
          <w:sz w:val="24"/>
          <w:szCs w:val="24"/>
        </w:rPr>
      </w:pPr>
      <w:r w:rsidRPr="00C6653E">
        <w:rPr>
          <w:rFonts w:ascii="Arial" w:hAnsi="Arial" w:cs="Arial"/>
          <w:sz w:val="24"/>
          <w:szCs w:val="24"/>
        </w:rPr>
        <w:t>Please confirm that Oakville Hydro recorded its 2025 transactions in Accounts 1588 and 1589 in accordance with the Accounting Guidance.</w:t>
      </w:r>
    </w:p>
    <w:p w14:paraId="1C1F34F6" w14:textId="77777777" w:rsidR="007102DD" w:rsidRPr="00C6653E" w:rsidRDefault="00BC62DD">
      <w:pPr>
        <w:pStyle w:val="Heading3"/>
        <w:rPr>
          <w:rFonts w:ascii="Arial" w:hAnsi="Arial" w:cs="Arial"/>
          <w:szCs w:val="24"/>
        </w:rPr>
      </w:pPr>
      <w:r w:rsidRPr="00C6653E">
        <w:rPr>
          <w:rFonts w:ascii="Arial" w:hAnsi="Arial" w:cs="Arial"/>
          <w:szCs w:val="24"/>
        </w:rPr>
        <w:t>Staff Question-4</w:t>
      </w:r>
    </w:p>
    <w:p w14:paraId="743F9522" w14:textId="77777777" w:rsidR="007102DD" w:rsidRPr="00C6653E" w:rsidRDefault="00BC62DD">
      <w:pPr>
        <w:rPr>
          <w:rFonts w:ascii="Arial" w:hAnsi="Arial" w:cs="Arial"/>
          <w:b/>
          <w:bCs/>
          <w:sz w:val="24"/>
          <w:szCs w:val="24"/>
        </w:rPr>
      </w:pPr>
      <w:r w:rsidRPr="00C6653E">
        <w:rPr>
          <w:rFonts w:ascii="Arial" w:hAnsi="Arial" w:cs="Arial"/>
          <w:b/>
          <w:bCs/>
          <w:sz w:val="24"/>
          <w:szCs w:val="24"/>
        </w:rPr>
        <w:t xml:space="preserve">Ref. 1: Commodity Accounts Analysis </w:t>
      </w:r>
      <w:proofErr w:type="spellStart"/>
      <w:r w:rsidRPr="00C6653E">
        <w:rPr>
          <w:rFonts w:ascii="Arial" w:hAnsi="Arial" w:cs="Arial"/>
          <w:b/>
          <w:bCs/>
          <w:sz w:val="24"/>
          <w:szCs w:val="24"/>
        </w:rPr>
        <w:t>Workform</w:t>
      </w:r>
      <w:proofErr w:type="spellEnd"/>
      <w:r w:rsidRPr="00C6653E">
        <w:rPr>
          <w:rFonts w:ascii="Arial" w:hAnsi="Arial" w:cs="Arial"/>
          <w:b/>
          <w:bCs/>
          <w:sz w:val="24"/>
          <w:szCs w:val="24"/>
        </w:rPr>
        <w:t>, Principal Adjustments tab, Note 9</w:t>
      </w:r>
    </w:p>
    <w:p w14:paraId="46493C67" w14:textId="77777777" w:rsidR="007102DD" w:rsidRPr="00C6653E" w:rsidRDefault="00BC62DD">
      <w:pPr>
        <w:rPr>
          <w:rFonts w:ascii="Arial" w:hAnsi="Arial" w:cs="Arial"/>
          <w:b/>
          <w:bCs/>
          <w:sz w:val="24"/>
          <w:szCs w:val="24"/>
        </w:rPr>
      </w:pPr>
      <w:r w:rsidRPr="00C6653E">
        <w:rPr>
          <w:rFonts w:ascii="Arial" w:hAnsi="Arial" w:cs="Arial"/>
          <w:b/>
          <w:bCs/>
          <w:sz w:val="24"/>
          <w:szCs w:val="24"/>
        </w:rPr>
        <w:t>Preamble:</w:t>
      </w:r>
    </w:p>
    <w:p w14:paraId="2A392B15" w14:textId="276EAC2E" w:rsidR="007102DD" w:rsidRPr="00C6653E" w:rsidRDefault="00BC62DD" w:rsidP="00C6653E">
      <w:pPr>
        <w:rPr>
          <w:rFonts w:ascii="Arial" w:hAnsi="Arial" w:cs="Arial"/>
          <w:sz w:val="24"/>
          <w:szCs w:val="24"/>
        </w:rPr>
      </w:pPr>
      <w:r w:rsidRPr="00C6653E">
        <w:rPr>
          <w:rFonts w:ascii="Arial" w:hAnsi="Arial" w:cs="Arial"/>
          <w:sz w:val="24"/>
          <w:szCs w:val="24"/>
        </w:rPr>
        <w:t>Note 9 of Reference 1 states</w:t>
      </w:r>
      <w:r w:rsidR="00C6653E">
        <w:rPr>
          <w:rFonts w:ascii="Arial" w:hAnsi="Arial" w:cs="Arial"/>
          <w:sz w:val="24"/>
          <w:szCs w:val="24"/>
        </w:rPr>
        <w:t>, “</w:t>
      </w:r>
      <w:r w:rsidRPr="00C6653E">
        <w:rPr>
          <w:rFonts w:ascii="Arial" w:hAnsi="Arial" w:cs="Arial"/>
          <w:sz w:val="24"/>
          <w:szCs w:val="24"/>
        </w:rPr>
        <w:t xml:space="preserve">Principal adjustments to the pro-ration of CT 148 </w:t>
      </w:r>
      <w:proofErr w:type="gramStart"/>
      <w:r w:rsidRPr="00C6653E">
        <w:rPr>
          <w:rFonts w:ascii="Arial" w:hAnsi="Arial" w:cs="Arial"/>
          <w:sz w:val="24"/>
          <w:szCs w:val="24"/>
        </w:rPr>
        <w:t>true-ups</w:t>
      </w:r>
      <w:proofErr w:type="gramEnd"/>
      <w:r w:rsidRPr="00C6653E">
        <w:rPr>
          <w:rFonts w:ascii="Arial" w:hAnsi="Arial" w:cs="Arial"/>
          <w:sz w:val="24"/>
          <w:szCs w:val="24"/>
        </w:rPr>
        <w:t xml:space="preserve"> (i.e. principal adjustment #1 in tables below) are expected to be equal and offsetting between Account 1588 and Account 1589, if not, please explain.</w:t>
      </w:r>
      <w:r w:rsidR="00C6653E">
        <w:rPr>
          <w:rFonts w:ascii="Arial" w:hAnsi="Arial" w:cs="Arial"/>
          <w:sz w:val="24"/>
          <w:szCs w:val="24"/>
        </w:rPr>
        <w:t>”</w:t>
      </w:r>
    </w:p>
    <w:p w14:paraId="6E369CF8" w14:textId="77777777" w:rsidR="007102DD" w:rsidRPr="00C6653E" w:rsidRDefault="00BC62DD">
      <w:pPr>
        <w:rPr>
          <w:rFonts w:ascii="Arial" w:hAnsi="Arial" w:cs="Arial"/>
          <w:sz w:val="24"/>
          <w:szCs w:val="24"/>
        </w:rPr>
      </w:pPr>
      <w:r w:rsidRPr="00C6653E">
        <w:rPr>
          <w:rFonts w:ascii="Arial" w:hAnsi="Arial" w:cs="Arial"/>
          <w:sz w:val="24"/>
          <w:szCs w:val="24"/>
        </w:rPr>
        <w:t xml:space="preserve">Oakville Hydro records </w:t>
      </w:r>
      <w:proofErr w:type="gramStart"/>
      <w:r w:rsidRPr="00C6653E">
        <w:rPr>
          <w:rFonts w:ascii="Arial" w:hAnsi="Arial" w:cs="Arial"/>
          <w:sz w:val="24"/>
          <w:szCs w:val="24"/>
        </w:rPr>
        <w:t>2025</w:t>
      </w:r>
      <w:proofErr w:type="gramEnd"/>
      <w:r w:rsidRPr="00C6653E">
        <w:rPr>
          <w:rFonts w:ascii="Arial" w:hAnsi="Arial" w:cs="Arial"/>
          <w:sz w:val="24"/>
          <w:szCs w:val="24"/>
        </w:rPr>
        <w:t xml:space="preserve"> current year CT 148 true ups of a $259.15 debit in Account 1589 and a $100,825.65 debit in Account 1588.</w:t>
      </w:r>
    </w:p>
    <w:p w14:paraId="4030CCDB" w14:textId="77777777" w:rsidR="007102DD" w:rsidRPr="00C6653E" w:rsidRDefault="00BC62DD">
      <w:pPr>
        <w:rPr>
          <w:rFonts w:ascii="Arial" w:hAnsi="Arial" w:cs="Arial"/>
          <w:b/>
          <w:bCs/>
          <w:sz w:val="24"/>
          <w:szCs w:val="24"/>
        </w:rPr>
      </w:pPr>
      <w:r w:rsidRPr="00C6653E">
        <w:rPr>
          <w:rFonts w:ascii="Arial" w:hAnsi="Arial" w:cs="Arial"/>
          <w:b/>
          <w:bCs/>
          <w:sz w:val="24"/>
          <w:szCs w:val="24"/>
        </w:rPr>
        <w:t>Question(s):</w:t>
      </w:r>
    </w:p>
    <w:p w14:paraId="2B2FC3A7" w14:textId="61CB264C" w:rsidR="007102DD" w:rsidRPr="00C6653E" w:rsidRDefault="00BC62DD" w:rsidP="00C6653E">
      <w:pPr>
        <w:pStyle w:val="ListParagraph"/>
        <w:numPr>
          <w:ilvl w:val="0"/>
          <w:numId w:val="14"/>
        </w:numPr>
        <w:rPr>
          <w:rFonts w:ascii="Arial" w:hAnsi="Arial" w:cs="Arial"/>
          <w:sz w:val="24"/>
          <w:szCs w:val="24"/>
        </w:rPr>
      </w:pPr>
      <w:r w:rsidRPr="00C6653E">
        <w:rPr>
          <w:rFonts w:ascii="Arial" w:hAnsi="Arial" w:cs="Arial"/>
          <w:sz w:val="24"/>
          <w:szCs w:val="24"/>
        </w:rPr>
        <w:t>Please explain why the 2025 CT 148 true ups in Accounts 1588 and 1589 are not equal and offsetting.</w:t>
      </w:r>
    </w:p>
    <w:p w14:paraId="6271AC31" w14:textId="65774091" w:rsidR="007102DD" w:rsidRPr="00C6653E" w:rsidRDefault="00BC62DD" w:rsidP="00C6653E">
      <w:pPr>
        <w:pStyle w:val="ListParagraph"/>
        <w:numPr>
          <w:ilvl w:val="0"/>
          <w:numId w:val="14"/>
        </w:numPr>
        <w:rPr>
          <w:rFonts w:ascii="Arial" w:hAnsi="Arial" w:cs="Arial"/>
          <w:sz w:val="24"/>
          <w:szCs w:val="24"/>
        </w:rPr>
      </w:pPr>
      <w:r w:rsidRPr="00C6653E">
        <w:rPr>
          <w:rFonts w:ascii="Arial" w:hAnsi="Arial" w:cs="Arial"/>
          <w:sz w:val="24"/>
          <w:szCs w:val="24"/>
        </w:rPr>
        <w:t xml:space="preserve">Please explain how the $100,825.65 principal adjustment to Account 1588 was calculated. If any part relates to RPP settlements, please show it separately as a CT 1142/142 true up and update the Commodity Accounts Analysis </w:t>
      </w:r>
      <w:proofErr w:type="spellStart"/>
      <w:r w:rsidRPr="00C6653E">
        <w:rPr>
          <w:rFonts w:ascii="Arial" w:hAnsi="Arial" w:cs="Arial"/>
          <w:sz w:val="24"/>
          <w:szCs w:val="24"/>
        </w:rPr>
        <w:t>Workform</w:t>
      </w:r>
      <w:proofErr w:type="spellEnd"/>
      <w:r w:rsidRPr="00C6653E">
        <w:rPr>
          <w:rFonts w:ascii="Arial" w:hAnsi="Arial" w:cs="Arial"/>
          <w:sz w:val="24"/>
          <w:szCs w:val="24"/>
        </w:rPr>
        <w:t>.</w:t>
      </w:r>
    </w:p>
    <w:p w14:paraId="7E0E2673" w14:textId="77777777" w:rsidR="007102DD" w:rsidRPr="00C6653E" w:rsidRDefault="00BC62DD">
      <w:pPr>
        <w:pStyle w:val="Heading3"/>
        <w:rPr>
          <w:rFonts w:ascii="Arial" w:hAnsi="Arial" w:cs="Arial"/>
          <w:szCs w:val="24"/>
        </w:rPr>
      </w:pPr>
      <w:r w:rsidRPr="00C6653E">
        <w:rPr>
          <w:rFonts w:ascii="Arial" w:hAnsi="Arial" w:cs="Arial"/>
          <w:szCs w:val="24"/>
        </w:rPr>
        <w:t>Staff Question-5</w:t>
      </w:r>
    </w:p>
    <w:p w14:paraId="7FE61285" w14:textId="77777777" w:rsidR="007102DD" w:rsidRPr="00786729" w:rsidRDefault="00BC62DD">
      <w:pPr>
        <w:rPr>
          <w:rFonts w:ascii="Arial" w:hAnsi="Arial" w:cs="Arial"/>
          <w:b/>
          <w:bCs/>
          <w:sz w:val="24"/>
          <w:szCs w:val="24"/>
        </w:rPr>
      </w:pPr>
      <w:r w:rsidRPr="00786729">
        <w:rPr>
          <w:rFonts w:ascii="Arial" w:hAnsi="Arial" w:cs="Arial"/>
          <w:b/>
          <w:bCs/>
          <w:sz w:val="24"/>
          <w:szCs w:val="24"/>
        </w:rPr>
        <w:t>Ref. 1: Manager’s Summary, page 5, Table 4</w:t>
      </w:r>
    </w:p>
    <w:p w14:paraId="38616530" w14:textId="77777777" w:rsidR="007102DD" w:rsidRPr="00786729" w:rsidRDefault="00BC62DD">
      <w:pPr>
        <w:rPr>
          <w:rFonts w:ascii="Arial" w:hAnsi="Arial" w:cs="Arial"/>
          <w:b/>
          <w:bCs/>
          <w:sz w:val="24"/>
          <w:szCs w:val="24"/>
        </w:rPr>
      </w:pPr>
      <w:r w:rsidRPr="00786729">
        <w:rPr>
          <w:rFonts w:ascii="Arial" w:hAnsi="Arial" w:cs="Arial"/>
          <w:b/>
          <w:bCs/>
          <w:sz w:val="24"/>
          <w:szCs w:val="24"/>
        </w:rPr>
        <w:lastRenderedPageBreak/>
        <w:t>Ref. 2: Manager’s Summary, page 7, section 11.5</w:t>
      </w:r>
    </w:p>
    <w:p w14:paraId="0B73B96F" w14:textId="77777777" w:rsidR="007102DD" w:rsidRPr="00786729" w:rsidRDefault="00BC62DD">
      <w:pPr>
        <w:rPr>
          <w:rFonts w:ascii="Arial" w:hAnsi="Arial" w:cs="Arial"/>
          <w:b/>
          <w:bCs/>
          <w:sz w:val="24"/>
          <w:szCs w:val="24"/>
        </w:rPr>
      </w:pPr>
      <w:r w:rsidRPr="00786729">
        <w:rPr>
          <w:rFonts w:ascii="Arial" w:hAnsi="Arial" w:cs="Arial"/>
          <w:b/>
          <w:bCs/>
          <w:sz w:val="24"/>
          <w:szCs w:val="24"/>
        </w:rPr>
        <w:t xml:space="preserve">Ref. 3: Rate Generator Model, Tab 6.2 CBR B, Tab 6.1a GA Allocation and Tab 6.2a CBR </w:t>
      </w:r>
      <w:proofErr w:type="spellStart"/>
      <w:r w:rsidRPr="00786729">
        <w:rPr>
          <w:rFonts w:ascii="Arial" w:hAnsi="Arial" w:cs="Arial"/>
          <w:b/>
          <w:bCs/>
          <w:sz w:val="24"/>
          <w:szCs w:val="24"/>
        </w:rPr>
        <w:t>B_Allocation</w:t>
      </w:r>
      <w:proofErr w:type="spellEnd"/>
    </w:p>
    <w:p w14:paraId="719D8660" w14:textId="77777777" w:rsidR="007102DD" w:rsidRPr="00786729" w:rsidRDefault="00BC62DD">
      <w:pPr>
        <w:rPr>
          <w:rFonts w:ascii="Arial" w:hAnsi="Arial" w:cs="Arial"/>
          <w:b/>
          <w:bCs/>
          <w:sz w:val="24"/>
          <w:szCs w:val="24"/>
        </w:rPr>
      </w:pPr>
      <w:r w:rsidRPr="00786729">
        <w:rPr>
          <w:rFonts w:ascii="Arial" w:hAnsi="Arial" w:cs="Arial"/>
          <w:b/>
          <w:bCs/>
          <w:sz w:val="24"/>
          <w:szCs w:val="24"/>
        </w:rPr>
        <w:t>Preamble:</w:t>
      </w:r>
    </w:p>
    <w:p w14:paraId="433913C6" w14:textId="77777777" w:rsidR="007102DD" w:rsidRPr="00C6653E" w:rsidRDefault="00BC62DD">
      <w:pPr>
        <w:rPr>
          <w:rFonts w:ascii="Arial" w:hAnsi="Arial" w:cs="Arial"/>
          <w:sz w:val="24"/>
          <w:szCs w:val="24"/>
        </w:rPr>
      </w:pPr>
      <w:r w:rsidRPr="00C6653E">
        <w:rPr>
          <w:rFonts w:ascii="Arial" w:hAnsi="Arial" w:cs="Arial"/>
          <w:sz w:val="24"/>
          <w:szCs w:val="24"/>
        </w:rPr>
        <w:t>At Reference 2, Oakville Hydro states that “a separate CBR Class B rate rider has been calculated.” Table 4 at Reference 1 shows a CBR Class B rate rider of $0.0000 for every rate class. Tab 6.2 at Reference 3 calculates a CBR Class B rate rider for every rate class, for example $0.0005 per kWh for the Residential class, and these riders appear in the proposed Tariff of Rates and Charges.</w:t>
      </w:r>
    </w:p>
    <w:p w14:paraId="7FB8795A" w14:textId="77777777" w:rsidR="007102DD" w:rsidRPr="00C6653E" w:rsidRDefault="00BC62DD">
      <w:pPr>
        <w:rPr>
          <w:rFonts w:ascii="Arial" w:hAnsi="Arial" w:cs="Arial"/>
          <w:sz w:val="24"/>
          <w:szCs w:val="24"/>
        </w:rPr>
      </w:pPr>
      <w:r w:rsidRPr="00C6653E">
        <w:rPr>
          <w:rFonts w:ascii="Arial" w:hAnsi="Arial" w:cs="Arial"/>
          <w:sz w:val="24"/>
          <w:szCs w:val="24"/>
        </w:rPr>
        <w:t>Tabs 6.1a and 6.2a at Reference 3 allocate Account 1589 and CBR Class B amounts to two customers that moved between Class A and Class B in 2025. The Manager’s Summary does not address these customers.</w:t>
      </w:r>
    </w:p>
    <w:p w14:paraId="63147D82" w14:textId="77777777" w:rsidR="007102DD" w:rsidRPr="00786729" w:rsidRDefault="00BC62DD">
      <w:pPr>
        <w:rPr>
          <w:rFonts w:ascii="Arial" w:hAnsi="Arial" w:cs="Arial"/>
          <w:b/>
          <w:bCs/>
          <w:sz w:val="24"/>
          <w:szCs w:val="24"/>
        </w:rPr>
      </w:pPr>
      <w:r w:rsidRPr="00786729">
        <w:rPr>
          <w:rFonts w:ascii="Arial" w:hAnsi="Arial" w:cs="Arial"/>
          <w:b/>
          <w:bCs/>
          <w:sz w:val="24"/>
          <w:szCs w:val="24"/>
        </w:rPr>
        <w:t>Question(s):</w:t>
      </w:r>
    </w:p>
    <w:p w14:paraId="241FE255" w14:textId="78E33637" w:rsidR="007102DD" w:rsidRPr="00786729" w:rsidRDefault="00BC62DD" w:rsidP="00786729">
      <w:pPr>
        <w:pStyle w:val="ListParagraph"/>
        <w:numPr>
          <w:ilvl w:val="0"/>
          <w:numId w:val="17"/>
        </w:numPr>
        <w:rPr>
          <w:rFonts w:ascii="Arial" w:hAnsi="Arial" w:cs="Arial"/>
          <w:sz w:val="24"/>
          <w:szCs w:val="24"/>
        </w:rPr>
      </w:pPr>
      <w:r w:rsidRPr="00786729">
        <w:rPr>
          <w:rFonts w:ascii="Arial" w:hAnsi="Arial" w:cs="Arial"/>
          <w:sz w:val="24"/>
          <w:szCs w:val="24"/>
        </w:rPr>
        <w:t>Please confirm that the CBR Class B rate riders calculated in Tab 6.2 are the riders Oakville Hydro proposes.</w:t>
      </w:r>
    </w:p>
    <w:p w14:paraId="4FDF273F" w14:textId="3A2E2213" w:rsidR="007102DD" w:rsidRPr="00300FFD" w:rsidRDefault="00BC62DD" w:rsidP="00300FFD">
      <w:pPr>
        <w:pStyle w:val="ListParagraph"/>
        <w:numPr>
          <w:ilvl w:val="0"/>
          <w:numId w:val="17"/>
        </w:numPr>
        <w:rPr>
          <w:rFonts w:ascii="Arial" w:hAnsi="Arial" w:cs="Arial"/>
          <w:sz w:val="24"/>
          <w:szCs w:val="24"/>
        </w:rPr>
      </w:pPr>
      <w:r w:rsidRPr="00786729">
        <w:rPr>
          <w:rFonts w:ascii="Arial" w:hAnsi="Arial" w:cs="Arial"/>
          <w:sz w:val="24"/>
          <w:szCs w:val="24"/>
        </w:rPr>
        <w:t>Please explain how Oakville Hydro proposes to settle the customer specific amounts allocated to the two transition customers in Tabs 6.1a and 6.2a.</w:t>
      </w:r>
    </w:p>
    <w:sectPr w:rsidR="007102DD" w:rsidRPr="00300FFD">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7349" w14:textId="77777777" w:rsidR="00BC62DD" w:rsidRDefault="00BC62DD" w:rsidP="00621417">
      <w:pPr>
        <w:spacing w:after="0" w:line="240" w:lineRule="auto"/>
      </w:pPr>
      <w:r>
        <w:separator/>
      </w:r>
    </w:p>
  </w:endnote>
  <w:endnote w:type="continuationSeparator" w:id="0">
    <w:p w14:paraId="4DC41557" w14:textId="77777777" w:rsidR="00BC62DD" w:rsidRDefault="00BC62DD" w:rsidP="00621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217006"/>
      <w:docPartObj>
        <w:docPartGallery w:val="Page Numbers (Bottom of Page)"/>
        <w:docPartUnique/>
      </w:docPartObj>
    </w:sdtPr>
    <w:sdtEndPr>
      <w:rPr>
        <w:rFonts w:ascii="Arial" w:hAnsi="Arial" w:cs="Arial"/>
        <w:noProof/>
        <w:sz w:val="20"/>
        <w:szCs w:val="20"/>
      </w:rPr>
    </w:sdtEndPr>
    <w:sdtContent>
      <w:p w14:paraId="78394FAF" w14:textId="0A849BF1" w:rsidR="00D30063" w:rsidRPr="00D30063" w:rsidRDefault="00D30063">
        <w:pPr>
          <w:pStyle w:val="Footer"/>
          <w:jc w:val="center"/>
          <w:rPr>
            <w:rFonts w:ascii="Arial" w:hAnsi="Arial" w:cs="Arial"/>
            <w:sz w:val="20"/>
            <w:szCs w:val="20"/>
          </w:rPr>
        </w:pPr>
        <w:r w:rsidRPr="00D30063">
          <w:rPr>
            <w:rFonts w:ascii="Arial" w:hAnsi="Arial" w:cs="Arial"/>
            <w:sz w:val="20"/>
            <w:szCs w:val="20"/>
          </w:rPr>
          <w:fldChar w:fldCharType="begin"/>
        </w:r>
        <w:r w:rsidRPr="00D30063">
          <w:rPr>
            <w:rFonts w:ascii="Arial" w:hAnsi="Arial" w:cs="Arial"/>
            <w:sz w:val="20"/>
            <w:szCs w:val="20"/>
          </w:rPr>
          <w:instrText xml:space="preserve"> PAGE   \* MERGEFORMAT </w:instrText>
        </w:r>
        <w:r w:rsidRPr="00D30063">
          <w:rPr>
            <w:rFonts w:ascii="Arial" w:hAnsi="Arial" w:cs="Arial"/>
            <w:sz w:val="20"/>
            <w:szCs w:val="20"/>
          </w:rPr>
          <w:fldChar w:fldCharType="separate"/>
        </w:r>
        <w:r w:rsidRPr="00D30063">
          <w:rPr>
            <w:rFonts w:ascii="Arial" w:hAnsi="Arial" w:cs="Arial"/>
            <w:noProof/>
            <w:sz w:val="20"/>
            <w:szCs w:val="20"/>
          </w:rPr>
          <w:t>2</w:t>
        </w:r>
        <w:r w:rsidRPr="00D30063">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E9A0B" w14:textId="77777777" w:rsidR="00BC62DD" w:rsidRDefault="00BC62DD" w:rsidP="00621417">
      <w:pPr>
        <w:spacing w:after="0" w:line="240" w:lineRule="auto"/>
      </w:pPr>
      <w:r>
        <w:separator/>
      </w:r>
    </w:p>
  </w:footnote>
  <w:footnote w:type="continuationSeparator" w:id="0">
    <w:p w14:paraId="5EF37A2F" w14:textId="77777777" w:rsidR="00BC62DD" w:rsidRDefault="00BC62DD" w:rsidP="00621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6083" w14:textId="77777777" w:rsidR="00D30063" w:rsidRPr="00D30063" w:rsidRDefault="00621417" w:rsidP="00D30063">
    <w:pPr>
      <w:spacing w:after="0"/>
      <w:jc w:val="right"/>
      <w:rPr>
        <w:rFonts w:ascii="Arial" w:hAnsi="Arial" w:cs="Arial"/>
        <w:bCs/>
        <w:sz w:val="20"/>
        <w:szCs w:val="20"/>
      </w:rPr>
    </w:pPr>
    <w:r w:rsidRPr="00D30063">
      <w:rPr>
        <w:rFonts w:ascii="Arial" w:hAnsi="Arial" w:cs="Arial"/>
        <w:bCs/>
        <w:sz w:val="20"/>
        <w:szCs w:val="20"/>
      </w:rPr>
      <w:t>OEB Staff Questions</w:t>
    </w:r>
  </w:p>
  <w:p w14:paraId="430979BA" w14:textId="77777777" w:rsidR="00D30063" w:rsidRPr="00D30063" w:rsidRDefault="00621417" w:rsidP="00D30063">
    <w:pPr>
      <w:spacing w:after="0"/>
      <w:jc w:val="right"/>
      <w:rPr>
        <w:rFonts w:ascii="Arial" w:hAnsi="Arial" w:cs="Arial"/>
        <w:bCs/>
        <w:sz w:val="20"/>
        <w:szCs w:val="20"/>
      </w:rPr>
    </w:pPr>
    <w:r w:rsidRPr="00D30063">
      <w:rPr>
        <w:rFonts w:ascii="Arial" w:hAnsi="Arial" w:cs="Arial"/>
        <w:bCs/>
        <w:sz w:val="20"/>
        <w:szCs w:val="20"/>
      </w:rPr>
      <w:t>Oakville Hydro Distribution Inc.</w:t>
    </w:r>
  </w:p>
  <w:p w14:paraId="573322D7" w14:textId="5D8FA065" w:rsidR="00621417" w:rsidRPr="00D30063" w:rsidRDefault="00621417" w:rsidP="00D30063">
    <w:pPr>
      <w:spacing w:after="0"/>
      <w:jc w:val="right"/>
      <w:rPr>
        <w:rFonts w:ascii="Arial" w:hAnsi="Arial" w:cs="Arial"/>
        <w:bCs/>
        <w:sz w:val="20"/>
        <w:szCs w:val="20"/>
      </w:rPr>
    </w:pPr>
    <w:r w:rsidRPr="00D30063">
      <w:rPr>
        <w:rFonts w:ascii="Arial" w:hAnsi="Arial" w:cs="Arial"/>
        <w:bCs/>
        <w:sz w:val="20"/>
        <w:szCs w:val="20"/>
      </w:rPr>
      <w:t>EB-2026-0063</w:t>
    </w:r>
  </w:p>
  <w:p w14:paraId="5E741818" w14:textId="77777777" w:rsidR="00621417" w:rsidRDefault="00621417" w:rsidP="0062141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5523B"/>
    <w:multiLevelType w:val="hybridMultilevel"/>
    <w:tmpl w:val="00005D2E"/>
    <w:lvl w:ilvl="0" w:tplc="10090017">
      <w:start w:val="1"/>
      <w:numFmt w:val="lowerLetter"/>
      <w:lvlText w:val="%1)"/>
      <w:lvlJc w:val="left"/>
      <w:pPr>
        <w:ind w:left="720" w:hanging="360"/>
      </w:pPr>
      <w:rPr>
        <w:rFonts w:hint="default"/>
      </w:rPr>
    </w:lvl>
    <w:lvl w:ilvl="1" w:tplc="2BA49DE0">
      <w:start w:val="1"/>
      <w:numFmt w:val="lowerRoman"/>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8BD36F7"/>
    <w:multiLevelType w:val="hybridMultilevel"/>
    <w:tmpl w:val="36BC1A3A"/>
    <w:lvl w:ilvl="0" w:tplc="FFFFFFFF">
      <w:start w:val="1"/>
      <w:numFmt w:val="lowerLetter"/>
      <w:lvlText w:val="%1)"/>
      <w:lvlJc w:val="left"/>
      <w:pPr>
        <w:ind w:left="720" w:hanging="360"/>
      </w:pPr>
    </w:lvl>
    <w:lvl w:ilvl="1" w:tplc="2BA49DE0">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B25CD5"/>
    <w:multiLevelType w:val="hybridMultilevel"/>
    <w:tmpl w:val="4FA0275C"/>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7C0AE7"/>
    <w:multiLevelType w:val="hybridMultilevel"/>
    <w:tmpl w:val="0568C17A"/>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A5121DE"/>
    <w:multiLevelType w:val="hybridMultilevel"/>
    <w:tmpl w:val="F4D40FB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D7D5CB5"/>
    <w:multiLevelType w:val="hybridMultilevel"/>
    <w:tmpl w:val="9BE88E4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AFC06A6"/>
    <w:multiLevelType w:val="hybridMultilevel"/>
    <w:tmpl w:val="3D08A8E6"/>
    <w:lvl w:ilvl="0" w:tplc="10AA94E6">
      <w:start w:val="1"/>
      <w:numFmt w:val="bullet"/>
      <w:lvlText w:val="•"/>
      <w:lvlJc w:val="left"/>
      <w:pPr>
        <w:ind w:left="720" w:hanging="360"/>
      </w:pPr>
    </w:lvl>
    <w:lvl w:ilvl="1" w:tplc="BFE8C6A4">
      <w:start w:val="1"/>
      <w:numFmt w:val="bullet"/>
      <w:lvlText w:val="o"/>
      <w:lvlJc w:val="left"/>
      <w:pPr>
        <w:ind w:left="1440" w:hanging="360"/>
      </w:pPr>
    </w:lvl>
    <w:lvl w:ilvl="2" w:tplc="25126860">
      <w:start w:val="1"/>
      <w:numFmt w:val="bullet"/>
      <w:lvlText w:val="▪"/>
      <w:lvlJc w:val="left"/>
      <w:pPr>
        <w:ind w:left="2160" w:hanging="360"/>
      </w:pPr>
    </w:lvl>
    <w:lvl w:ilvl="3" w:tplc="CBFC0D4C">
      <w:start w:val="1"/>
      <w:numFmt w:val="bullet"/>
      <w:lvlText w:val="•"/>
      <w:lvlJc w:val="left"/>
      <w:pPr>
        <w:ind w:left="2880" w:hanging="360"/>
      </w:pPr>
    </w:lvl>
    <w:lvl w:ilvl="4" w:tplc="9F7ABC4A">
      <w:start w:val="1"/>
      <w:numFmt w:val="bullet"/>
      <w:lvlText w:val="o"/>
      <w:lvlJc w:val="left"/>
      <w:pPr>
        <w:ind w:left="3600" w:hanging="360"/>
      </w:pPr>
    </w:lvl>
    <w:lvl w:ilvl="5" w:tplc="F67C9504">
      <w:start w:val="1"/>
      <w:numFmt w:val="bullet"/>
      <w:lvlText w:val="▪"/>
      <w:lvlJc w:val="left"/>
      <w:pPr>
        <w:ind w:left="4320" w:hanging="360"/>
      </w:pPr>
    </w:lvl>
    <w:lvl w:ilvl="6" w:tplc="4E7A2590">
      <w:start w:val="1"/>
      <w:numFmt w:val="bullet"/>
      <w:lvlText w:val="•"/>
      <w:lvlJc w:val="left"/>
      <w:pPr>
        <w:ind w:left="5040" w:hanging="360"/>
      </w:pPr>
    </w:lvl>
    <w:lvl w:ilvl="7" w:tplc="57F00E02">
      <w:start w:val="1"/>
      <w:numFmt w:val="bullet"/>
      <w:lvlText w:val="o"/>
      <w:lvlJc w:val="left"/>
      <w:pPr>
        <w:ind w:left="5760" w:hanging="360"/>
      </w:pPr>
    </w:lvl>
    <w:lvl w:ilvl="8" w:tplc="CD6A066C">
      <w:start w:val="1"/>
      <w:numFmt w:val="bullet"/>
      <w:lvlText w:val="▪"/>
      <w:lvlJc w:val="left"/>
      <w:pPr>
        <w:ind w:left="6480" w:hanging="360"/>
      </w:pPr>
    </w:lvl>
  </w:abstractNum>
  <w:abstractNum w:abstractNumId="7" w15:restartNumberingAfterBreak="0">
    <w:nsid w:val="3BDA6ABF"/>
    <w:multiLevelType w:val="hybridMultilevel"/>
    <w:tmpl w:val="56A2FC9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D034CE2"/>
    <w:multiLevelType w:val="hybridMultilevel"/>
    <w:tmpl w:val="D048FBC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D564B06"/>
    <w:multiLevelType w:val="hybridMultilevel"/>
    <w:tmpl w:val="C2527C76"/>
    <w:lvl w:ilvl="0" w:tplc="5D2493B8">
      <w:start w:val="1"/>
      <w:numFmt w:val="decimal"/>
      <w:lvlText w:val="%1."/>
      <w:lvlJc w:val="left"/>
      <w:pPr>
        <w:ind w:left="720" w:hanging="360"/>
      </w:pPr>
    </w:lvl>
    <w:lvl w:ilvl="1" w:tplc="7F84656E">
      <w:start w:val="1"/>
      <w:numFmt w:val="lowerLetter"/>
      <w:lvlText w:val="%2."/>
      <w:lvlJc w:val="left"/>
      <w:pPr>
        <w:ind w:left="1440" w:hanging="360"/>
      </w:pPr>
    </w:lvl>
    <w:lvl w:ilvl="2" w:tplc="BE264658">
      <w:start w:val="1"/>
      <w:numFmt w:val="lowerRoman"/>
      <w:lvlText w:val="%3."/>
      <w:lvlJc w:val="left"/>
      <w:pPr>
        <w:ind w:left="2160" w:hanging="360"/>
      </w:pPr>
    </w:lvl>
    <w:lvl w:ilvl="3" w:tplc="F060128E">
      <w:start w:val="1"/>
      <w:numFmt w:val="decimal"/>
      <w:lvlText w:val="%4."/>
      <w:lvlJc w:val="left"/>
      <w:pPr>
        <w:ind w:left="2880" w:hanging="360"/>
      </w:pPr>
    </w:lvl>
    <w:lvl w:ilvl="4" w:tplc="3202BF06">
      <w:start w:val="1"/>
      <w:numFmt w:val="lowerLetter"/>
      <w:lvlText w:val="%5."/>
      <w:lvlJc w:val="left"/>
      <w:pPr>
        <w:ind w:left="3600" w:hanging="360"/>
      </w:pPr>
    </w:lvl>
    <w:lvl w:ilvl="5" w:tplc="CAFCB712">
      <w:start w:val="1"/>
      <w:numFmt w:val="lowerRoman"/>
      <w:lvlText w:val="%6."/>
      <w:lvlJc w:val="left"/>
      <w:pPr>
        <w:ind w:left="4320" w:hanging="360"/>
      </w:pPr>
    </w:lvl>
    <w:lvl w:ilvl="6" w:tplc="A992E136">
      <w:start w:val="1"/>
      <w:numFmt w:val="decimal"/>
      <w:lvlText w:val="%7."/>
      <w:lvlJc w:val="left"/>
      <w:pPr>
        <w:ind w:left="5040" w:hanging="360"/>
      </w:pPr>
    </w:lvl>
    <w:lvl w:ilvl="7" w:tplc="53FE8B26">
      <w:start w:val="1"/>
      <w:numFmt w:val="lowerLetter"/>
      <w:lvlText w:val="%8."/>
      <w:lvlJc w:val="left"/>
      <w:pPr>
        <w:ind w:left="5760" w:hanging="360"/>
      </w:pPr>
    </w:lvl>
    <w:lvl w:ilvl="8" w:tplc="93A6D0E2">
      <w:start w:val="1"/>
      <w:numFmt w:val="lowerRoman"/>
      <w:lvlText w:val="%9."/>
      <w:lvlJc w:val="left"/>
      <w:pPr>
        <w:ind w:left="6480" w:hanging="360"/>
      </w:pPr>
    </w:lvl>
  </w:abstractNum>
  <w:abstractNum w:abstractNumId="10" w15:restartNumberingAfterBreak="0">
    <w:nsid w:val="446F150D"/>
    <w:multiLevelType w:val="hybridMultilevel"/>
    <w:tmpl w:val="A8900EA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62E271D"/>
    <w:multiLevelType w:val="hybridMultilevel"/>
    <w:tmpl w:val="1AE05BA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06B431A"/>
    <w:multiLevelType w:val="hybridMultilevel"/>
    <w:tmpl w:val="E2DA4D9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22D182A"/>
    <w:multiLevelType w:val="hybridMultilevel"/>
    <w:tmpl w:val="F9A6F16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04B4860"/>
    <w:multiLevelType w:val="hybridMultilevel"/>
    <w:tmpl w:val="FED83956"/>
    <w:lvl w:ilvl="0" w:tplc="FFFFFFFF">
      <w:start w:val="1"/>
      <w:numFmt w:val="lowerLetter"/>
      <w:lvlText w:val="%1)"/>
      <w:lvlJc w:val="left"/>
      <w:pPr>
        <w:ind w:left="720" w:hanging="360"/>
      </w:pPr>
    </w:lvl>
    <w:lvl w:ilvl="1" w:tplc="2BA49DE0">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7037E7"/>
    <w:multiLevelType w:val="hybridMultilevel"/>
    <w:tmpl w:val="FA10F766"/>
    <w:lvl w:ilvl="0" w:tplc="FFFFFFFF">
      <w:start w:val="1"/>
      <w:numFmt w:val="lowerLetter"/>
      <w:lvlText w:val="%1)"/>
      <w:lvlJc w:val="left"/>
      <w:pPr>
        <w:ind w:left="720" w:hanging="360"/>
      </w:pPr>
    </w:lvl>
    <w:lvl w:ilvl="1" w:tplc="10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EEA31BE"/>
    <w:multiLevelType w:val="hybridMultilevel"/>
    <w:tmpl w:val="F076905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4804363">
    <w:abstractNumId w:val="6"/>
  </w:num>
  <w:num w:numId="2" w16cid:durableId="1356737420">
    <w:abstractNumId w:val="9"/>
    <w:lvlOverride w:ilvl="0">
      <w:startOverride w:val="1"/>
    </w:lvlOverride>
  </w:num>
  <w:num w:numId="3" w16cid:durableId="1524050617">
    <w:abstractNumId w:val="9"/>
    <w:lvlOverride w:ilvl="0">
      <w:startOverride w:val="1"/>
    </w:lvlOverride>
  </w:num>
  <w:num w:numId="4" w16cid:durableId="1429698553">
    <w:abstractNumId w:val="9"/>
    <w:lvlOverride w:ilvl="0">
      <w:startOverride w:val="1"/>
    </w:lvlOverride>
  </w:num>
  <w:num w:numId="5" w16cid:durableId="539510250">
    <w:abstractNumId w:val="16"/>
  </w:num>
  <w:num w:numId="6" w16cid:durableId="157696908">
    <w:abstractNumId w:val="2"/>
  </w:num>
  <w:num w:numId="7" w16cid:durableId="215623815">
    <w:abstractNumId w:val="13"/>
  </w:num>
  <w:num w:numId="8" w16cid:durableId="1886869964">
    <w:abstractNumId w:val="3"/>
  </w:num>
  <w:num w:numId="9" w16cid:durableId="495920849">
    <w:abstractNumId w:val="0"/>
  </w:num>
  <w:num w:numId="10" w16cid:durableId="560554818">
    <w:abstractNumId w:val="5"/>
  </w:num>
  <w:num w:numId="11" w16cid:durableId="1445732763">
    <w:abstractNumId w:val="15"/>
  </w:num>
  <w:num w:numId="12" w16cid:durableId="1485127784">
    <w:abstractNumId w:val="1"/>
  </w:num>
  <w:num w:numId="13" w16cid:durableId="1300765440">
    <w:abstractNumId w:val="14"/>
  </w:num>
  <w:num w:numId="14" w16cid:durableId="1550648795">
    <w:abstractNumId w:val="12"/>
  </w:num>
  <w:num w:numId="15" w16cid:durableId="600070434">
    <w:abstractNumId w:val="7"/>
  </w:num>
  <w:num w:numId="16" w16cid:durableId="1160776479">
    <w:abstractNumId w:val="10"/>
  </w:num>
  <w:num w:numId="17" w16cid:durableId="1154486562">
    <w:abstractNumId w:val="8"/>
  </w:num>
  <w:num w:numId="18" w16cid:durableId="1506897838">
    <w:abstractNumId w:val="4"/>
  </w:num>
  <w:num w:numId="19" w16cid:durableId="2039310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2DD"/>
    <w:rsid w:val="00072FB0"/>
    <w:rsid w:val="0008451B"/>
    <w:rsid w:val="0010729A"/>
    <w:rsid w:val="00217E2B"/>
    <w:rsid w:val="00245079"/>
    <w:rsid w:val="002D523A"/>
    <w:rsid w:val="00300FFD"/>
    <w:rsid w:val="004404C9"/>
    <w:rsid w:val="00546DEC"/>
    <w:rsid w:val="00621417"/>
    <w:rsid w:val="00675491"/>
    <w:rsid w:val="007102DD"/>
    <w:rsid w:val="00786729"/>
    <w:rsid w:val="007F6FC8"/>
    <w:rsid w:val="008373E5"/>
    <w:rsid w:val="00874B75"/>
    <w:rsid w:val="009034C0"/>
    <w:rsid w:val="0091526C"/>
    <w:rsid w:val="0095497D"/>
    <w:rsid w:val="00A30733"/>
    <w:rsid w:val="00B34DC6"/>
    <w:rsid w:val="00BC62DD"/>
    <w:rsid w:val="00C6653E"/>
    <w:rsid w:val="00C951EF"/>
    <w:rsid w:val="00D30063"/>
    <w:rsid w:val="00D60A9A"/>
    <w:rsid w:val="00D94B72"/>
    <w:rsid w:val="00F33A15"/>
    <w:rsid w:val="00FB30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778"/>
  <w15:docId w15:val="{02950B58-63B3-41A9-86F0-3B8FC68FA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1417"/>
    <w:pPr>
      <w:spacing w:after="0" w:line="240" w:lineRule="auto"/>
    </w:pPr>
  </w:style>
  <w:style w:type="paragraph" w:styleId="Header">
    <w:name w:val="header"/>
    <w:basedOn w:val="Normal"/>
    <w:link w:val="HeaderChar"/>
    <w:uiPriority w:val="99"/>
    <w:unhideWhenUsed/>
    <w:rsid w:val="00621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417"/>
  </w:style>
  <w:style w:type="paragraph" w:styleId="Footer">
    <w:name w:val="footer"/>
    <w:basedOn w:val="Normal"/>
    <w:link w:val="FooterChar"/>
    <w:uiPriority w:val="99"/>
    <w:unhideWhenUsed/>
    <w:rsid w:val="00621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355698168444985FE7D246FBBDFB6" ma:contentTypeVersion="15" ma:contentTypeDescription="Create a new document." ma:contentTypeScope="" ma:versionID="9bd05f9a929250e65a80604c28710f2c">
  <xsd:schema xmlns:xsd="http://www.w3.org/2001/XMLSchema" xmlns:xs="http://www.w3.org/2001/XMLSchema" xmlns:p="http://schemas.microsoft.com/office/2006/metadata/properties" xmlns:ns2="316c791d-0fa3-419f-a07f-96c4643f4cee" xmlns:ns3="01471336-afb1-4cde-a276-2d6acc6bcfc0" targetNamespace="http://schemas.microsoft.com/office/2006/metadata/properties" ma:root="true" ma:fieldsID="e371aa63315f43757b281dff45e33c9f" ns2:_="" ns3:_="">
    <xsd:import namespace="316c791d-0fa3-419f-a07f-96c4643f4cee"/>
    <xsd:import namespace="01471336-afb1-4cde-a276-2d6acc6bc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CaseManager" minOccurs="0"/>
                <xsd:element ref="ns2:IRProcess" minOccurs="0"/>
                <xsd:element ref="ns2:CaseType" minOccurs="0"/>
                <xsd:element ref="ns2:LegalCouns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c791d-0fa3-419f-a07f-96c4643f4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fef157-3fa8-492c-b9fa-e38244047c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CaseManager" ma:index="19" nillable="true" ma:displayName="Case Manager" ma:format="Dropdown" ma:internalName="CaseManager">
      <xsd:simpleType>
        <xsd:restriction base="dms:Note">
          <xsd:maxLength value="255"/>
        </xsd:restriction>
      </xsd:simpleType>
    </xsd:element>
    <xsd:element name="IRProcess" ma:index="20" nillable="true" ma:displayName="IR Process" ma:format="Dropdown" ma:internalName="IRProcess">
      <xsd:simpleType>
        <xsd:restriction base="dms:Choice">
          <xsd:enumeration value="COS"/>
          <xsd:enumeration value="Custom IR"/>
          <xsd:enumeration value="Annual IR"/>
          <xsd:enumeration value="Price Cap IR"/>
        </xsd:restriction>
      </xsd:simpleType>
    </xsd:element>
    <xsd:element name="CaseType" ma:index="21" nillable="true" ma:displayName="Case Type" ma:format="Dropdown" ma:internalName="CaseType">
      <xsd:simpleType>
        <xsd:restriction base="dms:Choice">
          <xsd:enumeration value="DA"/>
          <xsd:enumeration value="Panel"/>
          <xsd:enumeration value="Choice 3"/>
        </xsd:restriction>
      </xsd:simpleType>
    </xsd:element>
    <xsd:element name="LegalCounsel" ma:index="22" nillable="true" ma:displayName="Legal Counsel" ma:format="Dropdown" ma:internalName="LegalCounsel">
      <xsd:simpleType>
        <xsd:restriction base="dms:Choice">
          <xsd:enumeration value="Faye Kidman"/>
          <xsd:enumeration value="Tobias Hobbins"/>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01471336-afb1-4cde-a276-2d6acc6bcf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3d9606-52aa-4b94-90db-b9f9f6e02968}" ma:internalName="TaxCatchAll" ma:showField="CatchAllData" ma:web="01471336-afb1-4cde-a276-2d6acc6bc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1471336-afb1-4cde-a276-2d6acc6bcfc0" xsi:nil="true"/>
    <LegalCounsel xmlns="316c791d-0fa3-419f-a07f-96c4643f4cee" xsi:nil="true"/>
    <CaseManager xmlns="316c791d-0fa3-419f-a07f-96c4643f4cee" xsi:nil="true"/>
    <IRProcess xmlns="316c791d-0fa3-419f-a07f-96c4643f4cee" xsi:nil="true"/>
    <CaseType xmlns="316c791d-0fa3-419f-a07f-96c4643f4cee" xsi:nil="true"/>
    <lcf76f155ced4ddcb4097134ff3c332f xmlns="316c791d-0fa3-419f-a07f-96c4643f4ce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EC0A05-28AA-4CA7-8C99-20C60F4FB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c791d-0fa3-419f-a07f-96c4643f4cee"/>
    <ds:schemaRef ds:uri="01471336-afb1-4cde-a276-2d6acc6bc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65F967-F88C-4DE8-9052-1F4CE73EF03F}">
  <ds:schemaRefs>
    <ds:schemaRef ds:uri="http://schemas.microsoft.com/office/2006/metadata/properties"/>
    <ds:schemaRef ds:uri="http://schemas.microsoft.com/office/infopath/2007/PartnerControls"/>
    <ds:schemaRef ds:uri="01471336-afb1-4cde-a276-2d6acc6bcfc0"/>
    <ds:schemaRef ds:uri="316c791d-0fa3-419f-a07f-96c4643f4cee"/>
  </ds:schemaRefs>
</ds:datastoreItem>
</file>

<file path=customXml/itemProps3.xml><?xml version="1.0" encoding="utf-8"?>
<ds:datastoreItem xmlns:ds="http://schemas.openxmlformats.org/officeDocument/2006/customXml" ds:itemID="{7F02A0EB-1451-4F26-BB65-3B1ED30C7F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Draft OEB Staff Questions, Oakville Hydro 2027 IRM, EB-2026-0063</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OEB Staff Questions, Oakville Hydro 2027 IRM, EB-2026-0063</dc:title>
  <dc:creator>Abdullah Waseem</dc:creator>
  <dc:description>Claude Docs node/b00c85ef-b306@22 docx-w6</dc:description>
  <cp:lastModifiedBy>Abdullah Waseem</cp:lastModifiedBy>
  <cp:revision>2</cp:revision>
  <dcterms:created xsi:type="dcterms:W3CDTF">2026-10-02T16:28:00Z</dcterms:created>
  <dcterms:modified xsi:type="dcterms:W3CDTF">2026-10-02T16:28:00Z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0x010100C1A355698168444985FE7D246FBBDFB6</vt:lpwstr>
  </property>
  <property fmtid="{D5CDD505-2E9C-101B-9397-08002B2CF9AE}" pid="3" name="MediaServiceImageTags">
    <vt:lpwstr/>
  </property>
</Properties>
</file>